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8F482" w14:textId="77777777" w:rsidR="002D58E4" w:rsidRDefault="00F721D4">
      <w:pPr>
        <w:jc w:val="center"/>
        <w:rPr>
          <w:b/>
          <w:color w:val="000000"/>
          <w:sz w:val="32"/>
          <w:szCs w:val="32"/>
        </w:rPr>
      </w:pPr>
      <w:bookmarkStart w:id="0" w:name="_gjdgxs" w:colFirst="0" w:colLast="0"/>
      <w:bookmarkEnd w:id="0"/>
      <w:r>
        <w:rPr>
          <w:b/>
          <w:color w:val="000000"/>
          <w:sz w:val="32"/>
          <w:szCs w:val="32"/>
        </w:rPr>
        <w:t xml:space="preserve">Clinical Practice Guidelines by the Infectious Diseases Society of America (IDSA), </w:t>
      </w:r>
      <w:r>
        <w:rPr>
          <w:b/>
          <w:sz w:val="32"/>
          <w:szCs w:val="32"/>
        </w:rPr>
        <w:t>American Academy of Neurology (AAN), and American College of Rheumatology (ACR)</w:t>
      </w:r>
      <w:r>
        <w:rPr>
          <w:b/>
          <w:color w:val="000000"/>
          <w:sz w:val="32"/>
          <w:szCs w:val="32"/>
        </w:rPr>
        <w:t>: 2020 Guidelines for the Prevention, Diagnosis and Treatment of Lyme Disease</w:t>
      </w:r>
    </w:p>
    <w:p w14:paraId="3A08E1B0" w14:textId="685A74AC" w:rsidR="002D58E4" w:rsidRDefault="00C10663" w:rsidP="00C10663">
      <w:pPr>
        <w:tabs>
          <w:tab w:val="left" w:pos="2925"/>
          <w:tab w:val="center" w:pos="7294"/>
        </w:tabs>
        <w:rPr>
          <w:b/>
          <w:color w:val="000000"/>
          <w:sz w:val="28"/>
          <w:szCs w:val="28"/>
        </w:rPr>
      </w:pPr>
      <w:r>
        <w:rPr>
          <w:color w:val="000000"/>
          <w:sz w:val="28"/>
          <w:szCs w:val="28"/>
        </w:rPr>
        <w:tab/>
      </w:r>
      <w:r>
        <w:rPr>
          <w:color w:val="000000"/>
          <w:sz w:val="28"/>
          <w:szCs w:val="28"/>
        </w:rPr>
        <w:tab/>
      </w:r>
      <w:r w:rsidR="00F721D4">
        <w:rPr>
          <w:color w:val="000000"/>
          <w:sz w:val="28"/>
          <w:szCs w:val="28"/>
        </w:rPr>
        <w:t xml:space="preserve">Supplement Materials </w:t>
      </w:r>
    </w:p>
    <w:p w14:paraId="01C6FB34" w14:textId="77777777" w:rsidR="002D58E4" w:rsidRDefault="002D58E4">
      <w:pPr>
        <w:jc w:val="center"/>
        <w:rPr>
          <w:b/>
          <w:color w:val="000000"/>
          <w:sz w:val="28"/>
          <w:szCs w:val="28"/>
        </w:rPr>
      </w:pPr>
    </w:p>
    <w:p w14:paraId="499F9A56" w14:textId="2B22DCAB" w:rsidR="002D58E4" w:rsidRDefault="00F721D4">
      <w:pPr>
        <w:pBdr>
          <w:top w:val="nil"/>
          <w:left w:val="nil"/>
          <w:bottom w:val="nil"/>
          <w:right w:val="nil"/>
          <w:between w:val="nil"/>
        </w:pBdr>
        <w:spacing w:line="240" w:lineRule="auto"/>
        <w:rPr>
          <w:color w:val="0000FF"/>
          <w:u w:val="single"/>
        </w:rPr>
      </w:pPr>
      <w:bookmarkStart w:id="1" w:name="30j0zll" w:colFirst="0" w:colLast="0"/>
      <w:bookmarkEnd w:id="1"/>
      <w:r>
        <w:rPr>
          <w:color w:val="0000FF"/>
          <w:u w:val="single"/>
        </w:rPr>
        <w:t>Literature search strategy and PRISMA flow</w:t>
      </w:r>
      <w:r w:rsidR="00C10663">
        <w:rPr>
          <w:color w:val="0000FF"/>
          <w:u w:val="single"/>
        </w:rPr>
        <w:t xml:space="preserve"> </w:t>
      </w:r>
      <w:r>
        <w:rPr>
          <w:color w:val="0000FF"/>
          <w:u w:val="single"/>
        </w:rPr>
        <w:t>diagrams</w:t>
      </w:r>
    </w:p>
    <w:bookmarkStart w:id="2" w:name="_1fob9te" w:colFirst="0" w:colLast="0"/>
    <w:bookmarkEnd w:id="2"/>
    <w:p w14:paraId="0AF0A1AD" w14:textId="77777777" w:rsidR="002D58E4" w:rsidRDefault="00F721D4">
      <w:pPr>
        <w:pBdr>
          <w:top w:val="nil"/>
          <w:left w:val="nil"/>
          <w:bottom w:val="nil"/>
          <w:right w:val="nil"/>
          <w:between w:val="nil"/>
        </w:pBdr>
        <w:spacing w:line="240" w:lineRule="auto"/>
        <w:rPr>
          <w:color w:val="000000"/>
        </w:rPr>
      </w:pPr>
      <w:r>
        <w:fldChar w:fldCharType="begin"/>
      </w:r>
      <w:r>
        <w:instrText xml:space="preserve"> HYPERLINK \l "1t3h5sf" \h </w:instrText>
      </w:r>
      <w:r>
        <w:fldChar w:fldCharType="separate"/>
      </w:r>
      <w:r>
        <w:rPr>
          <w:color w:val="0000FF"/>
          <w:u w:val="single"/>
        </w:rPr>
        <w:t xml:space="preserve">Tick bites prevention and prophylaxis of Lyme disease </w:t>
      </w:r>
      <w:r>
        <w:rPr>
          <w:color w:val="0000FF"/>
          <w:u w:val="single"/>
        </w:rPr>
        <w:fldChar w:fldCharType="end"/>
      </w:r>
    </w:p>
    <w:bookmarkStart w:id="3" w:name="_3znysh7" w:colFirst="0" w:colLast="0"/>
    <w:bookmarkEnd w:id="3"/>
    <w:p w14:paraId="4C771874" w14:textId="77777777" w:rsidR="002D58E4" w:rsidRDefault="00F721D4">
      <w:pPr>
        <w:pBdr>
          <w:top w:val="nil"/>
          <w:left w:val="nil"/>
          <w:bottom w:val="nil"/>
          <w:right w:val="nil"/>
          <w:between w:val="nil"/>
        </w:pBdr>
        <w:spacing w:line="240" w:lineRule="auto"/>
        <w:rPr>
          <w:color w:val="000000"/>
        </w:rPr>
      </w:pPr>
      <w:r>
        <w:fldChar w:fldCharType="begin"/>
      </w:r>
      <w:r>
        <w:instrText xml:space="preserve"> HYPERLINK \l "3rdcrjn" \h </w:instrText>
      </w:r>
      <w:r>
        <w:fldChar w:fldCharType="separate"/>
      </w:r>
      <w:r>
        <w:rPr>
          <w:color w:val="0000FF"/>
          <w:u w:val="single"/>
        </w:rPr>
        <w:t>Early localized Lyme disease (erythema migrans)</w:t>
      </w:r>
      <w:r>
        <w:rPr>
          <w:color w:val="0000FF"/>
          <w:u w:val="single"/>
        </w:rPr>
        <w:fldChar w:fldCharType="end"/>
      </w:r>
    </w:p>
    <w:p w14:paraId="0FF1F33C" w14:textId="77777777" w:rsidR="002D58E4" w:rsidRDefault="00F721D4">
      <w:pPr>
        <w:pBdr>
          <w:top w:val="nil"/>
          <w:left w:val="nil"/>
          <w:bottom w:val="nil"/>
          <w:right w:val="nil"/>
          <w:between w:val="nil"/>
        </w:pBdr>
        <w:spacing w:line="240" w:lineRule="auto"/>
        <w:rPr>
          <w:color w:val="0000FF"/>
          <w:u w:val="single"/>
        </w:rPr>
      </w:pPr>
      <w:r>
        <w:fldChar w:fldCharType="begin"/>
      </w:r>
      <w:r>
        <w:instrText xml:space="preserve"> HYPERLINK \l "lnxbz9" </w:instrText>
      </w:r>
      <w:r>
        <w:fldChar w:fldCharType="separate"/>
      </w:r>
      <w:r>
        <w:rPr>
          <w:color w:val="0000FF"/>
          <w:u w:val="single"/>
        </w:rPr>
        <w:t>Neurologic Lyme disease</w:t>
      </w:r>
    </w:p>
    <w:p w14:paraId="500CF726" w14:textId="77777777" w:rsidR="002D58E4" w:rsidRDefault="00F721D4">
      <w:pPr>
        <w:pBdr>
          <w:top w:val="nil"/>
          <w:left w:val="nil"/>
          <w:bottom w:val="nil"/>
          <w:right w:val="nil"/>
          <w:between w:val="nil"/>
        </w:pBdr>
        <w:spacing w:line="240" w:lineRule="auto"/>
        <w:rPr>
          <w:color w:val="0000FF"/>
          <w:u w:val="single"/>
        </w:rPr>
      </w:pPr>
      <w:r>
        <w:fldChar w:fldCharType="end"/>
      </w:r>
      <w:r>
        <w:fldChar w:fldCharType="begin"/>
      </w:r>
      <w:r>
        <w:instrText xml:space="preserve"> HYPERLINK \l "44sinio" </w:instrText>
      </w:r>
      <w:r>
        <w:fldChar w:fldCharType="separate"/>
      </w:r>
      <w:r>
        <w:rPr>
          <w:color w:val="0000FF"/>
          <w:u w:val="single"/>
        </w:rPr>
        <w:t>Lyme carditis</w:t>
      </w:r>
    </w:p>
    <w:p w14:paraId="1C72490B" w14:textId="77777777" w:rsidR="002D58E4" w:rsidRDefault="00F721D4">
      <w:pPr>
        <w:pBdr>
          <w:top w:val="nil"/>
          <w:left w:val="nil"/>
          <w:bottom w:val="nil"/>
          <w:right w:val="nil"/>
          <w:between w:val="nil"/>
        </w:pBdr>
        <w:spacing w:line="240" w:lineRule="auto"/>
        <w:rPr>
          <w:color w:val="0000FF"/>
          <w:u w:val="single"/>
        </w:rPr>
      </w:pPr>
      <w:r>
        <w:fldChar w:fldCharType="end"/>
      </w:r>
      <w:r>
        <w:fldChar w:fldCharType="begin"/>
      </w:r>
      <w:r>
        <w:instrText xml:space="preserve"> HYPERLINK \l "3j2qqm3" </w:instrText>
      </w:r>
      <w:r>
        <w:fldChar w:fldCharType="separate"/>
      </w:r>
      <w:r>
        <w:rPr>
          <w:color w:val="0000FF"/>
          <w:u w:val="single"/>
        </w:rPr>
        <w:t>Lyme arthritis</w:t>
      </w:r>
    </w:p>
    <w:bookmarkStart w:id="4" w:name="_2et92p0" w:colFirst="0" w:colLast="0"/>
    <w:bookmarkEnd w:id="4"/>
    <w:p w14:paraId="6768F579" w14:textId="77777777" w:rsidR="002D58E4" w:rsidRDefault="00F721D4">
      <w:pPr>
        <w:pBdr>
          <w:top w:val="nil"/>
          <w:left w:val="nil"/>
          <w:bottom w:val="nil"/>
          <w:right w:val="nil"/>
          <w:between w:val="nil"/>
        </w:pBdr>
        <w:spacing w:line="240" w:lineRule="auto"/>
        <w:rPr>
          <w:color w:val="000000"/>
        </w:rPr>
      </w:pPr>
      <w:r>
        <w:fldChar w:fldCharType="end"/>
      </w:r>
      <w:hyperlink w:anchor="1y810tw">
        <w:r>
          <w:rPr>
            <w:color w:val="0000FF"/>
            <w:u w:val="single"/>
          </w:rPr>
          <w:t>Prolonged symptoms following treatment of Lyme disease</w:t>
        </w:r>
      </w:hyperlink>
    </w:p>
    <w:bookmarkStart w:id="5" w:name="_tyjcwt" w:colFirst="0" w:colLast="0"/>
    <w:bookmarkEnd w:id="5"/>
    <w:p w14:paraId="409E11ED" w14:textId="77777777" w:rsidR="002D58E4" w:rsidRDefault="00F721D4">
      <w:pPr>
        <w:pBdr>
          <w:top w:val="nil"/>
          <w:left w:val="nil"/>
          <w:bottom w:val="nil"/>
          <w:right w:val="nil"/>
          <w:between w:val="nil"/>
        </w:pBdr>
        <w:spacing w:line="240" w:lineRule="auto"/>
        <w:rPr>
          <w:color w:val="000000"/>
        </w:rPr>
      </w:pPr>
      <w:r>
        <w:fldChar w:fldCharType="begin"/>
      </w:r>
      <w:r>
        <w:instrText xml:space="preserve"> HYPERLINK \l "2xcytpi" \h </w:instrText>
      </w:r>
      <w:r>
        <w:fldChar w:fldCharType="separate"/>
      </w:r>
      <w:r>
        <w:rPr>
          <w:color w:val="0000FF"/>
          <w:u w:val="single"/>
        </w:rPr>
        <w:t>Cutaneous manifestations of Eurasian Lyme disease</w:t>
      </w:r>
      <w:r>
        <w:rPr>
          <w:color w:val="0000FF"/>
          <w:u w:val="single"/>
        </w:rPr>
        <w:fldChar w:fldCharType="end"/>
      </w:r>
      <w:r>
        <w:rPr>
          <w:color w:val="000000"/>
        </w:rPr>
        <w:t xml:space="preserve"> </w:t>
      </w:r>
    </w:p>
    <w:p w14:paraId="0B228B51" w14:textId="77777777" w:rsidR="002D58E4" w:rsidRDefault="00086112">
      <w:pPr>
        <w:spacing w:line="240" w:lineRule="auto"/>
        <w:rPr>
          <w:b/>
        </w:rPr>
      </w:pPr>
      <w:hyperlink w:anchor="3whwml4">
        <w:r w:rsidR="00F721D4">
          <w:rPr>
            <w:color w:val="0000FF"/>
            <w:u w:val="single"/>
          </w:rPr>
          <w:t>Lyme disease coinfections</w:t>
        </w:r>
      </w:hyperlink>
    </w:p>
    <w:p w14:paraId="47474A36" w14:textId="77777777" w:rsidR="002D58E4" w:rsidRDefault="002D58E4">
      <w:pPr>
        <w:jc w:val="both"/>
      </w:pPr>
    </w:p>
    <w:p w14:paraId="14F6E4C5" w14:textId="77777777" w:rsidR="002D58E4" w:rsidRDefault="00F721D4">
      <w:pPr>
        <w:rPr>
          <w:b/>
          <w:sz w:val="32"/>
          <w:szCs w:val="32"/>
          <w:u w:val="single"/>
        </w:rPr>
      </w:pPr>
      <w:bookmarkStart w:id="6" w:name="3dy6vkm" w:colFirst="0" w:colLast="0"/>
      <w:bookmarkEnd w:id="6"/>
      <w:r>
        <w:br w:type="page"/>
      </w:r>
    </w:p>
    <w:p w14:paraId="5EB3034D" w14:textId="77777777" w:rsidR="002D58E4" w:rsidRDefault="00F721D4">
      <w:pPr>
        <w:rPr>
          <w:b/>
          <w:sz w:val="24"/>
          <w:szCs w:val="24"/>
        </w:rPr>
      </w:pPr>
      <w:r>
        <w:rPr>
          <w:b/>
          <w:sz w:val="24"/>
          <w:szCs w:val="24"/>
        </w:rPr>
        <w:lastRenderedPageBreak/>
        <w:t>Literature Search Strategy</w:t>
      </w:r>
    </w:p>
    <w:p w14:paraId="1492817C"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borrelial lymphocytoma$.mp.</w:t>
      </w:r>
    </w:p>
    <w:p w14:paraId="537E23B9"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acrodermatitis chronicum atrophicans.mp.</w:t>
      </w:r>
    </w:p>
    <w:p w14:paraId="292D5A75"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STARI.mp.</w:t>
      </w:r>
    </w:p>
    <w:p w14:paraId="4BF403B5"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southern tick-associated rash illness.mp.</w:t>
      </w:r>
    </w:p>
    <w:p w14:paraId="6B3F2259"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exp Borrelia Infections/</w:t>
      </w:r>
    </w:p>
    <w:p w14:paraId="7015AA3D" w14:textId="77777777" w:rsidR="002D58E4" w:rsidRPr="00F721D4" w:rsidRDefault="00F721D4">
      <w:pPr>
        <w:numPr>
          <w:ilvl w:val="0"/>
          <w:numId w:val="51"/>
        </w:numPr>
        <w:pBdr>
          <w:top w:val="nil"/>
          <w:left w:val="nil"/>
          <w:bottom w:val="nil"/>
          <w:right w:val="nil"/>
          <w:between w:val="nil"/>
        </w:pBdr>
        <w:shd w:val="clear" w:color="auto" w:fill="FFFFFF"/>
        <w:spacing w:after="0" w:line="240" w:lineRule="auto"/>
        <w:rPr>
          <w:color w:val="000000"/>
          <w:lang w:val="fr-CA"/>
        </w:rPr>
      </w:pPr>
      <w:r w:rsidRPr="00F721D4">
        <w:rPr>
          <w:color w:val="000000"/>
          <w:lang w:val="fr-CA"/>
        </w:rPr>
        <w:t>post lyme disease syndrome.mp.</w:t>
      </w:r>
    </w:p>
    <w:p w14:paraId="0A30D462"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erythema migrans.mp.</w:t>
      </w:r>
    </w:p>
    <w:p w14:paraId="0E506E93"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exp Borrelia/</w:t>
      </w:r>
    </w:p>
    <w:p w14:paraId="3EAEAF01"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borrel$.mp.</w:t>
      </w:r>
    </w:p>
    <w:p w14:paraId="4E7C9CA5"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lyme disease$.mp.</w:t>
      </w:r>
    </w:p>
    <w:p w14:paraId="1D923345"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neuroborreliosis.mp.</w:t>
      </w:r>
    </w:p>
    <w:p w14:paraId="0CC5A2EE"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neuro$.mp.</w:t>
      </w:r>
    </w:p>
    <w:p w14:paraId="1508352B"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acrodermatitis.mp.</w:t>
      </w:r>
    </w:p>
    <w:p w14:paraId="76EC68A4"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exp Acrodermatitis/</w:t>
      </w:r>
    </w:p>
    <w:p w14:paraId="66775A5B"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carditis.mp.</w:t>
      </w:r>
    </w:p>
    <w:p w14:paraId="0BD23BCA"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arthrit$.mp.</w:t>
      </w:r>
    </w:p>
    <w:p w14:paraId="1B4C68FC"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meningitis.mp.</w:t>
      </w:r>
    </w:p>
    <w:p w14:paraId="5D6452A7"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exp Meningitis/</w:t>
      </w:r>
    </w:p>
    <w:p w14:paraId="6CC3B8F7"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radiculoneuropath$.mp.</w:t>
      </w:r>
    </w:p>
    <w:p w14:paraId="2B9BD5F1"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cranial neuropath$.mp.</w:t>
      </w:r>
    </w:p>
    <w:p w14:paraId="146B3BEC"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exp Cranial Nerve Diseases/</w:t>
      </w:r>
    </w:p>
    <w:p w14:paraId="70E67724"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lyme.mp.</w:t>
      </w:r>
    </w:p>
    <w:p w14:paraId="547598F0"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(11 or 12 or 13 or 14 or 15 or 16 or 17 or 18 or 19 or 20 or 21) and 22</w:t>
      </w:r>
    </w:p>
    <w:p w14:paraId="3E790894"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1 or 2 or 3 or 4 or 5 or 6 or 7 or 8 or 9 or 10 or 23</w:t>
      </w:r>
    </w:p>
    <w:p w14:paraId="444AE3FE"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1 or 2 or 3 or 4 or 5 or 6 or 7 or 8 or 9 or 10 or 22 or 23</w:t>
      </w:r>
    </w:p>
    <w:p w14:paraId="08195308"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limit 25 to humans</w:t>
      </w:r>
    </w:p>
    <w:p w14:paraId="4E92FF85"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limit 25 to animals</w:t>
      </w:r>
    </w:p>
    <w:p w14:paraId="78617232"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26 or 27</w:t>
      </w:r>
    </w:p>
    <w:p w14:paraId="4D66E30C"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25 not 28</w:t>
      </w:r>
    </w:p>
    <w:p w14:paraId="7F211900"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26 or 29</w:t>
      </w:r>
    </w:p>
    <w:p w14:paraId="33C90671" w14:textId="77777777" w:rsidR="002D58E4" w:rsidRDefault="00F721D4">
      <w:pPr>
        <w:numPr>
          <w:ilvl w:val="0"/>
          <w:numId w:val="51"/>
        </w:numPr>
        <w:pBdr>
          <w:top w:val="nil"/>
          <w:left w:val="nil"/>
          <w:bottom w:val="nil"/>
          <w:right w:val="nil"/>
          <w:between w:val="nil"/>
        </w:pBdr>
        <w:shd w:val="clear" w:color="auto" w:fill="FFFFFF"/>
        <w:spacing w:after="0" w:line="240" w:lineRule="auto"/>
      </w:pPr>
      <w:r>
        <w:rPr>
          <w:color w:val="000000"/>
        </w:rPr>
        <w:t>remove duplicates from 30</w:t>
      </w:r>
    </w:p>
    <w:p w14:paraId="4208F731" w14:textId="77777777" w:rsidR="002D58E4" w:rsidRDefault="00F721D4">
      <w:r>
        <w:rPr>
          <w:noProof/>
        </w:rPr>
        <w:lastRenderedPageBreak/>
        <w:drawing>
          <wp:inline distT="0" distB="0" distL="0" distR="0" wp14:anchorId="4F3DBD4E" wp14:editId="0E9445B0">
            <wp:extent cx="4923155" cy="5676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23155" cy="5676900"/>
                    </a:xfrm>
                    <a:prstGeom prst="rect">
                      <a:avLst/>
                    </a:prstGeom>
                    <a:ln/>
                  </pic:spPr>
                </pic:pic>
              </a:graphicData>
            </a:graphic>
          </wp:inline>
        </w:drawing>
      </w:r>
      <w:r>
        <w:br w:type="page"/>
      </w:r>
    </w:p>
    <w:p w14:paraId="6CFFD9FB" w14:textId="77777777" w:rsidR="002D58E4" w:rsidRDefault="00F721D4">
      <w:pPr>
        <w:shd w:val="clear" w:color="auto" w:fill="FFFFFF"/>
        <w:spacing w:after="0" w:line="240" w:lineRule="auto"/>
        <w:ind w:left="360"/>
      </w:pPr>
      <w:r>
        <w:rPr>
          <w:noProof/>
        </w:rPr>
        <w:lastRenderedPageBreak/>
        <w:drawing>
          <wp:inline distT="0" distB="0" distL="0" distR="0" wp14:anchorId="69421713" wp14:editId="277C1F34">
            <wp:extent cx="4862195" cy="5819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862195" cy="5819775"/>
                    </a:xfrm>
                    <a:prstGeom prst="rect">
                      <a:avLst/>
                    </a:prstGeom>
                    <a:ln/>
                  </pic:spPr>
                </pic:pic>
              </a:graphicData>
            </a:graphic>
          </wp:inline>
        </w:drawing>
      </w:r>
      <w:r>
        <w:br w:type="page"/>
      </w:r>
    </w:p>
    <w:p w14:paraId="2E5A6174" w14:textId="77777777" w:rsidR="002D58E4" w:rsidRDefault="00F721D4">
      <w:r>
        <w:rPr>
          <w:noProof/>
        </w:rPr>
        <w:lastRenderedPageBreak/>
        <w:drawing>
          <wp:inline distT="0" distB="0" distL="0" distR="0" wp14:anchorId="5FC5C590" wp14:editId="4138FD94">
            <wp:extent cx="4840605" cy="587629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840605" cy="5876290"/>
                    </a:xfrm>
                    <a:prstGeom prst="rect">
                      <a:avLst/>
                    </a:prstGeom>
                    <a:ln/>
                  </pic:spPr>
                </pic:pic>
              </a:graphicData>
            </a:graphic>
          </wp:inline>
        </w:drawing>
      </w:r>
    </w:p>
    <w:p w14:paraId="5C596EF0" w14:textId="77777777" w:rsidR="002D58E4" w:rsidRDefault="00F721D4">
      <w:r>
        <w:rPr>
          <w:noProof/>
        </w:rPr>
        <w:lastRenderedPageBreak/>
        <w:drawing>
          <wp:inline distT="0" distB="0" distL="0" distR="0" wp14:anchorId="4264EF8E" wp14:editId="3546FDCB">
            <wp:extent cx="4857750" cy="5859145"/>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857750" cy="5859145"/>
                    </a:xfrm>
                    <a:prstGeom prst="rect">
                      <a:avLst/>
                    </a:prstGeom>
                    <a:ln/>
                  </pic:spPr>
                </pic:pic>
              </a:graphicData>
            </a:graphic>
          </wp:inline>
        </w:drawing>
      </w:r>
    </w:p>
    <w:p w14:paraId="6E01D82F" w14:textId="77777777" w:rsidR="002D58E4" w:rsidRDefault="00F721D4">
      <w:r>
        <w:rPr>
          <w:noProof/>
        </w:rPr>
        <w:lastRenderedPageBreak/>
        <w:drawing>
          <wp:inline distT="0" distB="0" distL="0" distR="0" wp14:anchorId="7F831B1A" wp14:editId="63B3A3C9">
            <wp:extent cx="4888230" cy="586359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888230" cy="5863590"/>
                    </a:xfrm>
                    <a:prstGeom prst="rect">
                      <a:avLst/>
                    </a:prstGeom>
                    <a:ln/>
                  </pic:spPr>
                </pic:pic>
              </a:graphicData>
            </a:graphic>
          </wp:inline>
        </w:drawing>
      </w:r>
    </w:p>
    <w:p w14:paraId="57CF6B99" w14:textId="3F65D292" w:rsidR="002D58E4" w:rsidRDefault="002D58E4"/>
    <w:p w14:paraId="58BF8513" w14:textId="2BBAAD95" w:rsidR="00E20834" w:rsidRDefault="00610DB8">
      <w:r>
        <w:rPr>
          <w:noProof/>
        </w:rPr>
        <w:lastRenderedPageBreak/>
        <w:drawing>
          <wp:inline distT="0" distB="0" distL="0" distR="0" wp14:anchorId="4A89CDDA" wp14:editId="2293A53D">
            <wp:extent cx="5218016" cy="6161964"/>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8536" cy="6174387"/>
                    </a:xfrm>
                    <a:prstGeom prst="rect">
                      <a:avLst/>
                    </a:prstGeom>
                    <a:noFill/>
                    <a:ln>
                      <a:noFill/>
                    </a:ln>
                  </pic:spPr>
                </pic:pic>
              </a:graphicData>
            </a:graphic>
          </wp:inline>
        </w:drawing>
      </w:r>
    </w:p>
    <w:p w14:paraId="4B5FB568" w14:textId="77777777" w:rsidR="002D58E4" w:rsidRDefault="00F721D4">
      <w:r>
        <w:rPr>
          <w:noProof/>
        </w:rPr>
        <w:lastRenderedPageBreak/>
        <w:drawing>
          <wp:inline distT="0" distB="0" distL="0" distR="0" wp14:anchorId="511DC926" wp14:editId="7EBAAA57">
            <wp:extent cx="4853940" cy="587184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853940" cy="5871845"/>
                    </a:xfrm>
                    <a:prstGeom prst="rect">
                      <a:avLst/>
                    </a:prstGeom>
                    <a:ln/>
                  </pic:spPr>
                </pic:pic>
              </a:graphicData>
            </a:graphic>
          </wp:inline>
        </w:drawing>
      </w:r>
    </w:p>
    <w:p w14:paraId="31BF350B" w14:textId="77777777" w:rsidR="002D58E4" w:rsidRDefault="00F721D4">
      <w:r>
        <w:rPr>
          <w:noProof/>
        </w:rPr>
        <w:lastRenderedPageBreak/>
        <w:drawing>
          <wp:inline distT="0" distB="0" distL="0" distR="0" wp14:anchorId="5A25CF41" wp14:editId="778CCFFE">
            <wp:extent cx="4901565" cy="593725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901565" cy="5937250"/>
                    </a:xfrm>
                    <a:prstGeom prst="rect">
                      <a:avLst/>
                    </a:prstGeom>
                    <a:ln/>
                  </pic:spPr>
                </pic:pic>
              </a:graphicData>
            </a:graphic>
          </wp:inline>
        </w:drawing>
      </w:r>
    </w:p>
    <w:p w14:paraId="0F62ADCE" w14:textId="77777777" w:rsidR="002D58E4" w:rsidRDefault="00F721D4">
      <w:r>
        <w:rPr>
          <w:noProof/>
        </w:rPr>
        <w:lastRenderedPageBreak/>
        <w:drawing>
          <wp:inline distT="0" distB="0" distL="0" distR="0" wp14:anchorId="70144C3D" wp14:editId="55BDC1DC">
            <wp:extent cx="4923155" cy="5842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923155" cy="5842000"/>
                    </a:xfrm>
                    <a:prstGeom prst="rect">
                      <a:avLst/>
                    </a:prstGeom>
                    <a:ln/>
                  </pic:spPr>
                </pic:pic>
              </a:graphicData>
            </a:graphic>
          </wp:inline>
        </w:drawing>
      </w:r>
      <w:r>
        <w:br w:type="page"/>
      </w:r>
    </w:p>
    <w:p w14:paraId="57B28443" w14:textId="77777777" w:rsidR="002D58E4" w:rsidRDefault="00F721D4">
      <w:pPr>
        <w:rPr>
          <w:b/>
          <w:sz w:val="32"/>
          <w:szCs w:val="32"/>
          <w:u w:val="single"/>
        </w:rPr>
      </w:pPr>
      <w:bookmarkStart w:id="7" w:name="1t3h5sf" w:colFirst="0" w:colLast="0"/>
      <w:bookmarkEnd w:id="7"/>
      <w:r>
        <w:rPr>
          <w:b/>
          <w:sz w:val="32"/>
          <w:szCs w:val="32"/>
          <w:u w:val="single"/>
        </w:rPr>
        <w:lastRenderedPageBreak/>
        <w:t xml:space="preserve">Tick bites prevention and prophylaxis of Lyme disease </w:t>
      </w:r>
    </w:p>
    <w:p w14:paraId="7688E2AA" w14:textId="77777777" w:rsidR="002D58E4" w:rsidRDefault="00F721D4">
      <w:pPr>
        <w:rPr>
          <w:b/>
          <w:sz w:val="28"/>
          <w:szCs w:val="28"/>
        </w:rPr>
      </w:pPr>
      <w:r>
        <w:rPr>
          <w:b/>
          <w:sz w:val="32"/>
          <w:szCs w:val="32"/>
        </w:rPr>
        <w:t xml:space="preserve">I. Which measures should be used to prevent tick bites and tick-borne infections? </w:t>
      </w:r>
    </w:p>
    <w:p w14:paraId="7C6C9C46" w14:textId="77777777" w:rsidR="002D58E4" w:rsidRDefault="00F721D4">
      <w:pPr>
        <w:spacing w:after="0"/>
        <w:ind w:right="-720"/>
        <w:rPr>
          <w:b/>
          <w:sz w:val="28"/>
          <w:szCs w:val="28"/>
        </w:rPr>
      </w:pPr>
      <w:r>
        <w:rPr>
          <w:b/>
          <w:sz w:val="28"/>
          <w:szCs w:val="28"/>
        </w:rPr>
        <w:t>A) Personal protective measures</w:t>
      </w:r>
    </w:p>
    <w:p w14:paraId="6DB427D5" w14:textId="77777777" w:rsidR="002D58E4" w:rsidRDefault="002D58E4">
      <w:pPr>
        <w:spacing w:after="0"/>
        <w:ind w:right="-720"/>
        <w:rPr>
          <w:b/>
          <w:sz w:val="28"/>
          <w:szCs w:val="28"/>
        </w:rPr>
      </w:pPr>
    </w:p>
    <w:p w14:paraId="336900B4" w14:textId="77777777" w:rsidR="002D58E4" w:rsidRDefault="00F721D4">
      <w:pPr>
        <w:spacing w:after="0"/>
        <w:ind w:right="-720"/>
        <w:rPr>
          <w:b/>
          <w:sz w:val="28"/>
          <w:szCs w:val="28"/>
        </w:rPr>
      </w:pPr>
      <w:r>
        <w:rPr>
          <w:b/>
          <w:sz w:val="28"/>
          <w:szCs w:val="28"/>
        </w:rPr>
        <w:t>Protective clothing, tick checks, bathing, drying clothing, and limiting pet exposure</w:t>
      </w:r>
    </w:p>
    <w:p w14:paraId="5E4CC9A3" w14:textId="77777777" w:rsidR="002D58E4" w:rsidRDefault="00F721D4">
      <w:pPr>
        <w:spacing w:line="240" w:lineRule="auto"/>
      </w:pPr>
      <w:r w:rsidRPr="00F721D4">
        <w:rPr>
          <w:b/>
          <w:color w:val="000000"/>
          <w:sz w:val="18"/>
          <w:szCs w:val="18"/>
          <w:lang w:val="fr-CA"/>
        </w:rPr>
        <w:t>Bibliography:</w:t>
      </w:r>
      <w:r w:rsidRPr="00F721D4">
        <w:rPr>
          <w:color w:val="000000"/>
          <w:sz w:val="18"/>
          <w:szCs w:val="18"/>
          <w:lang w:val="fr-CA"/>
        </w:rPr>
        <w:t xml:space="preserve"> 1. Stjernberg, et al.</w:t>
      </w:r>
      <w:r w:rsidRPr="00F721D4">
        <w:rPr>
          <w:sz w:val="18"/>
          <w:szCs w:val="18"/>
          <w:lang w:val="fr-CA"/>
        </w:rPr>
        <w:t xml:space="preserve"> </w:t>
      </w:r>
      <w:r w:rsidRPr="00F721D4">
        <w:rPr>
          <w:i/>
          <w:sz w:val="18"/>
          <w:szCs w:val="18"/>
          <w:lang w:val="fr-CA"/>
        </w:rPr>
        <w:t>Scand J Infect Dis.</w:t>
      </w:r>
      <w:r w:rsidRPr="00F721D4">
        <w:rPr>
          <w:sz w:val="18"/>
          <w:szCs w:val="18"/>
          <w:lang w:val="fr-CA"/>
        </w:rPr>
        <w:t xml:space="preserve"> 2005;37(5):361-4; 2. </w:t>
      </w:r>
      <w:r w:rsidRPr="00B033CA">
        <w:rPr>
          <w:sz w:val="18"/>
          <w:szCs w:val="18"/>
          <w:lang w:val="fr-CA"/>
        </w:rPr>
        <w:t xml:space="preserve">Ley, et al. </w:t>
      </w:r>
      <w:r w:rsidRPr="00B033CA">
        <w:rPr>
          <w:i/>
          <w:sz w:val="18"/>
          <w:szCs w:val="18"/>
          <w:lang w:val="fr-CA"/>
        </w:rPr>
        <w:t>Am J Epidemiol.</w:t>
      </w:r>
      <w:r w:rsidRPr="00B033CA">
        <w:rPr>
          <w:sz w:val="18"/>
          <w:szCs w:val="18"/>
          <w:lang w:val="fr-CA"/>
        </w:rPr>
        <w:t xml:space="preserve"> 1995 Nov 1;142(9 Suppl):S39-47; 3. Klein, et al. </w:t>
      </w:r>
      <w:r w:rsidRPr="00B033CA">
        <w:rPr>
          <w:i/>
          <w:sz w:val="18"/>
          <w:szCs w:val="18"/>
          <w:lang w:val="fr-CA"/>
        </w:rPr>
        <w:t>Clin Pediatr.</w:t>
      </w:r>
      <w:r w:rsidRPr="00B033CA">
        <w:rPr>
          <w:sz w:val="18"/>
          <w:szCs w:val="18"/>
          <w:lang w:val="fr-CA"/>
        </w:rPr>
        <w:t xml:space="preserve"> 1996 Jul;35(7):359-63; 4. Orloski, et al. </w:t>
      </w:r>
      <w:r w:rsidRPr="00B033CA">
        <w:rPr>
          <w:i/>
          <w:sz w:val="18"/>
          <w:szCs w:val="18"/>
          <w:lang w:val="fr-CA"/>
        </w:rPr>
        <w:t>Am J Epidemiol.</w:t>
      </w:r>
      <w:r w:rsidRPr="00B033CA">
        <w:rPr>
          <w:sz w:val="18"/>
          <w:szCs w:val="18"/>
          <w:lang w:val="fr-CA"/>
        </w:rPr>
        <w:t xml:space="preserve"> 1998 Feb 15;147(4):391-7; 5. Vazquez, et al. </w:t>
      </w:r>
      <w:r w:rsidRPr="00B033CA">
        <w:rPr>
          <w:i/>
          <w:sz w:val="18"/>
          <w:szCs w:val="18"/>
          <w:lang w:val="fr-CA"/>
        </w:rPr>
        <w:t xml:space="preserve">Emerg Infect Dis. </w:t>
      </w:r>
      <w:r w:rsidRPr="00B033CA">
        <w:rPr>
          <w:sz w:val="18"/>
          <w:szCs w:val="18"/>
          <w:lang w:val="fr-CA"/>
        </w:rPr>
        <w:t xml:space="preserve">2008 Feb;14(2):210-6 ; 6. Connally, et al. </w:t>
      </w:r>
      <w:r>
        <w:rPr>
          <w:i/>
          <w:sz w:val="18"/>
          <w:szCs w:val="18"/>
        </w:rPr>
        <w:t>Am J Prev Med</w:t>
      </w:r>
      <w:r>
        <w:rPr>
          <w:sz w:val="18"/>
          <w:szCs w:val="18"/>
        </w:rPr>
        <w:t xml:space="preserve">. 2009 Sep;37(3):201-6; 7. Carroll, et al. </w:t>
      </w:r>
      <w:r>
        <w:rPr>
          <w:i/>
          <w:sz w:val="18"/>
          <w:szCs w:val="18"/>
        </w:rPr>
        <w:t>J Med Entomol.</w:t>
      </w:r>
      <w:r>
        <w:rPr>
          <w:sz w:val="18"/>
          <w:szCs w:val="18"/>
        </w:rPr>
        <w:t xml:space="preserve"> 2003 Sep;40(5):732-6; 8. Nelson, et al. </w:t>
      </w:r>
      <w:r>
        <w:rPr>
          <w:i/>
          <w:sz w:val="18"/>
          <w:szCs w:val="18"/>
        </w:rPr>
        <w:t>Ticks Tick Borne Dis</w:t>
      </w:r>
      <w:r>
        <w:rPr>
          <w:sz w:val="18"/>
          <w:szCs w:val="18"/>
        </w:rPr>
        <w:t xml:space="preserve">. 2016 Jul;7(5):958-963.  </w:t>
      </w:r>
    </w:p>
    <w:tbl>
      <w:tblPr>
        <w:tblStyle w:val="a"/>
        <w:tblW w:w="1464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080"/>
        <w:gridCol w:w="810"/>
        <w:gridCol w:w="1144"/>
        <w:gridCol w:w="2160"/>
        <w:gridCol w:w="2880"/>
        <w:gridCol w:w="2430"/>
        <w:gridCol w:w="3060"/>
      </w:tblGrid>
      <w:tr w:rsidR="002D58E4" w14:paraId="7FF01A94" w14:textId="77777777">
        <w:tc>
          <w:tcPr>
            <w:tcW w:w="1080" w:type="dxa"/>
            <w:shd w:val="clear" w:color="auto" w:fill="D9D9D9"/>
          </w:tcPr>
          <w:p w14:paraId="42E060A9" w14:textId="77777777" w:rsidR="002D58E4" w:rsidRDefault="00F721D4">
            <w:pPr>
              <w:jc w:val="center"/>
              <w:rPr>
                <w:b/>
                <w:color w:val="000000"/>
                <w:sz w:val="20"/>
                <w:szCs w:val="20"/>
              </w:rPr>
            </w:pPr>
            <w:r>
              <w:rPr>
                <w:b/>
                <w:color w:val="000000"/>
                <w:sz w:val="20"/>
                <w:szCs w:val="20"/>
              </w:rPr>
              <w:t>Study;</w:t>
            </w:r>
          </w:p>
          <w:p w14:paraId="34E90332" w14:textId="77777777" w:rsidR="002D58E4" w:rsidRDefault="00F721D4">
            <w:pPr>
              <w:jc w:val="center"/>
              <w:rPr>
                <w:b/>
                <w:sz w:val="20"/>
                <w:szCs w:val="20"/>
              </w:rPr>
            </w:pPr>
            <w:r>
              <w:rPr>
                <w:b/>
                <w:color w:val="000000"/>
                <w:sz w:val="20"/>
                <w:szCs w:val="20"/>
              </w:rPr>
              <w:t>Location</w:t>
            </w:r>
          </w:p>
        </w:tc>
        <w:tc>
          <w:tcPr>
            <w:tcW w:w="1080" w:type="dxa"/>
            <w:shd w:val="clear" w:color="auto" w:fill="D9D9D9"/>
          </w:tcPr>
          <w:p w14:paraId="6A2C59CC" w14:textId="77777777" w:rsidR="002D58E4" w:rsidRDefault="00F721D4">
            <w:pPr>
              <w:jc w:val="center"/>
              <w:rPr>
                <w:b/>
                <w:color w:val="000000"/>
                <w:sz w:val="20"/>
                <w:szCs w:val="20"/>
              </w:rPr>
            </w:pPr>
            <w:r>
              <w:rPr>
                <w:b/>
                <w:color w:val="000000"/>
                <w:sz w:val="20"/>
                <w:szCs w:val="20"/>
              </w:rPr>
              <w:t>Study Design</w:t>
            </w:r>
          </w:p>
        </w:tc>
        <w:tc>
          <w:tcPr>
            <w:tcW w:w="810" w:type="dxa"/>
            <w:shd w:val="clear" w:color="auto" w:fill="D9D9D9"/>
          </w:tcPr>
          <w:p w14:paraId="427DCFA2" w14:textId="77777777" w:rsidR="002D58E4" w:rsidRDefault="00F721D4">
            <w:pPr>
              <w:jc w:val="center"/>
              <w:rPr>
                <w:b/>
                <w:color w:val="000000"/>
                <w:sz w:val="20"/>
                <w:szCs w:val="20"/>
              </w:rPr>
            </w:pPr>
            <w:r>
              <w:rPr>
                <w:b/>
                <w:color w:val="000000"/>
                <w:sz w:val="20"/>
                <w:szCs w:val="20"/>
              </w:rPr>
              <w:t>Risk of bias*</w:t>
            </w:r>
          </w:p>
        </w:tc>
        <w:tc>
          <w:tcPr>
            <w:tcW w:w="1144" w:type="dxa"/>
            <w:shd w:val="clear" w:color="auto" w:fill="D9D9D9"/>
          </w:tcPr>
          <w:p w14:paraId="6F936299" w14:textId="77777777" w:rsidR="002D58E4" w:rsidRDefault="00F721D4">
            <w:pPr>
              <w:jc w:val="center"/>
              <w:rPr>
                <w:b/>
                <w:color w:val="000000"/>
                <w:sz w:val="20"/>
                <w:szCs w:val="20"/>
              </w:rPr>
            </w:pPr>
            <w:r>
              <w:rPr>
                <w:b/>
                <w:color w:val="000000"/>
                <w:sz w:val="20"/>
                <w:szCs w:val="20"/>
              </w:rPr>
              <w:t>Tick Type</w:t>
            </w:r>
          </w:p>
          <w:p w14:paraId="043A853E" w14:textId="77777777" w:rsidR="002D58E4" w:rsidRDefault="002D58E4">
            <w:pPr>
              <w:jc w:val="center"/>
              <w:rPr>
                <w:b/>
                <w:color w:val="000000"/>
                <w:sz w:val="20"/>
                <w:szCs w:val="20"/>
              </w:rPr>
            </w:pPr>
          </w:p>
        </w:tc>
        <w:tc>
          <w:tcPr>
            <w:tcW w:w="2160" w:type="dxa"/>
            <w:shd w:val="clear" w:color="auto" w:fill="D9D9D9"/>
          </w:tcPr>
          <w:p w14:paraId="5416402A" w14:textId="77777777" w:rsidR="002D58E4" w:rsidRDefault="00F721D4">
            <w:pPr>
              <w:jc w:val="center"/>
              <w:rPr>
                <w:b/>
                <w:color w:val="000000"/>
                <w:sz w:val="20"/>
                <w:szCs w:val="20"/>
              </w:rPr>
            </w:pPr>
            <w:r>
              <w:rPr>
                <w:b/>
                <w:color w:val="000000"/>
                <w:sz w:val="20"/>
                <w:szCs w:val="20"/>
              </w:rPr>
              <w:t>Population Characteristics</w:t>
            </w:r>
          </w:p>
        </w:tc>
        <w:tc>
          <w:tcPr>
            <w:tcW w:w="2880" w:type="dxa"/>
            <w:shd w:val="clear" w:color="auto" w:fill="D9D9D9"/>
          </w:tcPr>
          <w:p w14:paraId="74A85E47" w14:textId="77777777" w:rsidR="002D58E4" w:rsidRDefault="00F721D4">
            <w:pPr>
              <w:jc w:val="center"/>
              <w:rPr>
                <w:b/>
                <w:sz w:val="20"/>
                <w:szCs w:val="20"/>
              </w:rPr>
            </w:pPr>
            <w:r>
              <w:rPr>
                <w:b/>
                <w:color w:val="000000"/>
                <w:sz w:val="20"/>
                <w:szCs w:val="20"/>
              </w:rPr>
              <w:t>Interventions and Comparisons</w:t>
            </w:r>
          </w:p>
        </w:tc>
        <w:tc>
          <w:tcPr>
            <w:tcW w:w="2430" w:type="dxa"/>
            <w:shd w:val="clear" w:color="auto" w:fill="D9D9D9"/>
          </w:tcPr>
          <w:p w14:paraId="7A35AD85" w14:textId="77777777" w:rsidR="002D58E4" w:rsidRDefault="00F721D4">
            <w:pPr>
              <w:jc w:val="center"/>
              <w:rPr>
                <w:b/>
                <w:sz w:val="20"/>
                <w:szCs w:val="20"/>
              </w:rPr>
            </w:pPr>
            <w:r>
              <w:rPr>
                <w:b/>
                <w:sz w:val="20"/>
                <w:szCs w:val="20"/>
              </w:rPr>
              <w:t>Outcomes</w:t>
            </w:r>
          </w:p>
        </w:tc>
        <w:tc>
          <w:tcPr>
            <w:tcW w:w="3060" w:type="dxa"/>
            <w:shd w:val="clear" w:color="auto" w:fill="D9D9D9"/>
          </w:tcPr>
          <w:p w14:paraId="784EBE86" w14:textId="77777777" w:rsidR="002D58E4" w:rsidRDefault="00F721D4">
            <w:pPr>
              <w:jc w:val="center"/>
              <w:rPr>
                <w:b/>
                <w:sz w:val="20"/>
                <w:szCs w:val="20"/>
              </w:rPr>
            </w:pPr>
            <w:r>
              <w:rPr>
                <w:b/>
                <w:sz w:val="20"/>
                <w:szCs w:val="20"/>
              </w:rPr>
              <w:t>Results and Conclusions</w:t>
            </w:r>
          </w:p>
        </w:tc>
      </w:tr>
      <w:tr w:rsidR="002D58E4" w14:paraId="1B1FC046" w14:textId="77777777">
        <w:tc>
          <w:tcPr>
            <w:tcW w:w="1080" w:type="dxa"/>
          </w:tcPr>
          <w:p w14:paraId="3938A25E" w14:textId="77777777" w:rsidR="002D58E4" w:rsidRDefault="00F721D4">
            <w:pPr>
              <w:rPr>
                <w:sz w:val="20"/>
                <w:szCs w:val="20"/>
              </w:rPr>
            </w:pPr>
            <w:r>
              <w:rPr>
                <w:sz w:val="20"/>
                <w:szCs w:val="20"/>
              </w:rPr>
              <w:t>Stjernberg, 2005</w:t>
            </w:r>
          </w:p>
          <w:p w14:paraId="4CB9BAB4" w14:textId="77777777" w:rsidR="002D58E4" w:rsidRDefault="002D58E4">
            <w:pPr>
              <w:rPr>
                <w:sz w:val="20"/>
                <w:szCs w:val="20"/>
              </w:rPr>
            </w:pPr>
          </w:p>
          <w:p w14:paraId="0C3C5AF8" w14:textId="77777777" w:rsidR="002D58E4" w:rsidRDefault="00F721D4">
            <w:pPr>
              <w:rPr>
                <w:sz w:val="20"/>
                <w:szCs w:val="20"/>
              </w:rPr>
            </w:pPr>
            <w:r>
              <w:rPr>
                <w:sz w:val="20"/>
                <w:szCs w:val="20"/>
              </w:rPr>
              <w:t>Sweden</w:t>
            </w:r>
          </w:p>
        </w:tc>
        <w:tc>
          <w:tcPr>
            <w:tcW w:w="1080" w:type="dxa"/>
          </w:tcPr>
          <w:p w14:paraId="027A8BD4" w14:textId="77777777" w:rsidR="002D58E4" w:rsidRDefault="00F721D4">
            <w:pPr>
              <w:rPr>
                <w:sz w:val="20"/>
                <w:szCs w:val="20"/>
              </w:rPr>
            </w:pPr>
            <w:r>
              <w:rPr>
                <w:sz w:val="20"/>
                <w:szCs w:val="20"/>
              </w:rPr>
              <w:t xml:space="preserve">Randomized study with cross-over design </w:t>
            </w:r>
          </w:p>
        </w:tc>
        <w:tc>
          <w:tcPr>
            <w:tcW w:w="810" w:type="dxa"/>
          </w:tcPr>
          <w:p w14:paraId="3252EC2E" w14:textId="77777777" w:rsidR="002D58E4" w:rsidRDefault="00F721D4">
            <w:pPr>
              <w:jc w:val="center"/>
              <w:rPr>
                <w:sz w:val="20"/>
                <w:szCs w:val="20"/>
              </w:rPr>
            </w:pPr>
            <w:r>
              <w:rPr>
                <w:sz w:val="20"/>
                <w:szCs w:val="20"/>
              </w:rPr>
              <w:t>Unclear risk of bias</w:t>
            </w:r>
          </w:p>
        </w:tc>
        <w:tc>
          <w:tcPr>
            <w:tcW w:w="1144" w:type="dxa"/>
          </w:tcPr>
          <w:p w14:paraId="323B61FA" w14:textId="77777777" w:rsidR="002D58E4" w:rsidRDefault="00F721D4">
            <w:pPr>
              <w:rPr>
                <w:i/>
                <w:sz w:val="20"/>
                <w:szCs w:val="20"/>
              </w:rPr>
            </w:pPr>
            <w:r>
              <w:rPr>
                <w:i/>
                <w:sz w:val="20"/>
                <w:szCs w:val="20"/>
              </w:rPr>
              <w:t>I. ricinus</w:t>
            </w:r>
          </w:p>
          <w:p w14:paraId="2B2A8651" w14:textId="77777777" w:rsidR="002D58E4" w:rsidRDefault="002D58E4">
            <w:pPr>
              <w:rPr>
                <w:sz w:val="20"/>
                <w:szCs w:val="20"/>
              </w:rPr>
            </w:pPr>
          </w:p>
        </w:tc>
        <w:tc>
          <w:tcPr>
            <w:tcW w:w="2160" w:type="dxa"/>
          </w:tcPr>
          <w:p w14:paraId="196FAABE" w14:textId="77777777" w:rsidR="002D58E4" w:rsidRDefault="00F721D4">
            <w:pPr>
              <w:rPr>
                <w:sz w:val="20"/>
                <w:szCs w:val="20"/>
              </w:rPr>
            </w:pPr>
            <w:r>
              <w:rPr>
                <w:sz w:val="20"/>
                <w:szCs w:val="20"/>
              </w:rPr>
              <w:t>10 participants (5M, 5F), exposed by walking in tick endemic areas.</w:t>
            </w:r>
          </w:p>
        </w:tc>
        <w:tc>
          <w:tcPr>
            <w:tcW w:w="2880" w:type="dxa"/>
          </w:tcPr>
          <w:p w14:paraId="6BF60247" w14:textId="77777777" w:rsidR="002D58E4" w:rsidRDefault="00F721D4">
            <w:pPr>
              <w:rPr>
                <w:sz w:val="20"/>
                <w:szCs w:val="20"/>
              </w:rPr>
            </w:pPr>
            <w:r>
              <w:rPr>
                <w:sz w:val="20"/>
                <w:szCs w:val="20"/>
              </w:rPr>
              <w:t xml:space="preserve">1. The participants wore alternately </w:t>
            </w:r>
            <w:r>
              <w:rPr>
                <w:b/>
                <w:sz w:val="20"/>
                <w:szCs w:val="20"/>
              </w:rPr>
              <w:t>light clothing or dark clothing</w:t>
            </w:r>
            <w:r>
              <w:rPr>
                <w:sz w:val="20"/>
                <w:szCs w:val="20"/>
              </w:rPr>
              <w:t xml:space="preserve"> before every new exposure (6 exposures for each clothing type per participant; 3.5 minutes per exposure).</w:t>
            </w:r>
          </w:p>
          <w:p w14:paraId="57C25407" w14:textId="77777777" w:rsidR="002D58E4" w:rsidRDefault="00F721D4">
            <w:pPr>
              <w:rPr>
                <w:sz w:val="20"/>
                <w:szCs w:val="20"/>
              </w:rPr>
            </w:pPr>
            <w:r>
              <w:rPr>
                <w:sz w:val="20"/>
                <w:szCs w:val="20"/>
              </w:rPr>
              <w:t>2. Differences in tick detection were tested by placing random N of ticks (unknown by both the exposed participant and the searchers) on the participant wearing light vs. dark clothing</w:t>
            </w:r>
          </w:p>
        </w:tc>
        <w:tc>
          <w:tcPr>
            <w:tcW w:w="2430" w:type="dxa"/>
          </w:tcPr>
          <w:p w14:paraId="551E82A8" w14:textId="77777777" w:rsidR="002D58E4" w:rsidRDefault="00F721D4">
            <w:pPr>
              <w:rPr>
                <w:sz w:val="20"/>
                <w:szCs w:val="20"/>
              </w:rPr>
            </w:pPr>
            <w:r>
              <w:rPr>
                <w:b/>
                <w:sz w:val="20"/>
                <w:szCs w:val="20"/>
              </w:rPr>
              <w:t>1. Mean N of adult and nymphal ticks collected</w:t>
            </w:r>
            <w:r>
              <w:rPr>
                <w:sz w:val="20"/>
                <w:szCs w:val="20"/>
              </w:rPr>
              <w:t xml:space="preserve"> from each type of clothing after exposure;</w:t>
            </w:r>
          </w:p>
          <w:p w14:paraId="0E875960" w14:textId="77777777" w:rsidR="002D58E4" w:rsidRDefault="00F721D4">
            <w:pPr>
              <w:rPr>
                <w:sz w:val="20"/>
                <w:szCs w:val="20"/>
              </w:rPr>
            </w:pPr>
            <w:r>
              <w:rPr>
                <w:b/>
                <w:sz w:val="20"/>
                <w:szCs w:val="20"/>
              </w:rPr>
              <w:t>2. Differences in tick detection</w:t>
            </w:r>
            <w:r>
              <w:rPr>
                <w:sz w:val="20"/>
                <w:szCs w:val="20"/>
              </w:rPr>
              <w:t xml:space="preserve"> (% of ticks detected on each type of clothing)</w:t>
            </w:r>
          </w:p>
        </w:tc>
        <w:tc>
          <w:tcPr>
            <w:tcW w:w="3060" w:type="dxa"/>
          </w:tcPr>
          <w:p w14:paraId="797C7264" w14:textId="77777777" w:rsidR="002D58E4" w:rsidRDefault="00F721D4">
            <w:pPr>
              <w:rPr>
                <w:sz w:val="20"/>
                <w:szCs w:val="20"/>
              </w:rPr>
            </w:pPr>
            <w:r>
              <w:rPr>
                <w:sz w:val="20"/>
                <w:szCs w:val="20"/>
              </w:rPr>
              <w:t xml:space="preserve">1. Participants had </w:t>
            </w:r>
            <w:r>
              <w:rPr>
                <w:b/>
                <w:sz w:val="20"/>
                <w:szCs w:val="20"/>
              </w:rPr>
              <w:t>significantly more ticks on light than on dark clothing</w:t>
            </w:r>
            <w:r>
              <w:rPr>
                <w:sz w:val="20"/>
                <w:szCs w:val="20"/>
              </w:rPr>
              <w:t>.</w:t>
            </w:r>
          </w:p>
          <w:p w14:paraId="363D6136" w14:textId="77777777" w:rsidR="002D58E4" w:rsidRDefault="00F721D4">
            <w:pPr>
              <w:rPr>
                <w:sz w:val="20"/>
                <w:szCs w:val="20"/>
              </w:rPr>
            </w:pPr>
            <w:r>
              <w:rPr>
                <w:sz w:val="20"/>
                <w:szCs w:val="20"/>
              </w:rPr>
              <w:t>Mean N of ticks was 54.7 (SD 18.1) vs. 33.9 (SD 9.2) for light vs. dark groups, P = 0.003</w:t>
            </w:r>
          </w:p>
          <w:p w14:paraId="6BC72A42" w14:textId="77777777" w:rsidR="002D58E4" w:rsidRDefault="00F721D4">
            <w:pPr>
              <w:rPr>
                <w:sz w:val="20"/>
                <w:szCs w:val="20"/>
              </w:rPr>
            </w:pPr>
            <w:r>
              <w:rPr>
                <w:sz w:val="20"/>
                <w:szCs w:val="20"/>
              </w:rPr>
              <w:t xml:space="preserve">2. There was </w:t>
            </w:r>
            <w:r>
              <w:rPr>
                <w:b/>
                <w:sz w:val="20"/>
                <w:szCs w:val="20"/>
              </w:rPr>
              <w:t>no difference in tick detection</w:t>
            </w:r>
            <w:r>
              <w:rPr>
                <w:sz w:val="20"/>
                <w:szCs w:val="20"/>
              </w:rPr>
              <w:t xml:space="preserve"> on light (91%) vs. dark (93%) clothing</w:t>
            </w:r>
          </w:p>
          <w:p w14:paraId="52AD176B" w14:textId="77777777" w:rsidR="002D58E4" w:rsidRDefault="002D58E4">
            <w:pPr>
              <w:rPr>
                <w:sz w:val="20"/>
                <w:szCs w:val="20"/>
              </w:rPr>
            </w:pPr>
          </w:p>
          <w:p w14:paraId="55683E02" w14:textId="77777777" w:rsidR="002D58E4" w:rsidRDefault="00F721D4">
            <w:pPr>
              <w:rPr>
                <w:sz w:val="20"/>
                <w:szCs w:val="20"/>
              </w:rPr>
            </w:pPr>
            <w:r>
              <w:rPr>
                <w:sz w:val="20"/>
                <w:szCs w:val="20"/>
              </w:rPr>
              <w:t xml:space="preserve">Thus, </w:t>
            </w:r>
            <w:r>
              <w:rPr>
                <w:b/>
                <w:sz w:val="20"/>
                <w:szCs w:val="20"/>
              </w:rPr>
              <w:t>dark clothing seemed to attract fewer ticks with no disadvantage with regard to tick detection</w:t>
            </w:r>
          </w:p>
        </w:tc>
      </w:tr>
      <w:tr w:rsidR="002D58E4" w14:paraId="2C5FF92A" w14:textId="77777777">
        <w:tc>
          <w:tcPr>
            <w:tcW w:w="1080" w:type="dxa"/>
          </w:tcPr>
          <w:p w14:paraId="2C200656" w14:textId="77777777" w:rsidR="002D58E4" w:rsidRDefault="00F721D4">
            <w:pPr>
              <w:rPr>
                <w:sz w:val="20"/>
                <w:szCs w:val="20"/>
              </w:rPr>
            </w:pPr>
            <w:r>
              <w:rPr>
                <w:sz w:val="20"/>
                <w:szCs w:val="20"/>
              </w:rPr>
              <w:t>Ley, 1995</w:t>
            </w:r>
          </w:p>
          <w:p w14:paraId="639FE0F7" w14:textId="77777777" w:rsidR="002D58E4" w:rsidRDefault="002D58E4">
            <w:pPr>
              <w:rPr>
                <w:sz w:val="20"/>
                <w:szCs w:val="20"/>
              </w:rPr>
            </w:pPr>
          </w:p>
          <w:p w14:paraId="078647C3" w14:textId="77777777" w:rsidR="002D58E4" w:rsidRDefault="00F721D4">
            <w:pPr>
              <w:rPr>
                <w:sz w:val="20"/>
                <w:szCs w:val="20"/>
              </w:rPr>
            </w:pPr>
            <w:r>
              <w:rPr>
                <w:sz w:val="20"/>
                <w:szCs w:val="20"/>
              </w:rPr>
              <w:t>CA, USA</w:t>
            </w:r>
          </w:p>
        </w:tc>
        <w:tc>
          <w:tcPr>
            <w:tcW w:w="1080" w:type="dxa"/>
          </w:tcPr>
          <w:p w14:paraId="457BCA1F" w14:textId="77777777" w:rsidR="002D58E4" w:rsidRDefault="00F721D4">
            <w:pPr>
              <w:rPr>
                <w:sz w:val="20"/>
                <w:szCs w:val="20"/>
              </w:rPr>
            </w:pPr>
            <w:r>
              <w:rPr>
                <w:sz w:val="20"/>
                <w:szCs w:val="20"/>
              </w:rPr>
              <w:t xml:space="preserve">Case-control study of risk factors for incident Lyme disease </w:t>
            </w:r>
          </w:p>
        </w:tc>
        <w:tc>
          <w:tcPr>
            <w:tcW w:w="810" w:type="dxa"/>
          </w:tcPr>
          <w:p w14:paraId="3905EFA3" w14:textId="77777777" w:rsidR="002D58E4" w:rsidRDefault="00F721D4">
            <w:pPr>
              <w:jc w:val="center"/>
              <w:rPr>
                <w:sz w:val="20"/>
                <w:szCs w:val="20"/>
              </w:rPr>
            </w:pPr>
            <w:r>
              <w:rPr>
                <w:sz w:val="20"/>
                <w:szCs w:val="20"/>
              </w:rPr>
              <w:t>6</w:t>
            </w:r>
          </w:p>
        </w:tc>
        <w:tc>
          <w:tcPr>
            <w:tcW w:w="1144" w:type="dxa"/>
          </w:tcPr>
          <w:p w14:paraId="33C71B07" w14:textId="77777777" w:rsidR="002D58E4" w:rsidRDefault="00F721D4">
            <w:pPr>
              <w:jc w:val="center"/>
              <w:rPr>
                <w:sz w:val="20"/>
                <w:szCs w:val="20"/>
              </w:rPr>
            </w:pPr>
            <w:r>
              <w:rPr>
                <w:sz w:val="20"/>
                <w:szCs w:val="20"/>
              </w:rPr>
              <w:t>NA</w:t>
            </w:r>
          </w:p>
        </w:tc>
        <w:tc>
          <w:tcPr>
            <w:tcW w:w="2160" w:type="dxa"/>
          </w:tcPr>
          <w:p w14:paraId="7864BB13" w14:textId="77777777" w:rsidR="002D58E4" w:rsidRDefault="00F721D4">
            <w:pPr>
              <w:rPr>
                <w:sz w:val="20"/>
                <w:szCs w:val="20"/>
              </w:rPr>
            </w:pPr>
            <w:r>
              <w:rPr>
                <w:sz w:val="20"/>
                <w:szCs w:val="20"/>
              </w:rPr>
              <w:t xml:space="preserve">101 cases with Lyme disease (EM). Each case was age-, sex-, and location-matched with a control. </w:t>
            </w:r>
          </w:p>
          <w:p w14:paraId="4B69B872" w14:textId="77777777" w:rsidR="002D58E4" w:rsidRDefault="00F721D4">
            <w:pPr>
              <w:rPr>
                <w:sz w:val="20"/>
                <w:szCs w:val="20"/>
              </w:rPr>
            </w:pPr>
            <w:r>
              <w:rPr>
                <w:sz w:val="20"/>
                <w:szCs w:val="20"/>
              </w:rPr>
              <w:t xml:space="preserve">Subjects were interviewed by telephone using a questionnaire on activities during the </w:t>
            </w:r>
            <w:r>
              <w:rPr>
                <w:sz w:val="20"/>
                <w:szCs w:val="20"/>
              </w:rPr>
              <w:lastRenderedPageBreak/>
              <w:t>month prior to the case onset of EM.</w:t>
            </w:r>
          </w:p>
        </w:tc>
        <w:tc>
          <w:tcPr>
            <w:tcW w:w="2880" w:type="dxa"/>
          </w:tcPr>
          <w:p w14:paraId="31D5C0A9" w14:textId="77777777" w:rsidR="002D58E4" w:rsidRDefault="00F721D4">
            <w:pPr>
              <w:rPr>
                <w:sz w:val="20"/>
                <w:szCs w:val="20"/>
              </w:rPr>
            </w:pPr>
            <w:r>
              <w:rPr>
                <w:sz w:val="20"/>
                <w:szCs w:val="20"/>
                <w:u w:val="single"/>
              </w:rPr>
              <w:lastRenderedPageBreak/>
              <w:t>Questionnaire evaluated</w:t>
            </w:r>
            <w:r>
              <w:rPr>
                <w:sz w:val="20"/>
                <w:szCs w:val="20"/>
              </w:rPr>
              <w:t xml:space="preserve">: location of home; presence of wildlife around the house; hours of outdoor work and outdoor leisure activities; knowledge about Lyme disease; </w:t>
            </w:r>
            <w:r>
              <w:rPr>
                <w:b/>
                <w:sz w:val="20"/>
                <w:szCs w:val="20"/>
              </w:rPr>
              <w:t>pet ownership;</w:t>
            </w:r>
            <w:r>
              <w:rPr>
                <w:sz w:val="20"/>
                <w:szCs w:val="20"/>
              </w:rPr>
              <w:t xml:space="preserve"> and </w:t>
            </w:r>
            <w:r>
              <w:rPr>
                <w:b/>
                <w:sz w:val="20"/>
                <w:szCs w:val="20"/>
                <w:u w:val="single"/>
              </w:rPr>
              <w:t>personal protective measures</w:t>
            </w:r>
            <w:r>
              <w:rPr>
                <w:b/>
                <w:sz w:val="20"/>
                <w:szCs w:val="20"/>
              </w:rPr>
              <w:t xml:space="preserve"> such as protective</w:t>
            </w:r>
            <w:r>
              <w:rPr>
                <w:b/>
                <w:sz w:val="20"/>
                <w:szCs w:val="20"/>
                <w:u w:val="single"/>
              </w:rPr>
              <w:t xml:space="preserve"> </w:t>
            </w:r>
            <w:r>
              <w:rPr>
                <w:b/>
                <w:sz w:val="20"/>
                <w:szCs w:val="20"/>
              </w:rPr>
              <w:t xml:space="preserve">clothing </w:t>
            </w:r>
            <w:r>
              <w:rPr>
                <w:sz w:val="20"/>
                <w:szCs w:val="20"/>
              </w:rPr>
              <w:t xml:space="preserve">(e.g. light-colored clothing, long pants </w:t>
            </w:r>
            <w:r>
              <w:rPr>
                <w:sz w:val="20"/>
                <w:szCs w:val="20"/>
              </w:rPr>
              <w:lastRenderedPageBreak/>
              <w:t>and sleeves, and tucking socks into pants),</w:t>
            </w:r>
            <w:r>
              <w:rPr>
                <w:b/>
                <w:sz w:val="20"/>
                <w:szCs w:val="20"/>
              </w:rPr>
              <w:t xml:space="preserve"> tick checks, </w:t>
            </w:r>
            <w:r>
              <w:rPr>
                <w:sz w:val="20"/>
                <w:szCs w:val="20"/>
              </w:rPr>
              <w:t xml:space="preserve">and </w:t>
            </w:r>
            <w:r>
              <w:rPr>
                <w:b/>
                <w:sz w:val="20"/>
                <w:szCs w:val="20"/>
              </w:rPr>
              <w:t>tick removal methods</w:t>
            </w:r>
          </w:p>
        </w:tc>
        <w:tc>
          <w:tcPr>
            <w:tcW w:w="2430" w:type="dxa"/>
          </w:tcPr>
          <w:p w14:paraId="704CE5AA" w14:textId="77777777" w:rsidR="002D58E4" w:rsidRDefault="00F721D4">
            <w:pPr>
              <w:rPr>
                <w:sz w:val="20"/>
                <w:szCs w:val="20"/>
              </w:rPr>
            </w:pPr>
            <w:r>
              <w:rPr>
                <w:b/>
                <w:sz w:val="20"/>
                <w:szCs w:val="20"/>
              </w:rPr>
              <w:lastRenderedPageBreak/>
              <w:t>Odds ratios of acquiring Lyme disease</w:t>
            </w:r>
            <w:r>
              <w:rPr>
                <w:sz w:val="20"/>
                <w:szCs w:val="20"/>
              </w:rPr>
              <w:t xml:space="preserve"> (identified as a case of Erythema migrans) for each risk factor.</w:t>
            </w:r>
          </w:p>
        </w:tc>
        <w:tc>
          <w:tcPr>
            <w:tcW w:w="3060" w:type="dxa"/>
          </w:tcPr>
          <w:p w14:paraId="51139588" w14:textId="77777777" w:rsidR="002D58E4" w:rsidRDefault="00F721D4">
            <w:pPr>
              <w:rPr>
                <w:sz w:val="20"/>
                <w:szCs w:val="20"/>
              </w:rPr>
            </w:pPr>
            <w:r>
              <w:rPr>
                <w:sz w:val="20"/>
                <w:szCs w:val="20"/>
              </w:rPr>
              <w:t xml:space="preserve">The only activity associated with Lyme disease was the use for more than 5 hours per week of wide maintained trails (OR = 11.33,95% CI 1.33-123.5); this association occurred only in persons with other outdoor leisure activities. </w:t>
            </w:r>
          </w:p>
          <w:p w14:paraId="775C5619" w14:textId="77777777" w:rsidR="002D58E4" w:rsidRDefault="00F721D4">
            <w:pPr>
              <w:rPr>
                <w:sz w:val="20"/>
                <w:szCs w:val="20"/>
              </w:rPr>
            </w:pPr>
            <w:r>
              <w:rPr>
                <w:b/>
                <w:sz w:val="20"/>
                <w:szCs w:val="20"/>
              </w:rPr>
              <w:t xml:space="preserve">No other behaviors or activities were identified as risk factors for </w:t>
            </w:r>
            <w:r>
              <w:rPr>
                <w:b/>
                <w:sz w:val="20"/>
                <w:szCs w:val="20"/>
              </w:rPr>
              <w:lastRenderedPageBreak/>
              <w:t>acquisition of Lyme disease in California</w:t>
            </w:r>
            <w:r>
              <w:rPr>
                <w:sz w:val="20"/>
                <w:szCs w:val="20"/>
              </w:rPr>
              <w:t>.</w:t>
            </w:r>
          </w:p>
        </w:tc>
      </w:tr>
      <w:tr w:rsidR="002D58E4" w14:paraId="4CEE504D" w14:textId="77777777">
        <w:tc>
          <w:tcPr>
            <w:tcW w:w="1080" w:type="dxa"/>
          </w:tcPr>
          <w:p w14:paraId="78E6924D" w14:textId="77777777" w:rsidR="002D58E4" w:rsidRPr="00F721D4" w:rsidRDefault="00F721D4">
            <w:pPr>
              <w:rPr>
                <w:sz w:val="20"/>
                <w:szCs w:val="20"/>
                <w:lang w:val="fr-CA"/>
              </w:rPr>
            </w:pPr>
            <w:r w:rsidRPr="00F721D4">
              <w:rPr>
                <w:sz w:val="20"/>
                <w:szCs w:val="20"/>
                <w:lang w:val="fr-CA"/>
              </w:rPr>
              <w:t>Klein, 1996</w:t>
            </w:r>
          </w:p>
          <w:p w14:paraId="40879034" w14:textId="77777777" w:rsidR="002D58E4" w:rsidRPr="00F721D4" w:rsidRDefault="002D58E4">
            <w:pPr>
              <w:rPr>
                <w:sz w:val="20"/>
                <w:szCs w:val="20"/>
                <w:lang w:val="fr-CA"/>
              </w:rPr>
            </w:pPr>
          </w:p>
          <w:p w14:paraId="2BB3FB06" w14:textId="77777777" w:rsidR="002D58E4" w:rsidRPr="00F721D4" w:rsidRDefault="00F721D4">
            <w:pPr>
              <w:rPr>
                <w:sz w:val="20"/>
                <w:szCs w:val="20"/>
                <w:lang w:val="fr-CA"/>
              </w:rPr>
            </w:pPr>
            <w:r w:rsidRPr="00F721D4">
              <w:rPr>
                <w:sz w:val="20"/>
                <w:szCs w:val="20"/>
                <w:lang w:val="fr-CA"/>
              </w:rPr>
              <w:t>CT, DE, MD, NJ, PA states; USA</w:t>
            </w:r>
          </w:p>
        </w:tc>
        <w:tc>
          <w:tcPr>
            <w:tcW w:w="1080" w:type="dxa"/>
          </w:tcPr>
          <w:p w14:paraId="32B1F0BE" w14:textId="77777777" w:rsidR="002D58E4" w:rsidRDefault="00F721D4">
            <w:pPr>
              <w:rPr>
                <w:sz w:val="20"/>
                <w:szCs w:val="20"/>
              </w:rPr>
            </w:pPr>
            <w:r>
              <w:rPr>
                <w:sz w:val="20"/>
                <w:szCs w:val="20"/>
              </w:rPr>
              <w:t>Case-control study of risk factors for incident Lyme disease in children</w:t>
            </w:r>
          </w:p>
        </w:tc>
        <w:tc>
          <w:tcPr>
            <w:tcW w:w="810" w:type="dxa"/>
          </w:tcPr>
          <w:p w14:paraId="6F6D8183" w14:textId="77777777" w:rsidR="002D58E4" w:rsidRDefault="00F721D4">
            <w:pPr>
              <w:jc w:val="center"/>
              <w:rPr>
                <w:sz w:val="20"/>
                <w:szCs w:val="20"/>
              </w:rPr>
            </w:pPr>
            <w:r>
              <w:rPr>
                <w:sz w:val="20"/>
                <w:szCs w:val="20"/>
              </w:rPr>
              <w:t>6</w:t>
            </w:r>
          </w:p>
        </w:tc>
        <w:tc>
          <w:tcPr>
            <w:tcW w:w="1144" w:type="dxa"/>
          </w:tcPr>
          <w:p w14:paraId="570E6C49" w14:textId="77777777" w:rsidR="002D58E4" w:rsidRDefault="00F721D4">
            <w:pPr>
              <w:jc w:val="center"/>
              <w:rPr>
                <w:sz w:val="20"/>
                <w:szCs w:val="20"/>
              </w:rPr>
            </w:pPr>
            <w:r>
              <w:rPr>
                <w:sz w:val="20"/>
                <w:szCs w:val="20"/>
              </w:rPr>
              <w:t>NA</w:t>
            </w:r>
          </w:p>
          <w:p w14:paraId="5F5D035C" w14:textId="77777777" w:rsidR="002D58E4" w:rsidRDefault="002D58E4">
            <w:pPr>
              <w:jc w:val="center"/>
              <w:rPr>
                <w:sz w:val="20"/>
                <w:szCs w:val="20"/>
              </w:rPr>
            </w:pPr>
          </w:p>
        </w:tc>
        <w:tc>
          <w:tcPr>
            <w:tcW w:w="2160" w:type="dxa"/>
          </w:tcPr>
          <w:p w14:paraId="0E56CE45" w14:textId="77777777" w:rsidR="002D58E4" w:rsidRDefault="00F721D4">
            <w:pPr>
              <w:rPr>
                <w:sz w:val="20"/>
                <w:szCs w:val="20"/>
              </w:rPr>
            </w:pPr>
            <w:r>
              <w:rPr>
                <w:sz w:val="20"/>
                <w:szCs w:val="20"/>
              </w:rPr>
              <w:t xml:space="preserve">44 pediatric cases with LD from the Lyme Clinic population were age- and sex-matched 1:1 to controls from the same neighborhood. </w:t>
            </w:r>
          </w:p>
          <w:p w14:paraId="3333EB7C" w14:textId="77777777" w:rsidR="002D58E4" w:rsidRDefault="00F721D4">
            <w:pPr>
              <w:rPr>
                <w:sz w:val="20"/>
                <w:szCs w:val="20"/>
              </w:rPr>
            </w:pPr>
            <w:r>
              <w:rPr>
                <w:sz w:val="20"/>
                <w:szCs w:val="20"/>
              </w:rPr>
              <w:t>Site visits were performed to assess environmental variables; parents were interviewed using a questionnaire.</w:t>
            </w:r>
          </w:p>
          <w:p w14:paraId="69DDB349" w14:textId="77777777" w:rsidR="002D58E4" w:rsidRDefault="00F721D4">
            <w:pPr>
              <w:rPr>
                <w:sz w:val="20"/>
                <w:szCs w:val="20"/>
              </w:rPr>
            </w:pPr>
            <w:r>
              <w:rPr>
                <w:sz w:val="20"/>
                <w:szCs w:val="20"/>
              </w:rPr>
              <w:t>Controls were tested for Lyme disease (EIA and Western immunoblot).</w:t>
            </w:r>
          </w:p>
        </w:tc>
        <w:tc>
          <w:tcPr>
            <w:tcW w:w="2880" w:type="dxa"/>
          </w:tcPr>
          <w:p w14:paraId="7933DD0B" w14:textId="77777777" w:rsidR="002D58E4" w:rsidRDefault="00F721D4">
            <w:pPr>
              <w:rPr>
                <w:sz w:val="20"/>
                <w:szCs w:val="20"/>
                <w:u w:val="single"/>
              </w:rPr>
            </w:pPr>
            <w:r>
              <w:rPr>
                <w:sz w:val="20"/>
                <w:szCs w:val="20"/>
                <w:u w:val="single"/>
              </w:rPr>
              <w:t>Questionnaire evaluated</w:t>
            </w:r>
            <w:r>
              <w:rPr>
                <w:sz w:val="20"/>
                <w:szCs w:val="20"/>
              </w:rPr>
              <w:t xml:space="preserve">: the amount of time children spent outdoors, play activities and household chores engaged in by the child, the animals identified on the families' property, </w:t>
            </w:r>
            <w:r>
              <w:rPr>
                <w:b/>
                <w:sz w:val="20"/>
                <w:szCs w:val="20"/>
              </w:rPr>
              <w:t>owning pets</w:t>
            </w:r>
            <w:r>
              <w:rPr>
                <w:sz w:val="20"/>
                <w:szCs w:val="20"/>
              </w:rPr>
              <w:t xml:space="preserve">, </w:t>
            </w:r>
            <w:r>
              <w:rPr>
                <w:b/>
                <w:sz w:val="20"/>
                <w:szCs w:val="20"/>
              </w:rPr>
              <w:t>frequency of bathing</w:t>
            </w:r>
            <w:r>
              <w:rPr>
                <w:sz w:val="20"/>
                <w:szCs w:val="20"/>
              </w:rPr>
              <w:t xml:space="preserve">, etc., and the use of </w:t>
            </w:r>
            <w:r>
              <w:rPr>
                <w:b/>
                <w:sz w:val="20"/>
                <w:szCs w:val="20"/>
                <w:u w:val="single"/>
              </w:rPr>
              <w:t>personal protective measures</w:t>
            </w:r>
            <w:r>
              <w:rPr>
                <w:b/>
                <w:sz w:val="20"/>
                <w:szCs w:val="20"/>
              </w:rPr>
              <w:t xml:space="preserve"> such as tick checks and protective clothing (long pants and shirts, socks)</w:t>
            </w:r>
          </w:p>
        </w:tc>
        <w:tc>
          <w:tcPr>
            <w:tcW w:w="2430" w:type="dxa"/>
          </w:tcPr>
          <w:p w14:paraId="55B3F3EB" w14:textId="77777777" w:rsidR="002D58E4" w:rsidRDefault="00F721D4">
            <w:pPr>
              <w:rPr>
                <w:b/>
                <w:sz w:val="20"/>
                <w:szCs w:val="20"/>
              </w:rPr>
            </w:pPr>
            <w:r>
              <w:rPr>
                <w:b/>
                <w:sz w:val="20"/>
                <w:szCs w:val="20"/>
              </w:rPr>
              <w:t xml:space="preserve">Odds ratios of acquiring Lyme disease </w:t>
            </w:r>
            <w:r>
              <w:rPr>
                <w:sz w:val="20"/>
                <w:szCs w:val="20"/>
              </w:rPr>
              <w:t>were calculated</w:t>
            </w:r>
            <w:r>
              <w:rPr>
                <w:b/>
                <w:sz w:val="20"/>
                <w:szCs w:val="20"/>
              </w:rPr>
              <w:t xml:space="preserve"> </w:t>
            </w:r>
          </w:p>
        </w:tc>
        <w:tc>
          <w:tcPr>
            <w:tcW w:w="3060" w:type="dxa"/>
          </w:tcPr>
          <w:p w14:paraId="73A16133" w14:textId="77777777" w:rsidR="002D58E4" w:rsidRDefault="00F721D4">
            <w:pPr>
              <w:rPr>
                <w:sz w:val="20"/>
                <w:szCs w:val="20"/>
              </w:rPr>
            </w:pPr>
            <w:r>
              <w:rPr>
                <w:sz w:val="20"/>
                <w:szCs w:val="20"/>
              </w:rPr>
              <w:t xml:space="preserve">Significant associations with Lyme disease were found for deer ticks in the home environment, ground cover containing moist humus, and leaf litter in the yard. </w:t>
            </w:r>
          </w:p>
          <w:p w14:paraId="111AD1C6" w14:textId="77777777" w:rsidR="002D58E4" w:rsidRDefault="00F721D4">
            <w:pPr>
              <w:rPr>
                <w:b/>
                <w:sz w:val="20"/>
                <w:szCs w:val="20"/>
              </w:rPr>
            </w:pPr>
            <w:r>
              <w:rPr>
                <w:b/>
                <w:sz w:val="20"/>
                <w:szCs w:val="20"/>
              </w:rPr>
              <w:t>There was no correlation with Lyme disease for the use of any anti-tick measures or for any childhood activities.</w:t>
            </w:r>
          </w:p>
        </w:tc>
      </w:tr>
      <w:tr w:rsidR="002D58E4" w14:paraId="0DEBACBF" w14:textId="77777777">
        <w:tc>
          <w:tcPr>
            <w:tcW w:w="1080" w:type="dxa"/>
          </w:tcPr>
          <w:p w14:paraId="6D8B7CBA" w14:textId="77777777" w:rsidR="002D58E4" w:rsidRDefault="00F721D4">
            <w:pPr>
              <w:rPr>
                <w:sz w:val="20"/>
                <w:szCs w:val="20"/>
              </w:rPr>
            </w:pPr>
            <w:r>
              <w:rPr>
                <w:sz w:val="20"/>
                <w:szCs w:val="20"/>
              </w:rPr>
              <w:t>Orloski, 1998</w:t>
            </w:r>
          </w:p>
          <w:p w14:paraId="1B3CD4D9" w14:textId="77777777" w:rsidR="002D58E4" w:rsidRDefault="002D58E4">
            <w:pPr>
              <w:rPr>
                <w:sz w:val="20"/>
                <w:szCs w:val="20"/>
              </w:rPr>
            </w:pPr>
          </w:p>
          <w:p w14:paraId="07BE4441" w14:textId="77777777" w:rsidR="002D58E4" w:rsidRDefault="00F721D4">
            <w:pPr>
              <w:rPr>
                <w:sz w:val="20"/>
                <w:szCs w:val="20"/>
              </w:rPr>
            </w:pPr>
            <w:r>
              <w:rPr>
                <w:sz w:val="20"/>
                <w:szCs w:val="20"/>
              </w:rPr>
              <w:t>NJ, USA</w:t>
            </w:r>
          </w:p>
        </w:tc>
        <w:tc>
          <w:tcPr>
            <w:tcW w:w="1080" w:type="dxa"/>
          </w:tcPr>
          <w:p w14:paraId="294D26AA" w14:textId="77777777" w:rsidR="002D58E4" w:rsidRDefault="00F721D4">
            <w:pPr>
              <w:rPr>
                <w:sz w:val="20"/>
                <w:szCs w:val="20"/>
              </w:rPr>
            </w:pPr>
            <w:r>
              <w:rPr>
                <w:sz w:val="20"/>
                <w:szCs w:val="20"/>
              </w:rPr>
              <w:t>Case-control study of risk factors for incident Lyme disease</w:t>
            </w:r>
          </w:p>
        </w:tc>
        <w:tc>
          <w:tcPr>
            <w:tcW w:w="810" w:type="dxa"/>
          </w:tcPr>
          <w:p w14:paraId="0FD11251" w14:textId="77777777" w:rsidR="002D58E4" w:rsidRDefault="00F721D4">
            <w:pPr>
              <w:jc w:val="center"/>
              <w:rPr>
                <w:sz w:val="20"/>
                <w:szCs w:val="20"/>
              </w:rPr>
            </w:pPr>
            <w:r>
              <w:rPr>
                <w:sz w:val="20"/>
                <w:szCs w:val="20"/>
              </w:rPr>
              <w:t>6</w:t>
            </w:r>
          </w:p>
        </w:tc>
        <w:tc>
          <w:tcPr>
            <w:tcW w:w="1144" w:type="dxa"/>
          </w:tcPr>
          <w:p w14:paraId="62B856A2" w14:textId="77777777" w:rsidR="002D58E4" w:rsidRDefault="00F721D4">
            <w:pPr>
              <w:jc w:val="center"/>
              <w:rPr>
                <w:sz w:val="20"/>
                <w:szCs w:val="20"/>
              </w:rPr>
            </w:pPr>
            <w:r>
              <w:rPr>
                <w:sz w:val="20"/>
                <w:szCs w:val="20"/>
              </w:rPr>
              <w:t>NA</w:t>
            </w:r>
          </w:p>
          <w:p w14:paraId="54E0814E" w14:textId="77777777" w:rsidR="002D58E4" w:rsidRDefault="002D58E4">
            <w:pPr>
              <w:jc w:val="center"/>
              <w:rPr>
                <w:sz w:val="20"/>
                <w:szCs w:val="20"/>
              </w:rPr>
            </w:pPr>
          </w:p>
        </w:tc>
        <w:tc>
          <w:tcPr>
            <w:tcW w:w="2160" w:type="dxa"/>
          </w:tcPr>
          <w:p w14:paraId="43CD8239" w14:textId="77777777" w:rsidR="002D58E4" w:rsidRDefault="00F721D4">
            <w:pPr>
              <w:rPr>
                <w:sz w:val="20"/>
                <w:szCs w:val="20"/>
              </w:rPr>
            </w:pPr>
            <w:r>
              <w:rPr>
                <w:sz w:val="20"/>
                <w:szCs w:val="20"/>
              </w:rPr>
              <w:t xml:space="preserve">51 cases with documented EM in 1993 in Hunterdon County, NJ were age-matched with 51 controls. </w:t>
            </w:r>
          </w:p>
          <w:p w14:paraId="3E09AC55" w14:textId="77777777" w:rsidR="002D58E4" w:rsidRDefault="00F721D4">
            <w:pPr>
              <w:rPr>
                <w:sz w:val="20"/>
                <w:szCs w:val="20"/>
              </w:rPr>
            </w:pPr>
            <w:r>
              <w:rPr>
                <w:sz w:val="20"/>
                <w:szCs w:val="20"/>
              </w:rPr>
              <w:t>Subjects were interviewed by telephone using a questionnaire on activities during the summer of 1993 and on other possible risk factors. Blood samples were tested for Lyme disease (EIA and Western immunoblot).</w:t>
            </w:r>
          </w:p>
        </w:tc>
        <w:tc>
          <w:tcPr>
            <w:tcW w:w="2880" w:type="dxa"/>
          </w:tcPr>
          <w:p w14:paraId="14251ABD" w14:textId="77777777" w:rsidR="002D58E4" w:rsidRDefault="00F721D4">
            <w:pPr>
              <w:rPr>
                <w:sz w:val="20"/>
                <w:szCs w:val="20"/>
              </w:rPr>
            </w:pPr>
            <w:r>
              <w:rPr>
                <w:sz w:val="20"/>
                <w:szCs w:val="20"/>
                <w:u w:val="single"/>
              </w:rPr>
              <w:t>Questionnaire evaluated</w:t>
            </w:r>
            <w:r>
              <w:rPr>
                <w:sz w:val="20"/>
                <w:szCs w:val="20"/>
              </w:rPr>
              <w:t xml:space="preserve">: clinical details of the illness (cases only); the characteristics of residential property; the frequency of observing deer on the residential property; outdoor activities; </w:t>
            </w:r>
            <w:r>
              <w:rPr>
                <w:b/>
                <w:sz w:val="20"/>
                <w:szCs w:val="20"/>
              </w:rPr>
              <w:t>cat ownership</w:t>
            </w:r>
            <w:r>
              <w:rPr>
                <w:sz w:val="20"/>
                <w:szCs w:val="20"/>
              </w:rPr>
              <w:t xml:space="preserve">; and </w:t>
            </w:r>
            <w:r>
              <w:rPr>
                <w:b/>
                <w:sz w:val="20"/>
                <w:szCs w:val="20"/>
                <w:u w:val="single"/>
              </w:rPr>
              <w:t>personal protective measures</w:t>
            </w:r>
            <w:r>
              <w:rPr>
                <w:sz w:val="20"/>
                <w:szCs w:val="20"/>
              </w:rPr>
              <w:t xml:space="preserve">, such as use of repellent; use of </w:t>
            </w:r>
            <w:r>
              <w:rPr>
                <w:b/>
                <w:sz w:val="20"/>
                <w:szCs w:val="20"/>
              </w:rPr>
              <w:t>protective clothing</w:t>
            </w:r>
            <w:r>
              <w:rPr>
                <w:sz w:val="20"/>
                <w:szCs w:val="20"/>
              </w:rPr>
              <w:t xml:space="preserve"> (long pants; tucking pants into socks, light-colored clothing), and </w:t>
            </w:r>
            <w:r>
              <w:rPr>
                <w:b/>
                <w:sz w:val="20"/>
                <w:szCs w:val="20"/>
              </w:rPr>
              <w:t>tick checks.</w:t>
            </w:r>
          </w:p>
        </w:tc>
        <w:tc>
          <w:tcPr>
            <w:tcW w:w="2430" w:type="dxa"/>
          </w:tcPr>
          <w:p w14:paraId="6E7F80AD" w14:textId="77777777" w:rsidR="002D58E4" w:rsidRDefault="00F721D4">
            <w:pPr>
              <w:rPr>
                <w:sz w:val="20"/>
                <w:szCs w:val="20"/>
              </w:rPr>
            </w:pPr>
            <w:r>
              <w:rPr>
                <w:b/>
                <w:sz w:val="20"/>
                <w:szCs w:val="20"/>
              </w:rPr>
              <w:t>Odds ratios of acquiring Lyme disease</w:t>
            </w:r>
            <w:r>
              <w:rPr>
                <w:sz w:val="20"/>
                <w:szCs w:val="20"/>
              </w:rPr>
              <w:t xml:space="preserve"> (identified as a case of erythema migrans); </w:t>
            </w:r>
          </w:p>
          <w:p w14:paraId="2C7859A5" w14:textId="77777777" w:rsidR="002D58E4" w:rsidRDefault="00F721D4">
            <w:pPr>
              <w:rPr>
                <w:sz w:val="20"/>
                <w:szCs w:val="20"/>
              </w:rPr>
            </w:pPr>
            <w:r>
              <w:rPr>
                <w:sz w:val="20"/>
                <w:szCs w:val="20"/>
              </w:rPr>
              <w:t xml:space="preserve">univariate and multivariate (for variables with </w:t>
            </w:r>
            <w:r>
              <w:rPr>
                <w:i/>
                <w:sz w:val="20"/>
                <w:szCs w:val="20"/>
              </w:rPr>
              <w:t xml:space="preserve">p </w:t>
            </w:r>
            <w:r>
              <w:rPr>
                <w:sz w:val="20"/>
                <w:szCs w:val="20"/>
              </w:rPr>
              <w:t>≤ 0.10) conditional logistic regressions were performed</w:t>
            </w:r>
          </w:p>
        </w:tc>
        <w:tc>
          <w:tcPr>
            <w:tcW w:w="3060" w:type="dxa"/>
          </w:tcPr>
          <w:p w14:paraId="2013DEE4" w14:textId="77777777" w:rsidR="002D58E4" w:rsidRDefault="00F721D4">
            <w:pPr>
              <w:rPr>
                <w:sz w:val="20"/>
                <w:szCs w:val="20"/>
              </w:rPr>
            </w:pPr>
            <w:r>
              <w:rPr>
                <w:sz w:val="20"/>
                <w:szCs w:val="20"/>
              </w:rPr>
              <w:t>Rural residence; clearing peri-residential brush during spring and summer months; and the presence of rock walls, woods, deer, or a bird feeder on residential property were associated with incident Lyme disease.</w:t>
            </w:r>
          </w:p>
          <w:p w14:paraId="355AA366" w14:textId="77777777" w:rsidR="002D58E4" w:rsidRDefault="00F721D4">
            <w:pPr>
              <w:rPr>
                <w:b/>
                <w:sz w:val="20"/>
                <w:szCs w:val="20"/>
              </w:rPr>
            </w:pPr>
            <w:r>
              <w:rPr>
                <w:b/>
                <w:sz w:val="20"/>
                <w:szCs w:val="20"/>
              </w:rPr>
              <w:t xml:space="preserve">Higher proportion of controls than of cases performed regular tick checks, but the difference was not significant. None of the other personal protective measures showed a statistically significant effect on incident Lyme disease. </w:t>
            </w:r>
          </w:p>
          <w:p w14:paraId="713B6056" w14:textId="77777777" w:rsidR="002D58E4" w:rsidRDefault="00F721D4">
            <w:pPr>
              <w:rPr>
                <w:sz w:val="20"/>
                <w:szCs w:val="20"/>
              </w:rPr>
            </w:pPr>
            <w:r>
              <w:rPr>
                <w:sz w:val="20"/>
                <w:szCs w:val="20"/>
              </w:rPr>
              <w:t xml:space="preserve">Cat ownership also had no effect on the incidence of Lyme disease. </w:t>
            </w:r>
          </w:p>
        </w:tc>
      </w:tr>
      <w:tr w:rsidR="002D58E4" w14:paraId="53267299" w14:textId="77777777">
        <w:tc>
          <w:tcPr>
            <w:tcW w:w="1080" w:type="dxa"/>
          </w:tcPr>
          <w:p w14:paraId="254EC546" w14:textId="77777777" w:rsidR="002D58E4" w:rsidRDefault="00F721D4">
            <w:pPr>
              <w:rPr>
                <w:sz w:val="20"/>
                <w:szCs w:val="20"/>
              </w:rPr>
            </w:pPr>
            <w:r>
              <w:rPr>
                <w:sz w:val="20"/>
                <w:szCs w:val="20"/>
              </w:rPr>
              <w:t>Vazquez, 2008</w:t>
            </w:r>
          </w:p>
          <w:p w14:paraId="59F2D682" w14:textId="77777777" w:rsidR="002D58E4" w:rsidRDefault="002D58E4">
            <w:pPr>
              <w:rPr>
                <w:sz w:val="20"/>
                <w:szCs w:val="20"/>
              </w:rPr>
            </w:pPr>
          </w:p>
          <w:p w14:paraId="541C2F63" w14:textId="77777777" w:rsidR="002D58E4" w:rsidRDefault="00F721D4">
            <w:pPr>
              <w:rPr>
                <w:sz w:val="20"/>
                <w:szCs w:val="20"/>
              </w:rPr>
            </w:pPr>
            <w:r>
              <w:rPr>
                <w:sz w:val="20"/>
                <w:szCs w:val="20"/>
              </w:rPr>
              <w:t>CT, USA</w:t>
            </w:r>
          </w:p>
        </w:tc>
        <w:tc>
          <w:tcPr>
            <w:tcW w:w="1080" w:type="dxa"/>
          </w:tcPr>
          <w:p w14:paraId="5852D3F6" w14:textId="77777777" w:rsidR="002D58E4" w:rsidRDefault="00F721D4">
            <w:pPr>
              <w:rPr>
                <w:sz w:val="20"/>
                <w:szCs w:val="20"/>
              </w:rPr>
            </w:pPr>
            <w:r>
              <w:rPr>
                <w:sz w:val="20"/>
                <w:szCs w:val="20"/>
              </w:rPr>
              <w:t xml:space="preserve">Case-control study of risk factors for incident </w:t>
            </w:r>
            <w:r>
              <w:rPr>
                <w:sz w:val="20"/>
                <w:szCs w:val="20"/>
              </w:rPr>
              <w:lastRenderedPageBreak/>
              <w:t>Lyme disease</w:t>
            </w:r>
          </w:p>
        </w:tc>
        <w:tc>
          <w:tcPr>
            <w:tcW w:w="810" w:type="dxa"/>
          </w:tcPr>
          <w:p w14:paraId="7C9A6CE4" w14:textId="77777777" w:rsidR="002D58E4" w:rsidRDefault="00F721D4">
            <w:pPr>
              <w:jc w:val="center"/>
              <w:rPr>
                <w:sz w:val="20"/>
                <w:szCs w:val="20"/>
              </w:rPr>
            </w:pPr>
            <w:r>
              <w:rPr>
                <w:sz w:val="20"/>
                <w:szCs w:val="20"/>
              </w:rPr>
              <w:lastRenderedPageBreak/>
              <w:t>7</w:t>
            </w:r>
          </w:p>
        </w:tc>
        <w:tc>
          <w:tcPr>
            <w:tcW w:w="1144" w:type="dxa"/>
          </w:tcPr>
          <w:p w14:paraId="4B504F94" w14:textId="77777777" w:rsidR="002D58E4" w:rsidRDefault="00F721D4">
            <w:pPr>
              <w:jc w:val="center"/>
              <w:rPr>
                <w:sz w:val="20"/>
                <w:szCs w:val="20"/>
              </w:rPr>
            </w:pPr>
            <w:r>
              <w:rPr>
                <w:sz w:val="20"/>
                <w:szCs w:val="20"/>
              </w:rPr>
              <w:t>NA</w:t>
            </w:r>
          </w:p>
        </w:tc>
        <w:tc>
          <w:tcPr>
            <w:tcW w:w="2160" w:type="dxa"/>
          </w:tcPr>
          <w:p w14:paraId="6309B835" w14:textId="77777777" w:rsidR="002D58E4" w:rsidRDefault="00F721D4">
            <w:pPr>
              <w:rPr>
                <w:sz w:val="20"/>
                <w:szCs w:val="20"/>
              </w:rPr>
            </w:pPr>
            <w:r>
              <w:rPr>
                <w:sz w:val="20"/>
                <w:szCs w:val="20"/>
              </w:rPr>
              <w:t xml:space="preserve">709 cases with LD reported to Connecticut’s Dep. of Public Health and classified as having </w:t>
            </w:r>
            <w:r>
              <w:rPr>
                <w:sz w:val="20"/>
                <w:szCs w:val="20"/>
              </w:rPr>
              <w:lastRenderedPageBreak/>
              <w:t xml:space="preserve">definite (66%), possible (15%), or unlikely (19%) LD. Each case was age- and location-matched with 2 controls. </w:t>
            </w:r>
          </w:p>
          <w:p w14:paraId="06ECA21F" w14:textId="77777777" w:rsidR="002D58E4" w:rsidRDefault="002D58E4">
            <w:pPr>
              <w:rPr>
                <w:sz w:val="20"/>
                <w:szCs w:val="20"/>
              </w:rPr>
            </w:pPr>
          </w:p>
          <w:p w14:paraId="3F144312" w14:textId="77777777" w:rsidR="002D58E4" w:rsidRDefault="00F721D4">
            <w:pPr>
              <w:rPr>
                <w:sz w:val="20"/>
                <w:szCs w:val="20"/>
              </w:rPr>
            </w:pPr>
            <w:r>
              <w:rPr>
                <w:sz w:val="20"/>
                <w:szCs w:val="20"/>
              </w:rPr>
              <w:t>Subjects were interviewed by telephone using a questionnaire.</w:t>
            </w:r>
          </w:p>
        </w:tc>
        <w:tc>
          <w:tcPr>
            <w:tcW w:w="2880" w:type="dxa"/>
          </w:tcPr>
          <w:p w14:paraId="075DF225" w14:textId="77777777" w:rsidR="002D58E4" w:rsidRDefault="00F721D4">
            <w:pPr>
              <w:rPr>
                <w:sz w:val="20"/>
                <w:szCs w:val="20"/>
              </w:rPr>
            </w:pPr>
            <w:r>
              <w:rPr>
                <w:sz w:val="20"/>
                <w:szCs w:val="20"/>
                <w:u w:val="single"/>
              </w:rPr>
              <w:lastRenderedPageBreak/>
              <w:t>Questionnaire evaluated</w:t>
            </w:r>
            <w:r>
              <w:rPr>
                <w:sz w:val="20"/>
                <w:szCs w:val="20"/>
              </w:rPr>
              <w:t xml:space="preserve">:  clinical features of LD (cases); demographics; occupational (forestry or landscaping) and </w:t>
            </w:r>
            <w:r>
              <w:rPr>
                <w:sz w:val="20"/>
                <w:szCs w:val="20"/>
              </w:rPr>
              <w:lastRenderedPageBreak/>
              <w:t xml:space="preserve">recreational risk factors (camping or other outdoor activities); and </w:t>
            </w:r>
            <w:r>
              <w:rPr>
                <w:b/>
                <w:sz w:val="20"/>
                <w:szCs w:val="20"/>
                <w:u w:val="single"/>
              </w:rPr>
              <w:t>personal protective measures</w:t>
            </w:r>
            <w:r>
              <w:rPr>
                <w:b/>
                <w:sz w:val="20"/>
                <w:szCs w:val="20"/>
              </w:rPr>
              <w:t>:</w:t>
            </w:r>
          </w:p>
          <w:p w14:paraId="3A1F186F" w14:textId="77777777" w:rsidR="002D58E4" w:rsidRDefault="00F721D4">
            <w:pPr>
              <w:rPr>
                <w:sz w:val="20"/>
                <w:szCs w:val="20"/>
              </w:rPr>
            </w:pPr>
            <w:r>
              <w:rPr>
                <w:sz w:val="20"/>
                <w:szCs w:val="20"/>
              </w:rPr>
              <w:t xml:space="preserve">use of tick repellents on the skin or clothing while outdoors; spraying one’s property with acaricides; use of </w:t>
            </w:r>
            <w:r>
              <w:rPr>
                <w:b/>
                <w:sz w:val="20"/>
                <w:szCs w:val="20"/>
              </w:rPr>
              <w:t>protective clothing</w:t>
            </w:r>
            <w:r>
              <w:rPr>
                <w:sz w:val="20"/>
                <w:szCs w:val="20"/>
              </w:rPr>
              <w:t xml:space="preserve"> such as long pants, long-sleeved shirts, and light-colored clothing; and </w:t>
            </w:r>
            <w:r>
              <w:rPr>
                <w:b/>
                <w:sz w:val="20"/>
                <w:szCs w:val="20"/>
              </w:rPr>
              <w:t>tick checks.</w:t>
            </w:r>
          </w:p>
        </w:tc>
        <w:tc>
          <w:tcPr>
            <w:tcW w:w="2430" w:type="dxa"/>
          </w:tcPr>
          <w:p w14:paraId="55F92D7E" w14:textId="77777777" w:rsidR="002D58E4" w:rsidRDefault="00F721D4">
            <w:pPr>
              <w:rPr>
                <w:sz w:val="20"/>
                <w:szCs w:val="20"/>
              </w:rPr>
            </w:pPr>
            <w:r>
              <w:rPr>
                <w:b/>
                <w:sz w:val="20"/>
                <w:szCs w:val="20"/>
              </w:rPr>
              <w:lastRenderedPageBreak/>
              <w:t>Odds ratios of acquiring Lyme disease</w:t>
            </w:r>
            <w:r>
              <w:rPr>
                <w:sz w:val="20"/>
                <w:szCs w:val="20"/>
              </w:rPr>
              <w:t xml:space="preserve"> (adjusted for possible confounders, i.e. sex, race, receipt of Lyme </w:t>
            </w:r>
            <w:r>
              <w:rPr>
                <w:sz w:val="20"/>
                <w:szCs w:val="20"/>
              </w:rPr>
              <w:lastRenderedPageBreak/>
              <w:t>vaccine, and use of other personal protective measures);</w:t>
            </w:r>
          </w:p>
          <w:p w14:paraId="53532C70" w14:textId="77777777" w:rsidR="002D58E4" w:rsidRDefault="00F721D4">
            <w:pPr>
              <w:rPr>
                <w:sz w:val="20"/>
                <w:szCs w:val="20"/>
              </w:rPr>
            </w:pPr>
            <w:r>
              <w:rPr>
                <w:b/>
                <w:sz w:val="20"/>
                <w:szCs w:val="20"/>
              </w:rPr>
              <w:t>Effectiveness</w:t>
            </w:r>
            <w:r>
              <w:rPr>
                <w:sz w:val="20"/>
                <w:szCs w:val="20"/>
              </w:rPr>
              <w:t xml:space="preserve"> was calculated as [1 - the matched OR]</w:t>
            </w:r>
          </w:p>
        </w:tc>
        <w:tc>
          <w:tcPr>
            <w:tcW w:w="3060" w:type="dxa"/>
          </w:tcPr>
          <w:p w14:paraId="38DCB395" w14:textId="77777777" w:rsidR="002D58E4" w:rsidRDefault="00F721D4">
            <w:pPr>
              <w:rPr>
                <w:sz w:val="20"/>
                <w:szCs w:val="20"/>
              </w:rPr>
            </w:pPr>
            <w:r>
              <w:rPr>
                <w:sz w:val="20"/>
                <w:szCs w:val="20"/>
              </w:rPr>
              <w:lastRenderedPageBreak/>
              <w:t xml:space="preserve">Definite and possible </w:t>
            </w:r>
            <w:r>
              <w:rPr>
                <w:b/>
                <w:sz w:val="20"/>
                <w:szCs w:val="20"/>
              </w:rPr>
              <w:t>case-patients were less likely than controls to report using protective clothing outdoors</w:t>
            </w:r>
            <w:r>
              <w:rPr>
                <w:sz w:val="20"/>
                <w:szCs w:val="20"/>
              </w:rPr>
              <w:t xml:space="preserve"> (OR 0.6, effectiveness 40%, </w:t>
            </w:r>
            <w:r>
              <w:rPr>
                <w:sz w:val="20"/>
                <w:szCs w:val="20"/>
              </w:rPr>
              <w:lastRenderedPageBreak/>
              <w:t>p&lt;0.0001) and to use tick repellents on their skin or clothing (OR 0.8, effectiveness 20%, p = 0.05).</w:t>
            </w:r>
          </w:p>
          <w:p w14:paraId="05E22E61" w14:textId="77777777" w:rsidR="002D58E4" w:rsidRDefault="00F721D4">
            <w:pPr>
              <w:rPr>
                <w:sz w:val="20"/>
                <w:szCs w:val="20"/>
              </w:rPr>
            </w:pPr>
            <w:r>
              <w:rPr>
                <w:b/>
                <w:sz w:val="20"/>
                <w:szCs w:val="20"/>
              </w:rPr>
              <w:t>Checking one’s body for ticks</w:t>
            </w:r>
            <w:r>
              <w:rPr>
                <w:sz w:val="20"/>
                <w:szCs w:val="20"/>
              </w:rPr>
              <w:t xml:space="preserve"> was not effective.</w:t>
            </w:r>
          </w:p>
          <w:p w14:paraId="5119EB25" w14:textId="77777777" w:rsidR="002D58E4" w:rsidRDefault="002D58E4">
            <w:pPr>
              <w:rPr>
                <w:sz w:val="20"/>
                <w:szCs w:val="20"/>
              </w:rPr>
            </w:pPr>
          </w:p>
          <w:p w14:paraId="6A5ED536" w14:textId="77777777" w:rsidR="002D58E4" w:rsidRDefault="002D58E4">
            <w:pPr>
              <w:rPr>
                <w:sz w:val="20"/>
                <w:szCs w:val="20"/>
              </w:rPr>
            </w:pPr>
          </w:p>
        </w:tc>
      </w:tr>
      <w:tr w:rsidR="002D58E4" w14:paraId="22BF4E0C" w14:textId="77777777">
        <w:tc>
          <w:tcPr>
            <w:tcW w:w="1080" w:type="dxa"/>
          </w:tcPr>
          <w:p w14:paraId="05074CB3" w14:textId="77777777" w:rsidR="002D58E4" w:rsidRDefault="00F721D4">
            <w:pPr>
              <w:rPr>
                <w:sz w:val="20"/>
                <w:szCs w:val="20"/>
              </w:rPr>
            </w:pPr>
            <w:r>
              <w:rPr>
                <w:sz w:val="20"/>
                <w:szCs w:val="20"/>
              </w:rPr>
              <w:t>Connally, 2009</w:t>
            </w:r>
          </w:p>
          <w:p w14:paraId="04161ED6" w14:textId="77777777" w:rsidR="002D58E4" w:rsidRDefault="002D58E4">
            <w:pPr>
              <w:rPr>
                <w:sz w:val="20"/>
                <w:szCs w:val="20"/>
              </w:rPr>
            </w:pPr>
          </w:p>
          <w:p w14:paraId="5FA9A6DF" w14:textId="77777777" w:rsidR="002D58E4" w:rsidRDefault="00F721D4">
            <w:pPr>
              <w:rPr>
                <w:sz w:val="20"/>
                <w:szCs w:val="20"/>
              </w:rPr>
            </w:pPr>
            <w:r>
              <w:rPr>
                <w:sz w:val="20"/>
                <w:szCs w:val="20"/>
              </w:rPr>
              <w:t>CT, USA</w:t>
            </w:r>
          </w:p>
        </w:tc>
        <w:tc>
          <w:tcPr>
            <w:tcW w:w="1080" w:type="dxa"/>
          </w:tcPr>
          <w:p w14:paraId="0A739C85" w14:textId="77777777" w:rsidR="002D58E4" w:rsidRDefault="00F721D4">
            <w:pPr>
              <w:rPr>
                <w:sz w:val="20"/>
                <w:szCs w:val="20"/>
              </w:rPr>
            </w:pPr>
            <w:r>
              <w:rPr>
                <w:sz w:val="20"/>
                <w:szCs w:val="20"/>
              </w:rPr>
              <w:t>Case-control study of risk factors for incident Lyme disease</w:t>
            </w:r>
          </w:p>
        </w:tc>
        <w:tc>
          <w:tcPr>
            <w:tcW w:w="810" w:type="dxa"/>
          </w:tcPr>
          <w:p w14:paraId="10485630" w14:textId="77777777" w:rsidR="002D58E4" w:rsidRDefault="00F721D4">
            <w:pPr>
              <w:jc w:val="center"/>
              <w:rPr>
                <w:sz w:val="20"/>
                <w:szCs w:val="20"/>
              </w:rPr>
            </w:pPr>
            <w:r>
              <w:rPr>
                <w:sz w:val="20"/>
                <w:szCs w:val="20"/>
              </w:rPr>
              <w:t>7</w:t>
            </w:r>
          </w:p>
        </w:tc>
        <w:tc>
          <w:tcPr>
            <w:tcW w:w="1144" w:type="dxa"/>
          </w:tcPr>
          <w:p w14:paraId="421F27EF" w14:textId="77777777" w:rsidR="002D58E4" w:rsidRDefault="00F721D4">
            <w:pPr>
              <w:jc w:val="center"/>
              <w:rPr>
                <w:sz w:val="20"/>
                <w:szCs w:val="20"/>
              </w:rPr>
            </w:pPr>
            <w:r>
              <w:rPr>
                <w:sz w:val="20"/>
                <w:szCs w:val="20"/>
              </w:rPr>
              <w:t>NA</w:t>
            </w:r>
          </w:p>
        </w:tc>
        <w:tc>
          <w:tcPr>
            <w:tcW w:w="2160" w:type="dxa"/>
          </w:tcPr>
          <w:p w14:paraId="404BD404" w14:textId="77777777" w:rsidR="002D58E4" w:rsidRDefault="00F721D4">
            <w:pPr>
              <w:rPr>
                <w:sz w:val="20"/>
                <w:szCs w:val="20"/>
              </w:rPr>
            </w:pPr>
            <w:r>
              <w:rPr>
                <w:sz w:val="20"/>
                <w:szCs w:val="20"/>
              </w:rPr>
              <w:t xml:space="preserve">349 cases with Lyme disease (EM) reported to Connecticut’s Dep. of Public Health were age- and neighborhood-matched with 1:1 control. </w:t>
            </w:r>
          </w:p>
          <w:p w14:paraId="38116F47" w14:textId="77777777" w:rsidR="002D58E4" w:rsidRDefault="00F721D4">
            <w:pPr>
              <w:rPr>
                <w:sz w:val="20"/>
                <w:szCs w:val="20"/>
              </w:rPr>
            </w:pPr>
            <w:r>
              <w:rPr>
                <w:sz w:val="20"/>
                <w:szCs w:val="20"/>
              </w:rPr>
              <w:t>Subjects were interviewed by telephone using a questionnaire on disease-prevention measures during the month prior to the case onset of erythema migrans.</w:t>
            </w:r>
          </w:p>
        </w:tc>
        <w:tc>
          <w:tcPr>
            <w:tcW w:w="2880" w:type="dxa"/>
          </w:tcPr>
          <w:p w14:paraId="0FE6B7C2" w14:textId="77777777" w:rsidR="002D58E4" w:rsidRDefault="00F721D4">
            <w:pPr>
              <w:rPr>
                <w:sz w:val="20"/>
                <w:szCs w:val="20"/>
              </w:rPr>
            </w:pPr>
            <w:r>
              <w:rPr>
                <w:b/>
                <w:sz w:val="20"/>
                <w:szCs w:val="20"/>
                <w:u w:val="single"/>
              </w:rPr>
              <w:t>Personal protective measures</w:t>
            </w:r>
            <w:r>
              <w:rPr>
                <w:sz w:val="20"/>
                <w:szCs w:val="20"/>
              </w:rPr>
              <w:t xml:space="preserve">: </w:t>
            </w:r>
          </w:p>
          <w:p w14:paraId="21245376" w14:textId="77777777" w:rsidR="002D58E4" w:rsidRDefault="002D58E4">
            <w:pPr>
              <w:rPr>
                <w:sz w:val="20"/>
                <w:szCs w:val="20"/>
              </w:rPr>
            </w:pPr>
          </w:p>
          <w:p w14:paraId="09A2A25F" w14:textId="77777777" w:rsidR="002D58E4" w:rsidRDefault="00F721D4">
            <w:pPr>
              <w:rPr>
                <w:sz w:val="20"/>
                <w:szCs w:val="20"/>
              </w:rPr>
            </w:pPr>
            <w:r>
              <w:rPr>
                <w:b/>
                <w:sz w:val="20"/>
                <w:szCs w:val="20"/>
              </w:rPr>
              <w:t>checking for ticks</w:t>
            </w:r>
            <w:r>
              <w:rPr>
                <w:sz w:val="20"/>
                <w:szCs w:val="20"/>
              </w:rPr>
              <w:t xml:space="preserve">; </w:t>
            </w:r>
            <w:r>
              <w:rPr>
                <w:b/>
                <w:sz w:val="20"/>
                <w:szCs w:val="20"/>
              </w:rPr>
              <w:t>bathing</w:t>
            </w:r>
            <w:r>
              <w:rPr>
                <w:sz w:val="20"/>
                <w:szCs w:val="20"/>
              </w:rPr>
              <w:t xml:space="preserve"> within 2 hours after spending time in the yard; wearing repellent or permethrin-treated clothes; landscape features/ modifications, such as fencing, leaf litter cleaning, etc.; and use of </w:t>
            </w:r>
            <w:r>
              <w:rPr>
                <w:b/>
                <w:sz w:val="20"/>
                <w:szCs w:val="20"/>
              </w:rPr>
              <w:t>protective clothing</w:t>
            </w:r>
            <w:r>
              <w:rPr>
                <w:sz w:val="20"/>
                <w:szCs w:val="20"/>
              </w:rPr>
              <w:t xml:space="preserve"> such as long pants and/or light-colored clothes, tucking pants into socks (few cases→ not incl. in final analysis); </w:t>
            </w:r>
          </w:p>
        </w:tc>
        <w:tc>
          <w:tcPr>
            <w:tcW w:w="2430" w:type="dxa"/>
          </w:tcPr>
          <w:p w14:paraId="3F3BDB72" w14:textId="77777777" w:rsidR="002D58E4" w:rsidRDefault="00F721D4">
            <w:pPr>
              <w:rPr>
                <w:sz w:val="20"/>
                <w:szCs w:val="20"/>
              </w:rPr>
            </w:pPr>
            <w:r>
              <w:rPr>
                <w:b/>
                <w:sz w:val="20"/>
                <w:szCs w:val="20"/>
              </w:rPr>
              <w:t>Odds ratios of acquiring Lyme disease</w:t>
            </w:r>
            <w:r>
              <w:rPr>
                <w:sz w:val="20"/>
                <w:szCs w:val="20"/>
              </w:rPr>
              <w:t xml:space="preserve"> (identified as a case of Erythema migrans) for each activity</w:t>
            </w:r>
          </w:p>
        </w:tc>
        <w:tc>
          <w:tcPr>
            <w:tcW w:w="3060" w:type="dxa"/>
          </w:tcPr>
          <w:p w14:paraId="765E8272" w14:textId="77777777" w:rsidR="002D58E4" w:rsidRDefault="00F721D4">
            <w:pPr>
              <w:rPr>
                <w:sz w:val="20"/>
                <w:szCs w:val="20"/>
              </w:rPr>
            </w:pPr>
            <w:r>
              <w:rPr>
                <w:b/>
                <w:sz w:val="20"/>
                <w:szCs w:val="20"/>
              </w:rPr>
              <w:t>Checking for ticks within 36 hours of spending time in the yard at home was protective</w:t>
            </w:r>
            <w:r>
              <w:rPr>
                <w:sz w:val="20"/>
                <w:szCs w:val="20"/>
              </w:rPr>
              <w:t xml:space="preserve"> against Lyme disease (OR 0.55; 95% CI 0.32, 0.94). </w:t>
            </w:r>
            <w:r>
              <w:rPr>
                <w:b/>
                <w:sz w:val="20"/>
                <w:szCs w:val="20"/>
              </w:rPr>
              <w:t>Bathing within 2 hours after spending time in the yard was also protective</w:t>
            </w:r>
            <w:r>
              <w:rPr>
                <w:sz w:val="20"/>
                <w:szCs w:val="20"/>
              </w:rPr>
              <w:t xml:space="preserve"> (OR 0.42; 95% CI 0.23, 0.78).  No other measures were significantly protective against Lyme disease.</w:t>
            </w:r>
          </w:p>
        </w:tc>
      </w:tr>
      <w:tr w:rsidR="002D58E4" w14:paraId="22496D8D" w14:textId="77777777">
        <w:tc>
          <w:tcPr>
            <w:tcW w:w="1080" w:type="dxa"/>
          </w:tcPr>
          <w:p w14:paraId="2021D4F0" w14:textId="77777777" w:rsidR="002D58E4" w:rsidRDefault="00F721D4">
            <w:pPr>
              <w:rPr>
                <w:sz w:val="20"/>
                <w:szCs w:val="20"/>
              </w:rPr>
            </w:pPr>
            <w:r>
              <w:rPr>
                <w:sz w:val="20"/>
                <w:szCs w:val="20"/>
              </w:rPr>
              <w:t>Carroll, 2003</w:t>
            </w:r>
          </w:p>
        </w:tc>
        <w:tc>
          <w:tcPr>
            <w:tcW w:w="1080" w:type="dxa"/>
          </w:tcPr>
          <w:p w14:paraId="4CF2C5F7" w14:textId="77777777" w:rsidR="002D58E4" w:rsidRDefault="00F721D4">
            <w:pPr>
              <w:rPr>
                <w:sz w:val="20"/>
                <w:szCs w:val="20"/>
              </w:rPr>
            </w:pPr>
            <w:r>
              <w:rPr>
                <w:sz w:val="20"/>
                <w:szCs w:val="20"/>
              </w:rPr>
              <w:t>A life-simulating study where tick nymphs were subjected to laundry and drying in a dryer in different settings</w:t>
            </w:r>
          </w:p>
        </w:tc>
        <w:tc>
          <w:tcPr>
            <w:tcW w:w="810" w:type="dxa"/>
          </w:tcPr>
          <w:p w14:paraId="18A17936" w14:textId="77777777" w:rsidR="002D58E4" w:rsidRDefault="00F721D4">
            <w:pPr>
              <w:jc w:val="center"/>
              <w:rPr>
                <w:sz w:val="20"/>
                <w:szCs w:val="20"/>
              </w:rPr>
            </w:pPr>
            <w:r>
              <w:rPr>
                <w:sz w:val="20"/>
                <w:szCs w:val="20"/>
              </w:rPr>
              <w:t>NA</w:t>
            </w:r>
          </w:p>
        </w:tc>
        <w:tc>
          <w:tcPr>
            <w:tcW w:w="1144" w:type="dxa"/>
          </w:tcPr>
          <w:p w14:paraId="05B3D65A" w14:textId="77777777" w:rsidR="002D58E4" w:rsidRDefault="00F721D4">
            <w:pPr>
              <w:rPr>
                <w:i/>
                <w:sz w:val="20"/>
                <w:szCs w:val="20"/>
              </w:rPr>
            </w:pPr>
            <w:r>
              <w:rPr>
                <w:i/>
                <w:sz w:val="20"/>
                <w:szCs w:val="20"/>
              </w:rPr>
              <w:t>I. scapularis, A. americanum</w:t>
            </w:r>
          </w:p>
        </w:tc>
        <w:tc>
          <w:tcPr>
            <w:tcW w:w="2160" w:type="dxa"/>
          </w:tcPr>
          <w:p w14:paraId="5F32E3FB" w14:textId="77777777" w:rsidR="002D58E4" w:rsidRDefault="00F721D4">
            <w:pPr>
              <w:rPr>
                <w:sz w:val="20"/>
                <w:szCs w:val="20"/>
              </w:rPr>
            </w:pPr>
            <w:r>
              <w:rPr>
                <w:sz w:val="20"/>
                <w:szCs w:val="20"/>
              </w:rPr>
              <w:t>Host-seeking tick nymphs who were placed within polyester mesh packets and included into laundry and drying cycles</w:t>
            </w:r>
          </w:p>
        </w:tc>
        <w:tc>
          <w:tcPr>
            <w:tcW w:w="2880" w:type="dxa"/>
          </w:tcPr>
          <w:p w14:paraId="3E60F13F" w14:textId="77777777" w:rsidR="002D58E4" w:rsidRDefault="00F721D4">
            <w:pPr>
              <w:rPr>
                <w:sz w:val="20"/>
                <w:szCs w:val="20"/>
              </w:rPr>
            </w:pPr>
            <w:r>
              <w:rPr>
                <w:sz w:val="20"/>
                <w:szCs w:val="20"/>
              </w:rPr>
              <w:t>(1) Automatic washer’s laundry cycles: hot vs. warm vs. cold</w:t>
            </w:r>
          </w:p>
          <w:p w14:paraId="2813C84B" w14:textId="77777777" w:rsidR="002D58E4" w:rsidRDefault="00F721D4">
            <w:pPr>
              <w:rPr>
                <w:sz w:val="20"/>
                <w:szCs w:val="20"/>
              </w:rPr>
            </w:pPr>
            <w:r>
              <w:rPr>
                <w:sz w:val="20"/>
                <w:szCs w:val="20"/>
              </w:rPr>
              <w:t>(2) Automatic clothes dryer’s settings: high heat vs. no heat for 1 hour</w:t>
            </w:r>
          </w:p>
          <w:p w14:paraId="19F7A6E3" w14:textId="77777777" w:rsidR="002D58E4" w:rsidRDefault="00F721D4">
            <w:pPr>
              <w:rPr>
                <w:sz w:val="20"/>
                <w:szCs w:val="20"/>
              </w:rPr>
            </w:pPr>
            <w:r>
              <w:rPr>
                <w:sz w:val="20"/>
                <w:szCs w:val="20"/>
              </w:rPr>
              <w:t>(3) Different detergents: “Clout” powdered detergent (Costco); “Tide” powder with a non-chlorine bleach (Proctor and Gamble); “Heavy Duty Ultra” liquid (Rite Aid)</w:t>
            </w:r>
          </w:p>
        </w:tc>
        <w:tc>
          <w:tcPr>
            <w:tcW w:w="2430" w:type="dxa"/>
          </w:tcPr>
          <w:p w14:paraId="4CCA0A70" w14:textId="77777777" w:rsidR="002D58E4" w:rsidRDefault="00F721D4">
            <w:pPr>
              <w:rPr>
                <w:b/>
                <w:sz w:val="20"/>
                <w:szCs w:val="20"/>
              </w:rPr>
            </w:pPr>
            <w:r>
              <w:rPr>
                <w:b/>
                <w:sz w:val="20"/>
                <w:szCs w:val="20"/>
              </w:rPr>
              <w:t xml:space="preserve">%% of live, dead, and moribund ticks </w:t>
            </w:r>
          </w:p>
          <w:p w14:paraId="7DFF3876" w14:textId="77777777" w:rsidR="002D58E4" w:rsidRDefault="002D58E4">
            <w:pPr>
              <w:rPr>
                <w:sz w:val="20"/>
                <w:szCs w:val="20"/>
              </w:rPr>
            </w:pPr>
          </w:p>
        </w:tc>
        <w:tc>
          <w:tcPr>
            <w:tcW w:w="3060" w:type="dxa"/>
          </w:tcPr>
          <w:p w14:paraId="4325F589" w14:textId="77777777" w:rsidR="002D58E4" w:rsidRDefault="00F721D4">
            <w:pPr>
              <w:rPr>
                <w:sz w:val="20"/>
                <w:szCs w:val="20"/>
              </w:rPr>
            </w:pPr>
            <w:r>
              <w:rPr>
                <w:sz w:val="20"/>
                <w:szCs w:val="20"/>
              </w:rPr>
              <w:t xml:space="preserve">Most nymphs (~90%) of both spp. survived the cold and warm washes, and 95% of </w:t>
            </w:r>
            <w:r>
              <w:rPr>
                <w:i/>
                <w:sz w:val="20"/>
                <w:szCs w:val="20"/>
              </w:rPr>
              <w:t xml:space="preserve">A. americanum </w:t>
            </w:r>
            <w:r>
              <w:rPr>
                <w:sz w:val="20"/>
                <w:szCs w:val="20"/>
              </w:rPr>
              <w:t>nymphs survived the hot wash. All ticks were killed by the 1h dryer cycle at high heat, but with unheated air some nymphs of both species survived.</w:t>
            </w:r>
          </w:p>
        </w:tc>
      </w:tr>
      <w:tr w:rsidR="002D58E4" w14:paraId="776A8D71" w14:textId="77777777">
        <w:tc>
          <w:tcPr>
            <w:tcW w:w="1080" w:type="dxa"/>
          </w:tcPr>
          <w:p w14:paraId="75FC7976" w14:textId="77777777" w:rsidR="002D58E4" w:rsidRDefault="00F721D4">
            <w:pPr>
              <w:rPr>
                <w:sz w:val="20"/>
                <w:szCs w:val="20"/>
              </w:rPr>
            </w:pPr>
            <w:r>
              <w:rPr>
                <w:sz w:val="20"/>
                <w:szCs w:val="20"/>
              </w:rPr>
              <w:lastRenderedPageBreak/>
              <w:t>Nelson, 2016</w:t>
            </w:r>
          </w:p>
        </w:tc>
        <w:tc>
          <w:tcPr>
            <w:tcW w:w="1080" w:type="dxa"/>
          </w:tcPr>
          <w:p w14:paraId="71CC8964" w14:textId="77777777" w:rsidR="002D58E4" w:rsidRDefault="00F721D4">
            <w:pPr>
              <w:rPr>
                <w:sz w:val="20"/>
                <w:szCs w:val="20"/>
              </w:rPr>
            </w:pPr>
            <w:r>
              <w:rPr>
                <w:sz w:val="20"/>
                <w:szCs w:val="20"/>
              </w:rPr>
              <w:t>Study in ticks: ticks were subjected to washing and drying in different settings. “Dryer only” tests were also conducted.</w:t>
            </w:r>
          </w:p>
        </w:tc>
        <w:tc>
          <w:tcPr>
            <w:tcW w:w="810" w:type="dxa"/>
          </w:tcPr>
          <w:p w14:paraId="4EBFC653" w14:textId="77777777" w:rsidR="002D58E4" w:rsidRDefault="00F721D4">
            <w:pPr>
              <w:jc w:val="center"/>
              <w:rPr>
                <w:sz w:val="20"/>
                <w:szCs w:val="20"/>
              </w:rPr>
            </w:pPr>
            <w:r>
              <w:rPr>
                <w:sz w:val="20"/>
                <w:szCs w:val="20"/>
              </w:rPr>
              <w:t>NA</w:t>
            </w:r>
          </w:p>
        </w:tc>
        <w:tc>
          <w:tcPr>
            <w:tcW w:w="1144" w:type="dxa"/>
          </w:tcPr>
          <w:p w14:paraId="2E2847E1" w14:textId="77777777" w:rsidR="002D58E4" w:rsidRDefault="00F721D4">
            <w:pPr>
              <w:rPr>
                <w:i/>
                <w:sz w:val="20"/>
                <w:szCs w:val="20"/>
              </w:rPr>
            </w:pPr>
            <w:r>
              <w:rPr>
                <w:i/>
                <w:sz w:val="20"/>
                <w:szCs w:val="20"/>
              </w:rPr>
              <w:t>I. scapularis</w:t>
            </w:r>
          </w:p>
        </w:tc>
        <w:tc>
          <w:tcPr>
            <w:tcW w:w="2160" w:type="dxa"/>
          </w:tcPr>
          <w:p w14:paraId="5A5A4187" w14:textId="77777777" w:rsidR="002D58E4" w:rsidRDefault="00F721D4">
            <w:pPr>
              <w:rPr>
                <w:sz w:val="20"/>
                <w:szCs w:val="20"/>
              </w:rPr>
            </w:pPr>
            <w:r>
              <w:rPr>
                <w:sz w:val="20"/>
                <w:szCs w:val="20"/>
              </w:rPr>
              <w:t>Laboratory-reared, uninfected, unfed nymphs</w:t>
            </w:r>
            <w:r>
              <w:t xml:space="preserve"> </w:t>
            </w:r>
            <w:r>
              <w:rPr>
                <w:sz w:val="20"/>
                <w:szCs w:val="20"/>
              </w:rPr>
              <w:t xml:space="preserve">that were 30–60 days post-molt (when they are in their prime and most likely to bite) were placed in muslin cloth bags. 5 bags containing 5 ticks each were placed in each wash/dry cycle. </w:t>
            </w:r>
          </w:p>
          <w:p w14:paraId="5390BA20" w14:textId="77777777" w:rsidR="002D58E4" w:rsidRDefault="002D58E4">
            <w:pPr>
              <w:rPr>
                <w:sz w:val="20"/>
                <w:szCs w:val="20"/>
              </w:rPr>
            </w:pPr>
          </w:p>
          <w:p w14:paraId="72412E8B" w14:textId="77777777" w:rsidR="002D58E4" w:rsidRDefault="00F721D4">
            <w:pPr>
              <w:rPr>
                <w:sz w:val="20"/>
                <w:szCs w:val="20"/>
              </w:rPr>
            </w:pPr>
            <w:r>
              <w:rPr>
                <w:sz w:val="20"/>
                <w:szCs w:val="20"/>
              </w:rPr>
              <w:t xml:space="preserve">10-20 ticks were secured in petri dishes with a piece of moist paper towel during each round of testing as controls. </w:t>
            </w:r>
          </w:p>
        </w:tc>
        <w:tc>
          <w:tcPr>
            <w:tcW w:w="2880" w:type="dxa"/>
          </w:tcPr>
          <w:p w14:paraId="49A3914B" w14:textId="77777777" w:rsidR="002D58E4" w:rsidRDefault="00F721D4">
            <w:pPr>
              <w:rPr>
                <w:sz w:val="20"/>
                <w:szCs w:val="20"/>
              </w:rPr>
            </w:pPr>
            <w:r>
              <w:rPr>
                <w:sz w:val="20"/>
                <w:szCs w:val="20"/>
              </w:rPr>
              <w:t>(1) Effects of automatic washer’s laundry cycles: hot vs. warm vs. cold</w:t>
            </w:r>
          </w:p>
          <w:p w14:paraId="2309BB65" w14:textId="77777777" w:rsidR="002D58E4" w:rsidRDefault="00F721D4">
            <w:pPr>
              <w:rPr>
                <w:sz w:val="20"/>
                <w:szCs w:val="20"/>
              </w:rPr>
            </w:pPr>
            <w:r>
              <w:rPr>
                <w:sz w:val="20"/>
                <w:szCs w:val="20"/>
              </w:rPr>
              <w:t xml:space="preserve">(2) Effects of automatic dryer’s settings: low vs. high heat for 20-70 min. </w:t>
            </w:r>
          </w:p>
          <w:p w14:paraId="4766E0AA" w14:textId="77777777" w:rsidR="002D58E4" w:rsidRDefault="00F721D4">
            <w:pPr>
              <w:rPr>
                <w:sz w:val="20"/>
                <w:szCs w:val="20"/>
              </w:rPr>
            </w:pPr>
            <w:r>
              <w:rPr>
                <w:sz w:val="20"/>
                <w:szCs w:val="20"/>
              </w:rPr>
              <w:t>(3) Effects of detergent &amp; dryer sheets versus none: “Tide” original liquid detergent;   “Bounce” dryer sheets</w:t>
            </w:r>
          </w:p>
          <w:p w14:paraId="50C5C4D4" w14:textId="77777777" w:rsidR="002D58E4" w:rsidRDefault="00F721D4">
            <w:pPr>
              <w:rPr>
                <w:sz w:val="20"/>
                <w:szCs w:val="20"/>
              </w:rPr>
            </w:pPr>
            <w:r>
              <w:rPr>
                <w:sz w:val="20"/>
                <w:szCs w:val="20"/>
              </w:rPr>
              <w:t>(4) Effects of clothing type: thin clothing (polyester, rayon, nylon) vs. thick clothing (fleece)</w:t>
            </w:r>
          </w:p>
        </w:tc>
        <w:tc>
          <w:tcPr>
            <w:tcW w:w="2430" w:type="dxa"/>
          </w:tcPr>
          <w:p w14:paraId="4E1CE882" w14:textId="77777777" w:rsidR="002D58E4" w:rsidRDefault="00F721D4">
            <w:pPr>
              <w:rPr>
                <w:b/>
                <w:sz w:val="20"/>
                <w:szCs w:val="20"/>
              </w:rPr>
            </w:pPr>
            <w:r>
              <w:rPr>
                <w:b/>
                <w:sz w:val="20"/>
                <w:szCs w:val="20"/>
              </w:rPr>
              <w:t>Tick mortality</w:t>
            </w:r>
          </w:p>
        </w:tc>
        <w:tc>
          <w:tcPr>
            <w:tcW w:w="3060" w:type="dxa"/>
          </w:tcPr>
          <w:p w14:paraId="4610A7DB" w14:textId="77777777" w:rsidR="002D58E4" w:rsidRDefault="00F721D4">
            <w:pPr>
              <w:rPr>
                <w:sz w:val="20"/>
                <w:szCs w:val="20"/>
              </w:rPr>
            </w:pPr>
            <w:r>
              <w:rPr>
                <w:sz w:val="20"/>
                <w:szCs w:val="20"/>
              </w:rPr>
              <w:t xml:space="preserve">All control ticks survived for 20-24 hours. 98% of the ticks subjected to “fluff cycle” in the dryer (no heat) survived. </w:t>
            </w:r>
          </w:p>
          <w:p w14:paraId="0804543A" w14:textId="77777777" w:rsidR="002D58E4" w:rsidRDefault="002D58E4">
            <w:pPr>
              <w:rPr>
                <w:sz w:val="20"/>
                <w:szCs w:val="20"/>
              </w:rPr>
            </w:pPr>
          </w:p>
          <w:p w14:paraId="291FFC7B" w14:textId="77777777" w:rsidR="002D58E4" w:rsidRDefault="00F721D4">
            <w:pPr>
              <w:rPr>
                <w:sz w:val="20"/>
                <w:szCs w:val="20"/>
              </w:rPr>
            </w:pPr>
            <w:r>
              <w:rPr>
                <w:sz w:val="20"/>
                <w:szCs w:val="20"/>
              </w:rPr>
              <w:t>All nymphal and adult ticks survived washing with cold water, and most ticks survived washing with warm water. Washing with hot water killed the ticks when the temperature of the water exceeded 54°C.</w:t>
            </w:r>
          </w:p>
          <w:p w14:paraId="4B25B221" w14:textId="77777777" w:rsidR="002D58E4" w:rsidRDefault="002D58E4">
            <w:pPr>
              <w:rPr>
                <w:sz w:val="20"/>
                <w:szCs w:val="20"/>
              </w:rPr>
            </w:pPr>
          </w:p>
          <w:p w14:paraId="002F85B7" w14:textId="77777777" w:rsidR="002D58E4" w:rsidRDefault="00F721D4">
            <w:pPr>
              <w:rPr>
                <w:sz w:val="20"/>
                <w:szCs w:val="20"/>
              </w:rPr>
            </w:pPr>
            <w:r>
              <w:rPr>
                <w:sz w:val="20"/>
                <w:szCs w:val="20"/>
              </w:rPr>
              <w:t xml:space="preserve">It took 70 minutes to kill all nymphs and adults on low heat in the dryer, versus 50 minutes on high heat. </w:t>
            </w:r>
          </w:p>
          <w:p w14:paraId="3A297C45" w14:textId="77777777" w:rsidR="002D58E4" w:rsidRDefault="002D58E4">
            <w:pPr>
              <w:rPr>
                <w:sz w:val="20"/>
                <w:szCs w:val="20"/>
              </w:rPr>
            </w:pPr>
          </w:p>
          <w:p w14:paraId="64914526" w14:textId="77777777" w:rsidR="002D58E4" w:rsidRDefault="00F721D4">
            <w:pPr>
              <w:rPr>
                <w:sz w:val="20"/>
                <w:szCs w:val="20"/>
              </w:rPr>
            </w:pPr>
            <w:r>
              <w:rPr>
                <w:sz w:val="20"/>
                <w:szCs w:val="20"/>
              </w:rPr>
              <w:t>In “Dryer only” tests, all ticks were killed when dried with dry towels on low heat for 6 min (nymphs) and 7 min (adults). All ticks were killed when dried at high heat for 4 minutes.</w:t>
            </w:r>
          </w:p>
          <w:p w14:paraId="3416A21D" w14:textId="77777777" w:rsidR="002D58E4" w:rsidRDefault="002D58E4">
            <w:pPr>
              <w:rPr>
                <w:sz w:val="20"/>
                <w:szCs w:val="20"/>
              </w:rPr>
            </w:pPr>
          </w:p>
          <w:p w14:paraId="63560E2C" w14:textId="77777777" w:rsidR="002D58E4" w:rsidRDefault="00F721D4">
            <w:pPr>
              <w:rPr>
                <w:sz w:val="20"/>
                <w:szCs w:val="20"/>
              </w:rPr>
            </w:pPr>
            <w:r>
              <w:rPr>
                <w:sz w:val="20"/>
                <w:szCs w:val="20"/>
              </w:rPr>
              <w:t>Neither use of detergent or dryer sheets nor thickness of clothing impacted tick survival.</w:t>
            </w:r>
          </w:p>
        </w:tc>
      </w:tr>
    </w:tbl>
    <w:p w14:paraId="4DC111A0" w14:textId="77777777" w:rsidR="002D58E4" w:rsidRDefault="00F721D4">
      <w:pPr>
        <w:spacing w:line="240" w:lineRule="auto"/>
        <w:rPr>
          <w:sz w:val="20"/>
          <w:szCs w:val="20"/>
        </w:rPr>
      </w:pPr>
      <w:r>
        <w:rPr>
          <w:b/>
          <w:sz w:val="20"/>
          <w:szCs w:val="20"/>
        </w:rPr>
        <w:t>*</w:t>
      </w:r>
      <w:r>
        <w:rPr>
          <w:sz w:val="20"/>
          <w:szCs w:val="20"/>
        </w:rPr>
        <w:t xml:space="preserve"> Risk of Bias of Randomized Controlled Trial Data was assessed using the Cochrane Risk of Bias Tool and assigned an overall rating of “High risk” “Unclear Risk” or “Low Risk”. Risk of Bias of Observational Data was rated on a scale from 0 (worst) to 9 (best) using the Newcastle-Ottawa Quality Assessment Scale for Observational Studies.</w:t>
      </w:r>
    </w:p>
    <w:p w14:paraId="06389988" w14:textId="77777777" w:rsidR="002D58E4" w:rsidRDefault="00F721D4">
      <w:pPr>
        <w:rPr>
          <w:b/>
          <w:sz w:val="28"/>
          <w:szCs w:val="28"/>
        </w:rPr>
      </w:pPr>
      <w:r>
        <w:rPr>
          <w:b/>
          <w:sz w:val="28"/>
          <w:szCs w:val="28"/>
        </w:rPr>
        <w:t>B) Repellents to prevent tick bites</w:t>
      </w:r>
    </w:p>
    <w:p w14:paraId="4466A889" w14:textId="77777777" w:rsidR="002D58E4" w:rsidRDefault="00F721D4">
      <w:pPr>
        <w:rPr>
          <w:b/>
          <w:sz w:val="28"/>
          <w:szCs w:val="28"/>
        </w:rPr>
      </w:pPr>
      <w:r>
        <w:rPr>
          <w:b/>
          <w:sz w:val="28"/>
          <w:szCs w:val="28"/>
        </w:rPr>
        <w:t>I. Permethrin-treated clothing</w:t>
      </w:r>
    </w:p>
    <w:p w14:paraId="315C571A" w14:textId="77777777" w:rsidR="002D58E4" w:rsidRDefault="00F721D4">
      <w:pPr>
        <w:spacing w:line="240" w:lineRule="auto"/>
        <w:rPr>
          <w:b/>
          <w:color w:val="000000"/>
          <w:sz w:val="28"/>
          <w:szCs w:val="28"/>
        </w:rPr>
      </w:pPr>
      <w:r>
        <w:rPr>
          <w:b/>
          <w:color w:val="000000"/>
          <w:sz w:val="18"/>
          <w:szCs w:val="18"/>
        </w:rPr>
        <w:t>Bibliography:</w:t>
      </w:r>
      <w:r>
        <w:rPr>
          <w:color w:val="000000"/>
          <w:sz w:val="18"/>
          <w:szCs w:val="18"/>
        </w:rPr>
        <w:t xml:space="preserve"> 1. Vaughn, et al. </w:t>
      </w:r>
      <w:r>
        <w:rPr>
          <w:i/>
          <w:color w:val="000000"/>
          <w:sz w:val="18"/>
          <w:szCs w:val="18"/>
        </w:rPr>
        <w:t>Am J Prev Med</w:t>
      </w:r>
      <w:r>
        <w:rPr>
          <w:color w:val="000000"/>
          <w:sz w:val="18"/>
          <w:szCs w:val="18"/>
        </w:rPr>
        <w:t xml:space="preserve">. 2014 May;46(5):473-80; 2. Wallace, et al. </w:t>
      </w:r>
      <w:r>
        <w:rPr>
          <w:i/>
          <w:color w:val="000000"/>
          <w:sz w:val="18"/>
          <w:szCs w:val="18"/>
        </w:rPr>
        <w:t>Vector Borne Zoonotic Dis</w:t>
      </w:r>
      <w:r>
        <w:rPr>
          <w:color w:val="000000"/>
          <w:sz w:val="18"/>
          <w:szCs w:val="18"/>
        </w:rPr>
        <w:t xml:space="preserve">. 2016 May;16(5):302-8; 3. Ho-Pun-Cheung et al. </w:t>
      </w:r>
      <w:r>
        <w:rPr>
          <w:i/>
          <w:color w:val="000000"/>
          <w:sz w:val="18"/>
          <w:szCs w:val="18"/>
        </w:rPr>
        <w:t>Bull Soc Pathol Exot</w:t>
      </w:r>
      <w:r>
        <w:rPr>
          <w:color w:val="000000"/>
          <w:sz w:val="18"/>
          <w:szCs w:val="18"/>
        </w:rPr>
        <w:t xml:space="preserve">. 1999 Dec;92(5):337-40; 4. Faulde, et al. </w:t>
      </w:r>
      <w:r w:rsidRPr="00F721D4">
        <w:rPr>
          <w:i/>
          <w:color w:val="000000"/>
          <w:sz w:val="18"/>
          <w:szCs w:val="18"/>
          <w:lang w:val="fr-CA"/>
        </w:rPr>
        <w:t>Parasitol Res.</w:t>
      </w:r>
      <w:r w:rsidRPr="00F721D4">
        <w:rPr>
          <w:color w:val="000000"/>
          <w:sz w:val="18"/>
          <w:szCs w:val="18"/>
          <w:lang w:val="fr-CA"/>
        </w:rPr>
        <w:t xml:space="preserve"> 2015 Feb;114(2):671-8; 5. Kegel, et al. </w:t>
      </w:r>
      <w:r w:rsidRPr="00F721D4">
        <w:rPr>
          <w:i/>
          <w:color w:val="000000"/>
          <w:sz w:val="18"/>
          <w:szCs w:val="18"/>
          <w:lang w:val="fr-CA"/>
        </w:rPr>
        <w:t>Occup Environ Med</w:t>
      </w:r>
      <w:r w:rsidRPr="00F721D4">
        <w:rPr>
          <w:color w:val="000000"/>
          <w:sz w:val="18"/>
          <w:szCs w:val="18"/>
          <w:lang w:val="fr-CA"/>
        </w:rPr>
        <w:t xml:space="preserve">. 2014 Feb;71(2):112-7; 6. Evans, et al. </w:t>
      </w:r>
      <w:r>
        <w:rPr>
          <w:i/>
          <w:color w:val="000000"/>
          <w:sz w:val="18"/>
          <w:szCs w:val="18"/>
        </w:rPr>
        <w:t>J Med Entomol</w:t>
      </w:r>
      <w:r>
        <w:rPr>
          <w:color w:val="000000"/>
          <w:sz w:val="18"/>
          <w:szCs w:val="18"/>
        </w:rPr>
        <w:t>. 1990 Sep;27(5):829-34.</w:t>
      </w:r>
    </w:p>
    <w:tbl>
      <w:tblPr>
        <w:tblStyle w:val="a0"/>
        <w:tblW w:w="143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260"/>
        <w:gridCol w:w="810"/>
        <w:gridCol w:w="1312"/>
        <w:gridCol w:w="2520"/>
        <w:gridCol w:w="1800"/>
        <w:gridCol w:w="2058"/>
        <w:gridCol w:w="3687"/>
      </w:tblGrid>
      <w:tr w:rsidR="002D58E4" w14:paraId="291AAD8B" w14:textId="77777777" w:rsidTr="00E70FE5">
        <w:trPr>
          <w:trHeight w:val="460"/>
        </w:trPr>
        <w:tc>
          <w:tcPr>
            <w:tcW w:w="900" w:type="dxa"/>
            <w:shd w:val="clear" w:color="auto" w:fill="D9D9D9"/>
          </w:tcPr>
          <w:p w14:paraId="3E86574A" w14:textId="77777777" w:rsidR="002D58E4" w:rsidRDefault="00F721D4">
            <w:pPr>
              <w:rPr>
                <w:b/>
                <w:i/>
                <w:color w:val="000000"/>
                <w:sz w:val="20"/>
                <w:szCs w:val="20"/>
              </w:rPr>
            </w:pPr>
            <w:r>
              <w:rPr>
                <w:b/>
                <w:color w:val="000000"/>
                <w:sz w:val="20"/>
                <w:szCs w:val="20"/>
              </w:rPr>
              <w:t>Study;</w:t>
            </w:r>
          </w:p>
          <w:p w14:paraId="42CF795D" w14:textId="77777777" w:rsidR="002D58E4" w:rsidRDefault="00F721D4">
            <w:pPr>
              <w:rPr>
                <w:b/>
                <w:sz w:val="20"/>
                <w:szCs w:val="20"/>
              </w:rPr>
            </w:pPr>
            <w:r>
              <w:rPr>
                <w:b/>
                <w:color w:val="000000"/>
                <w:sz w:val="20"/>
                <w:szCs w:val="20"/>
              </w:rPr>
              <w:t>Location</w:t>
            </w:r>
          </w:p>
        </w:tc>
        <w:tc>
          <w:tcPr>
            <w:tcW w:w="1260" w:type="dxa"/>
            <w:shd w:val="clear" w:color="auto" w:fill="D9D9D9"/>
          </w:tcPr>
          <w:p w14:paraId="2C6FC991" w14:textId="77777777" w:rsidR="002D58E4" w:rsidRDefault="00F721D4">
            <w:pPr>
              <w:rPr>
                <w:b/>
                <w:color w:val="000000"/>
                <w:sz w:val="20"/>
                <w:szCs w:val="20"/>
              </w:rPr>
            </w:pPr>
            <w:r>
              <w:rPr>
                <w:b/>
                <w:color w:val="000000"/>
                <w:sz w:val="20"/>
                <w:szCs w:val="20"/>
              </w:rPr>
              <w:t>Study Design</w:t>
            </w:r>
          </w:p>
        </w:tc>
        <w:tc>
          <w:tcPr>
            <w:tcW w:w="810" w:type="dxa"/>
            <w:shd w:val="clear" w:color="auto" w:fill="D9D9D9"/>
          </w:tcPr>
          <w:p w14:paraId="57947EEA" w14:textId="77777777" w:rsidR="002D58E4" w:rsidRDefault="00F721D4">
            <w:pPr>
              <w:rPr>
                <w:b/>
                <w:color w:val="000000"/>
                <w:sz w:val="20"/>
                <w:szCs w:val="20"/>
              </w:rPr>
            </w:pPr>
            <w:r>
              <w:rPr>
                <w:b/>
                <w:color w:val="000000"/>
                <w:sz w:val="20"/>
                <w:szCs w:val="20"/>
              </w:rPr>
              <w:t>Risk of bias*</w:t>
            </w:r>
          </w:p>
        </w:tc>
        <w:tc>
          <w:tcPr>
            <w:tcW w:w="1312" w:type="dxa"/>
            <w:shd w:val="clear" w:color="auto" w:fill="D9D9D9"/>
          </w:tcPr>
          <w:p w14:paraId="76D5BC88" w14:textId="77777777" w:rsidR="002D58E4" w:rsidRDefault="00F721D4">
            <w:pPr>
              <w:rPr>
                <w:b/>
                <w:color w:val="000000"/>
                <w:sz w:val="20"/>
                <w:szCs w:val="20"/>
              </w:rPr>
            </w:pPr>
            <w:r>
              <w:rPr>
                <w:b/>
                <w:color w:val="000000"/>
                <w:sz w:val="20"/>
                <w:szCs w:val="20"/>
              </w:rPr>
              <w:t>Tick Type</w:t>
            </w:r>
          </w:p>
          <w:p w14:paraId="00AEB255" w14:textId="77777777" w:rsidR="002D58E4" w:rsidRDefault="002D58E4">
            <w:pPr>
              <w:rPr>
                <w:b/>
                <w:color w:val="000000"/>
                <w:sz w:val="20"/>
                <w:szCs w:val="20"/>
              </w:rPr>
            </w:pPr>
          </w:p>
        </w:tc>
        <w:tc>
          <w:tcPr>
            <w:tcW w:w="2520" w:type="dxa"/>
            <w:shd w:val="clear" w:color="auto" w:fill="D9D9D9"/>
          </w:tcPr>
          <w:p w14:paraId="48FC2359" w14:textId="77777777" w:rsidR="002D58E4" w:rsidRDefault="00F721D4">
            <w:pPr>
              <w:rPr>
                <w:b/>
                <w:color w:val="000000"/>
                <w:sz w:val="20"/>
                <w:szCs w:val="20"/>
              </w:rPr>
            </w:pPr>
            <w:r>
              <w:rPr>
                <w:b/>
                <w:color w:val="000000"/>
                <w:sz w:val="20"/>
                <w:szCs w:val="20"/>
              </w:rPr>
              <w:t xml:space="preserve">Population Characteristics </w:t>
            </w:r>
          </w:p>
        </w:tc>
        <w:tc>
          <w:tcPr>
            <w:tcW w:w="1800" w:type="dxa"/>
            <w:shd w:val="clear" w:color="auto" w:fill="D9D9D9"/>
          </w:tcPr>
          <w:p w14:paraId="0BE4D737" w14:textId="77777777" w:rsidR="002D58E4" w:rsidRDefault="00F721D4">
            <w:pPr>
              <w:rPr>
                <w:b/>
                <w:sz w:val="20"/>
                <w:szCs w:val="20"/>
              </w:rPr>
            </w:pPr>
            <w:r>
              <w:rPr>
                <w:b/>
                <w:color w:val="000000"/>
                <w:sz w:val="20"/>
                <w:szCs w:val="20"/>
              </w:rPr>
              <w:t>Interventions and Comparisons</w:t>
            </w:r>
          </w:p>
        </w:tc>
        <w:tc>
          <w:tcPr>
            <w:tcW w:w="2058" w:type="dxa"/>
            <w:shd w:val="clear" w:color="auto" w:fill="D9D9D9"/>
          </w:tcPr>
          <w:p w14:paraId="65211BAA" w14:textId="77777777" w:rsidR="002D58E4" w:rsidRDefault="00F721D4">
            <w:pPr>
              <w:rPr>
                <w:b/>
                <w:sz w:val="20"/>
                <w:szCs w:val="20"/>
              </w:rPr>
            </w:pPr>
            <w:r>
              <w:rPr>
                <w:b/>
                <w:sz w:val="20"/>
                <w:szCs w:val="20"/>
              </w:rPr>
              <w:t>Outcomes</w:t>
            </w:r>
          </w:p>
        </w:tc>
        <w:tc>
          <w:tcPr>
            <w:tcW w:w="3687" w:type="dxa"/>
            <w:shd w:val="clear" w:color="auto" w:fill="D9D9D9"/>
          </w:tcPr>
          <w:p w14:paraId="422F3BEC" w14:textId="77777777" w:rsidR="002D58E4" w:rsidRDefault="00F721D4">
            <w:pPr>
              <w:rPr>
                <w:b/>
                <w:sz w:val="20"/>
                <w:szCs w:val="20"/>
              </w:rPr>
            </w:pPr>
            <w:r>
              <w:rPr>
                <w:b/>
                <w:sz w:val="20"/>
                <w:szCs w:val="20"/>
              </w:rPr>
              <w:t>Results and Conclusions</w:t>
            </w:r>
          </w:p>
        </w:tc>
      </w:tr>
      <w:tr w:rsidR="002D58E4" w14:paraId="3B157298" w14:textId="77777777" w:rsidTr="00E70FE5">
        <w:tc>
          <w:tcPr>
            <w:tcW w:w="900" w:type="dxa"/>
          </w:tcPr>
          <w:p w14:paraId="7F807B0B" w14:textId="77777777" w:rsidR="002D58E4" w:rsidRDefault="00F721D4">
            <w:pPr>
              <w:rPr>
                <w:sz w:val="20"/>
                <w:szCs w:val="20"/>
              </w:rPr>
            </w:pPr>
            <w:r>
              <w:rPr>
                <w:sz w:val="20"/>
                <w:szCs w:val="20"/>
              </w:rPr>
              <w:lastRenderedPageBreak/>
              <w:t>Vaughn, 2014</w:t>
            </w:r>
          </w:p>
          <w:p w14:paraId="7EFD551F" w14:textId="77777777" w:rsidR="002D58E4" w:rsidRDefault="002D58E4">
            <w:pPr>
              <w:rPr>
                <w:sz w:val="20"/>
                <w:szCs w:val="20"/>
              </w:rPr>
            </w:pPr>
          </w:p>
          <w:p w14:paraId="57B7777A" w14:textId="77777777" w:rsidR="002D58E4" w:rsidRDefault="00F721D4">
            <w:pPr>
              <w:rPr>
                <w:sz w:val="20"/>
                <w:szCs w:val="20"/>
              </w:rPr>
            </w:pPr>
            <w:r>
              <w:rPr>
                <w:sz w:val="20"/>
                <w:szCs w:val="20"/>
              </w:rPr>
              <w:t>NC, USA</w:t>
            </w:r>
          </w:p>
        </w:tc>
        <w:tc>
          <w:tcPr>
            <w:tcW w:w="1260" w:type="dxa"/>
          </w:tcPr>
          <w:p w14:paraId="346F6ED8" w14:textId="77777777" w:rsidR="002D58E4" w:rsidRDefault="00F721D4">
            <w:pPr>
              <w:rPr>
                <w:sz w:val="20"/>
                <w:szCs w:val="20"/>
              </w:rPr>
            </w:pPr>
            <w:r>
              <w:rPr>
                <w:sz w:val="20"/>
                <w:szCs w:val="20"/>
              </w:rPr>
              <w:t>Double-blind RCT</w:t>
            </w:r>
          </w:p>
        </w:tc>
        <w:tc>
          <w:tcPr>
            <w:tcW w:w="810" w:type="dxa"/>
          </w:tcPr>
          <w:p w14:paraId="31FC210C" w14:textId="77777777" w:rsidR="002D58E4" w:rsidRDefault="00F721D4">
            <w:pPr>
              <w:rPr>
                <w:sz w:val="20"/>
                <w:szCs w:val="20"/>
              </w:rPr>
            </w:pPr>
            <w:r>
              <w:rPr>
                <w:sz w:val="20"/>
                <w:szCs w:val="20"/>
              </w:rPr>
              <w:t>Low risk of bias</w:t>
            </w:r>
          </w:p>
        </w:tc>
        <w:tc>
          <w:tcPr>
            <w:tcW w:w="1312" w:type="dxa"/>
          </w:tcPr>
          <w:p w14:paraId="308C9543" w14:textId="77777777" w:rsidR="002D58E4" w:rsidRDefault="00F721D4">
            <w:pPr>
              <w:rPr>
                <w:i/>
                <w:sz w:val="20"/>
                <w:szCs w:val="20"/>
              </w:rPr>
            </w:pPr>
            <w:r>
              <w:rPr>
                <w:i/>
                <w:sz w:val="20"/>
                <w:szCs w:val="20"/>
              </w:rPr>
              <w:t>A. americanum &gt;90%</w:t>
            </w:r>
          </w:p>
          <w:p w14:paraId="1C470542" w14:textId="77777777" w:rsidR="002D58E4" w:rsidRDefault="002D58E4">
            <w:pPr>
              <w:rPr>
                <w:sz w:val="20"/>
                <w:szCs w:val="20"/>
              </w:rPr>
            </w:pPr>
          </w:p>
        </w:tc>
        <w:tc>
          <w:tcPr>
            <w:tcW w:w="2520" w:type="dxa"/>
          </w:tcPr>
          <w:p w14:paraId="6BA16740" w14:textId="77777777" w:rsidR="002D58E4" w:rsidRDefault="00F721D4">
            <w:pPr>
              <w:rPr>
                <w:sz w:val="20"/>
                <w:szCs w:val="20"/>
              </w:rPr>
            </w:pPr>
            <w:r>
              <w:rPr>
                <w:sz w:val="20"/>
                <w:szCs w:val="20"/>
              </w:rPr>
              <w:t xml:space="preserve">159 outdoor workers whose work uniforms were sent to a facility for permethrin/ sham treatment according to participant allocation. </w:t>
            </w:r>
          </w:p>
          <w:p w14:paraId="2A02FDE2" w14:textId="77777777" w:rsidR="002D58E4" w:rsidRDefault="002D58E4">
            <w:pPr>
              <w:rPr>
                <w:sz w:val="20"/>
                <w:szCs w:val="20"/>
              </w:rPr>
            </w:pPr>
          </w:p>
          <w:p w14:paraId="4FD295DA" w14:textId="77777777" w:rsidR="002D58E4" w:rsidRDefault="00F721D4">
            <w:pPr>
              <w:rPr>
                <w:sz w:val="20"/>
                <w:szCs w:val="20"/>
              </w:rPr>
            </w:pPr>
            <w:r>
              <w:rPr>
                <w:sz w:val="20"/>
                <w:szCs w:val="20"/>
              </w:rPr>
              <w:t xml:space="preserve">Subjects kept weekly tick bite logs. Subjects were instructed to launder their clothing as usual. They were followed up over two tick seasons (March - September 2011 and 2012). </w:t>
            </w:r>
          </w:p>
        </w:tc>
        <w:tc>
          <w:tcPr>
            <w:tcW w:w="1800" w:type="dxa"/>
          </w:tcPr>
          <w:p w14:paraId="5CCBA25D" w14:textId="77777777" w:rsidR="002D58E4" w:rsidRDefault="00F721D4">
            <w:pPr>
              <w:rPr>
                <w:sz w:val="20"/>
                <w:szCs w:val="20"/>
              </w:rPr>
            </w:pPr>
            <w:r>
              <w:rPr>
                <w:sz w:val="20"/>
                <w:szCs w:val="20"/>
              </w:rPr>
              <w:t xml:space="preserve">• Long-lasting </w:t>
            </w:r>
          </w:p>
          <w:p w14:paraId="0B209F48" w14:textId="77777777" w:rsidR="002D58E4" w:rsidRDefault="00F721D4">
            <w:pPr>
              <w:rPr>
                <w:sz w:val="20"/>
                <w:szCs w:val="20"/>
              </w:rPr>
            </w:pPr>
            <w:r>
              <w:rPr>
                <w:sz w:val="20"/>
                <w:szCs w:val="20"/>
              </w:rPr>
              <w:t xml:space="preserve">permethrin impregnated uniforms (LLPIU) </w:t>
            </w:r>
          </w:p>
          <w:p w14:paraId="7D8B4A4B" w14:textId="77777777" w:rsidR="002D58E4" w:rsidRDefault="002D58E4">
            <w:pPr>
              <w:rPr>
                <w:sz w:val="20"/>
                <w:szCs w:val="20"/>
              </w:rPr>
            </w:pPr>
          </w:p>
          <w:p w14:paraId="63AE27D7" w14:textId="77777777" w:rsidR="002D58E4" w:rsidRDefault="00F721D4">
            <w:pPr>
              <w:rPr>
                <w:sz w:val="20"/>
                <w:szCs w:val="20"/>
              </w:rPr>
            </w:pPr>
            <w:r>
              <w:rPr>
                <w:sz w:val="20"/>
                <w:szCs w:val="20"/>
              </w:rPr>
              <w:t>• Control uniforms that received a sham treatment</w:t>
            </w:r>
          </w:p>
        </w:tc>
        <w:tc>
          <w:tcPr>
            <w:tcW w:w="2058" w:type="dxa"/>
          </w:tcPr>
          <w:p w14:paraId="2B3B420B" w14:textId="77777777" w:rsidR="002D58E4" w:rsidRDefault="00F721D4">
            <w:pPr>
              <w:rPr>
                <w:sz w:val="20"/>
                <w:szCs w:val="20"/>
              </w:rPr>
            </w:pPr>
            <w:r>
              <w:rPr>
                <w:sz w:val="20"/>
                <w:szCs w:val="20"/>
              </w:rPr>
              <w:t xml:space="preserve">Incidence of work-related tick bites (ITB) reported on weekly tick bite logs; </w:t>
            </w:r>
          </w:p>
          <w:p w14:paraId="1B6158CB" w14:textId="77777777" w:rsidR="002D58E4" w:rsidRDefault="002D58E4">
            <w:pPr>
              <w:rPr>
                <w:sz w:val="20"/>
                <w:szCs w:val="20"/>
              </w:rPr>
            </w:pPr>
          </w:p>
          <w:p w14:paraId="00983173" w14:textId="77777777" w:rsidR="002D58E4" w:rsidRDefault="00F721D4">
            <w:pPr>
              <w:rPr>
                <w:sz w:val="20"/>
                <w:szCs w:val="20"/>
              </w:rPr>
            </w:pPr>
            <w:r>
              <w:rPr>
                <w:b/>
                <w:sz w:val="20"/>
                <w:szCs w:val="20"/>
              </w:rPr>
              <w:t>Protective effectiveness</w:t>
            </w:r>
            <w:r>
              <w:rPr>
                <w:sz w:val="20"/>
                <w:szCs w:val="20"/>
              </w:rPr>
              <w:t xml:space="preserve"> ([ITB for sham – ITB for LLPIU]/ITB for sham*100) and 95% CIs were calculated</w:t>
            </w:r>
          </w:p>
        </w:tc>
        <w:tc>
          <w:tcPr>
            <w:tcW w:w="3687" w:type="dxa"/>
          </w:tcPr>
          <w:p w14:paraId="69ADCA1D" w14:textId="77777777" w:rsidR="002D58E4" w:rsidRDefault="00F721D4">
            <w:pPr>
              <w:rPr>
                <w:sz w:val="20"/>
                <w:szCs w:val="20"/>
              </w:rPr>
            </w:pPr>
            <w:r>
              <w:rPr>
                <w:b/>
                <w:sz w:val="20"/>
                <w:szCs w:val="20"/>
              </w:rPr>
              <w:t>The protective effectiveness</w:t>
            </w:r>
            <w:r>
              <w:rPr>
                <w:sz w:val="20"/>
                <w:szCs w:val="20"/>
              </w:rPr>
              <w:t xml:space="preserve"> of LLPIU for the prevention of work-related tick bites was </w:t>
            </w:r>
            <w:r>
              <w:rPr>
                <w:b/>
                <w:sz w:val="20"/>
                <w:szCs w:val="20"/>
              </w:rPr>
              <w:t>0.82 (95% CI 0.66, 0.91) and 0.34 (95% CI -0.67, 0.74) for the 1</w:t>
            </w:r>
            <w:r>
              <w:rPr>
                <w:b/>
                <w:sz w:val="20"/>
                <w:szCs w:val="20"/>
                <w:vertAlign w:val="superscript"/>
              </w:rPr>
              <w:t>st</w:t>
            </w:r>
            <w:r>
              <w:rPr>
                <w:b/>
                <w:sz w:val="20"/>
                <w:szCs w:val="20"/>
              </w:rPr>
              <w:t xml:space="preserve"> and 2</w:t>
            </w:r>
            <w:r>
              <w:rPr>
                <w:b/>
                <w:sz w:val="20"/>
                <w:szCs w:val="20"/>
                <w:vertAlign w:val="superscript"/>
              </w:rPr>
              <w:t>nd</w:t>
            </w:r>
            <w:r>
              <w:rPr>
                <w:b/>
                <w:sz w:val="20"/>
                <w:szCs w:val="20"/>
              </w:rPr>
              <w:t xml:space="preserve"> years</w:t>
            </w:r>
            <w:r>
              <w:rPr>
                <w:sz w:val="20"/>
                <w:szCs w:val="20"/>
              </w:rPr>
              <w:t xml:space="preserve"> of follow-up (LLPIUs were highly effective for at least 1 year in deterring tick bites in the context of typical tick bite prevention measures employed by outdoor workers).</w:t>
            </w:r>
          </w:p>
          <w:p w14:paraId="4B2FA35C" w14:textId="77777777" w:rsidR="002D58E4" w:rsidRDefault="00F721D4">
            <w:pPr>
              <w:rPr>
                <w:sz w:val="20"/>
                <w:szCs w:val="20"/>
              </w:rPr>
            </w:pPr>
            <w:r>
              <w:rPr>
                <w:sz w:val="20"/>
                <w:szCs w:val="20"/>
              </w:rPr>
              <w:t xml:space="preserve">There were </w:t>
            </w:r>
            <w:r>
              <w:rPr>
                <w:b/>
                <w:sz w:val="20"/>
                <w:szCs w:val="20"/>
              </w:rPr>
              <w:t>no AEs reported</w:t>
            </w:r>
            <w:r>
              <w:rPr>
                <w:sz w:val="20"/>
                <w:szCs w:val="20"/>
              </w:rPr>
              <w:t xml:space="preserve"> related to the subjects’ uniforms. </w:t>
            </w:r>
          </w:p>
          <w:p w14:paraId="7D9AEA24" w14:textId="77777777" w:rsidR="002D58E4" w:rsidRDefault="00F721D4">
            <w:pPr>
              <w:rPr>
                <w:sz w:val="20"/>
                <w:szCs w:val="20"/>
              </w:rPr>
            </w:pPr>
            <w:r>
              <w:rPr>
                <w:sz w:val="20"/>
                <w:szCs w:val="20"/>
              </w:rPr>
              <w:t xml:space="preserve">Five subjects reported </w:t>
            </w:r>
            <w:r>
              <w:rPr>
                <w:b/>
                <w:sz w:val="20"/>
                <w:szCs w:val="20"/>
              </w:rPr>
              <w:t>illnesses suspected to be tick-related</w:t>
            </w:r>
            <w:r>
              <w:rPr>
                <w:sz w:val="20"/>
                <w:szCs w:val="20"/>
              </w:rPr>
              <w:t>, two were confirmed (one case of ehrlichiosis and one case of spotted fever rickettsiosis), both among subjects in the control group.</w:t>
            </w:r>
          </w:p>
        </w:tc>
      </w:tr>
      <w:tr w:rsidR="002D58E4" w14:paraId="3AF1A384" w14:textId="77777777" w:rsidTr="00E70FE5">
        <w:tc>
          <w:tcPr>
            <w:tcW w:w="900" w:type="dxa"/>
          </w:tcPr>
          <w:p w14:paraId="40DA1373" w14:textId="77777777" w:rsidR="002D58E4" w:rsidRDefault="00F721D4">
            <w:pPr>
              <w:rPr>
                <w:sz w:val="20"/>
                <w:szCs w:val="20"/>
              </w:rPr>
            </w:pPr>
            <w:r>
              <w:rPr>
                <w:sz w:val="20"/>
                <w:szCs w:val="20"/>
              </w:rPr>
              <w:t>Wallace, 2016</w:t>
            </w:r>
          </w:p>
          <w:p w14:paraId="092901A4" w14:textId="77777777" w:rsidR="002D58E4" w:rsidRDefault="002D58E4">
            <w:pPr>
              <w:rPr>
                <w:sz w:val="20"/>
                <w:szCs w:val="20"/>
              </w:rPr>
            </w:pPr>
          </w:p>
          <w:p w14:paraId="0530A269" w14:textId="77777777" w:rsidR="002D58E4" w:rsidRDefault="00F721D4">
            <w:pPr>
              <w:rPr>
                <w:sz w:val="20"/>
                <w:szCs w:val="20"/>
              </w:rPr>
            </w:pPr>
            <w:r>
              <w:rPr>
                <w:sz w:val="20"/>
                <w:szCs w:val="20"/>
              </w:rPr>
              <w:t>NC, USA</w:t>
            </w:r>
          </w:p>
        </w:tc>
        <w:tc>
          <w:tcPr>
            <w:tcW w:w="1260" w:type="dxa"/>
          </w:tcPr>
          <w:p w14:paraId="35D3419B" w14:textId="77777777" w:rsidR="002D58E4" w:rsidRDefault="00F721D4">
            <w:pPr>
              <w:rPr>
                <w:sz w:val="20"/>
                <w:szCs w:val="20"/>
              </w:rPr>
            </w:pPr>
            <w:r>
              <w:rPr>
                <w:sz w:val="20"/>
                <w:szCs w:val="20"/>
              </w:rPr>
              <w:t xml:space="preserve">Double-blind RCT (follow-up Lyme disease-related </w:t>
            </w:r>
            <w:r>
              <w:rPr>
                <w:b/>
                <w:sz w:val="20"/>
                <w:szCs w:val="20"/>
              </w:rPr>
              <w:t>results of Vaughn, 2014</w:t>
            </w:r>
            <w:r>
              <w:rPr>
                <w:sz w:val="20"/>
                <w:szCs w:val="20"/>
              </w:rPr>
              <w:t>)</w:t>
            </w:r>
          </w:p>
        </w:tc>
        <w:tc>
          <w:tcPr>
            <w:tcW w:w="810" w:type="dxa"/>
          </w:tcPr>
          <w:p w14:paraId="04889846" w14:textId="77777777" w:rsidR="002D58E4" w:rsidRDefault="00F721D4">
            <w:pPr>
              <w:rPr>
                <w:sz w:val="20"/>
                <w:szCs w:val="20"/>
              </w:rPr>
            </w:pPr>
            <w:r>
              <w:rPr>
                <w:sz w:val="20"/>
                <w:szCs w:val="20"/>
              </w:rPr>
              <w:t>Low risk of bias</w:t>
            </w:r>
          </w:p>
        </w:tc>
        <w:tc>
          <w:tcPr>
            <w:tcW w:w="1312" w:type="dxa"/>
          </w:tcPr>
          <w:p w14:paraId="07467B6B" w14:textId="77777777" w:rsidR="002D58E4" w:rsidRDefault="00F721D4">
            <w:pPr>
              <w:rPr>
                <w:i/>
                <w:sz w:val="20"/>
                <w:szCs w:val="20"/>
              </w:rPr>
            </w:pPr>
            <w:r>
              <w:rPr>
                <w:i/>
                <w:sz w:val="20"/>
                <w:szCs w:val="20"/>
              </w:rPr>
              <w:t>A. americanum &gt;90%</w:t>
            </w:r>
          </w:p>
        </w:tc>
        <w:tc>
          <w:tcPr>
            <w:tcW w:w="2520" w:type="dxa"/>
          </w:tcPr>
          <w:p w14:paraId="35F95E03" w14:textId="77777777" w:rsidR="002D58E4" w:rsidRDefault="00F721D4">
            <w:pPr>
              <w:rPr>
                <w:sz w:val="20"/>
                <w:szCs w:val="20"/>
              </w:rPr>
            </w:pPr>
            <w:r>
              <w:rPr>
                <w:sz w:val="20"/>
                <w:szCs w:val="20"/>
              </w:rPr>
              <w:t>This is a follow-up for Vaughn 2014 study. Outdoor workers from that study (N=159) were followed for 2 years for seroconversion to tick-transmitted pathogens.</w:t>
            </w:r>
          </w:p>
          <w:p w14:paraId="3A985E06" w14:textId="77777777" w:rsidR="002D58E4" w:rsidRDefault="002D58E4">
            <w:pPr>
              <w:rPr>
                <w:sz w:val="20"/>
                <w:szCs w:val="20"/>
              </w:rPr>
            </w:pPr>
          </w:p>
          <w:p w14:paraId="025BEA38" w14:textId="77777777" w:rsidR="002D58E4" w:rsidRDefault="00F721D4">
            <w:pPr>
              <w:rPr>
                <w:sz w:val="20"/>
                <w:szCs w:val="20"/>
              </w:rPr>
            </w:pPr>
            <w:r>
              <w:rPr>
                <w:sz w:val="20"/>
                <w:szCs w:val="20"/>
              </w:rPr>
              <w:t>Seroconversions were assessed for any worker with paired sera available (</w:t>
            </w:r>
            <w:r>
              <w:rPr>
                <w:b/>
                <w:sz w:val="20"/>
                <w:szCs w:val="20"/>
              </w:rPr>
              <w:t>N = 90</w:t>
            </w:r>
            <w:r>
              <w:rPr>
                <w:sz w:val="20"/>
                <w:szCs w:val="20"/>
              </w:rPr>
              <w:t>).</w:t>
            </w:r>
            <w:r>
              <w:rPr>
                <w:b/>
                <w:sz w:val="20"/>
                <w:szCs w:val="20"/>
              </w:rPr>
              <w:t xml:space="preserve"> Incident infection</w:t>
            </w:r>
            <w:r>
              <w:rPr>
                <w:sz w:val="20"/>
                <w:szCs w:val="20"/>
              </w:rPr>
              <w:t xml:space="preserve"> was defined as a fourfold increase in IgG titer over a 1-year period.</w:t>
            </w:r>
          </w:p>
        </w:tc>
        <w:tc>
          <w:tcPr>
            <w:tcW w:w="1800" w:type="dxa"/>
          </w:tcPr>
          <w:p w14:paraId="1B351840" w14:textId="77777777" w:rsidR="002D58E4" w:rsidRDefault="00F721D4">
            <w:pPr>
              <w:rPr>
                <w:sz w:val="20"/>
                <w:szCs w:val="20"/>
              </w:rPr>
            </w:pPr>
            <w:r>
              <w:rPr>
                <w:sz w:val="20"/>
                <w:szCs w:val="20"/>
              </w:rPr>
              <w:t xml:space="preserve">• Long-lasting permethrin impregnated uniforms (LLPIU) </w:t>
            </w:r>
          </w:p>
          <w:p w14:paraId="5EF001AD" w14:textId="77777777" w:rsidR="002D58E4" w:rsidRDefault="002D58E4">
            <w:pPr>
              <w:rPr>
                <w:sz w:val="20"/>
                <w:szCs w:val="20"/>
              </w:rPr>
            </w:pPr>
          </w:p>
          <w:p w14:paraId="387D440E" w14:textId="77777777" w:rsidR="002D58E4" w:rsidRDefault="00F721D4">
            <w:pPr>
              <w:rPr>
                <w:sz w:val="20"/>
                <w:szCs w:val="20"/>
              </w:rPr>
            </w:pPr>
            <w:r>
              <w:rPr>
                <w:sz w:val="20"/>
                <w:szCs w:val="20"/>
              </w:rPr>
              <w:t>• Control uniforms that received a sham treatment</w:t>
            </w:r>
          </w:p>
        </w:tc>
        <w:tc>
          <w:tcPr>
            <w:tcW w:w="2058" w:type="dxa"/>
          </w:tcPr>
          <w:p w14:paraId="38A8B0BE" w14:textId="77777777" w:rsidR="002D58E4" w:rsidRDefault="00F721D4">
            <w:pPr>
              <w:rPr>
                <w:sz w:val="20"/>
                <w:szCs w:val="20"/>
              </w:rPr>
            </w:pPr>
            <w:r>
              <w:rPr>
                <w:sz w:val="20"/>
                <w:szCs w:val="20"/>
              </w:rPr>
              <w:t xml:space="preserve">Antibody titers against </w:t>
            </w:r>
            <w:r>
              <w:rPr>
                <w:i/>
                <w:sz w:val="20"/>
                <w:szCs w:val="20"/>
              </w:rPr>
              <w:t>Rickettsia parkeri, Rickettsia rickettsii, Rickettsia amblyommii,</w:t>
            </w:r>
            <w:r>
              <w:rPr>
                <w:sz w:val="20"/>
                <w:szCs w:val="20"/>
              </w:rPr>
              <w:t xml:space="preserve"> and</w:t>
            </w:r>
            <w:r>
              <w:rPr>
                <w:i/>
                <w:sz w:val="20"/>
                <w:szCs w:val="20"/>
              </w:rPr>
              <w:t xml:space="preserve"> Ehrlichia chaffeensis</w:t>
            </w:r>
            <w:r>
              <w:rPr>
                <w:sz w:val="20"/>
                <w:szCs w:val="20"/>
              </w:rPr>
              <w:t xml:space="preserve"> were measured at baseline (n = 130), after 1 year (n = 82), and after 2 years (n = 73). </w:t>
            </w:r>
          </w:p>
          <w:p w14:paraId="3A9132D4" w14:textId="77777777" w:rsidR="002D58E4" w:rsidRDefault="002D58E4">
            <w:pPr>
              <w:rPr>
                <w:sz w:val="20"/>
                <w:szCs w:val="20"/>
              </w:rPr>
            </w:pPr>
          </w:p>
          <w:p w14:paraId="6F57C5A1" w14:textId="77777777" w:rsidR="002D58E4" w:rsidRDefault="00F721D4">
            <w:pPr>
              <w:rPr>
                <w:sz w:val="20"/>
                <w:szCs w:val="20"/>
              </w:rPr>
            </w:pPr>
            <w:r>
              <w:rPr>
                <w:b/>
                <w:sz w:val="20"/>
                <w:szCs w:val="20"/>
              </w:rPr>
              <w:t xml:space="preserve">Antibody titers against </w:t>
            </w:r>
            <w:r>
              <w:rPr>
                <w:b/>
                <w:i/>
                <w:sz w:val="20"/>
                <w:szCs w:val="20"/>
              </w:rPr>
              <w:t>Borrelia burgdorferi</w:t>
            </w:r>
            <w:r>
              <w:rPr>
                <w:sz w:val="20"/>
                <w:szCs w:val="20"/>
              </w:rPr>
              <w:t xml:space="preserve"> (by C6 ELISA) were measured at baseline and after 2 years (</w:t>
            </w:r>
            <w:r>
              <w:rPr>
                <w:b/>
                <w:sz w:val="20"/>
                <w:szCs w:val="20"/>
              </w:rPr>
              <w:t>n = 90</w:t>
            </w:r>
            <w:r>
              <w:rPr>
                <w:sz w:val="20"/>
                <w:szCs w:val="20"/>
              </w:rPr>
              <w:t>).</w:t>
            </w:r>
          </w:p>
        </w:tc>
        <w:tc>
          <w:tcPr>
            <w:tcW w:w="3687" w:type="dxa"/>
          </w:tcPr>
          <w:p w14:paraId="1545B0CB" w14:textId="77777777" w:rsidR="002D58E4" w:rsidRDefault="00F721D4">
            <w:pPr>
              <w:rPr>
                <w:sz w:val="20"/>
                <w:szCs w:val="20"/>
              </w:rPr>
            </w:pPr>
            <w:r>
              <w:rPr>
                <w:sz w:val="20"/>
                <w:szCs w:val="20"/>
              </w:rPr>
              <w:t xml:space="preserve">There were 40 total seroconversions to at least one pathogen, including </w:t>
            </w:r>
            <w:r>
              <w:rPr>
                <w:i/>
                <w:sz w:val="20"/>
                <w:szCs w:val="20"/>
              </w:rPr>
              <w:t>R. parkeri</w:t>
            </w:r>
            <w:r>
              <w:rPr>
                <w:sz w:val="20"/>
                <w:szCs w:val="20"/>
              </w:rPr>
              <w:t xml:space="preserve"> (n = 19), </w:t>
            </w:r>
            <w:r>
              <w:rPr>
                <w:i/>
                <w:sz w:val="20"/>
                <w:szCs w:val="20"/>
              </w:rPr>
              <w:t xml:space="preserve">R. amblyommii </w:t>
            </w:r>
            <w:r>
              <w:rPr>
                <w:sz w:val="20"/>
                <w:szCs w:val="20"/>
              </w:rPr>
              <w:t xml:space="preserve">(n = 14), </w:t>
            </w:r>
            <w:r>
              <w:rPr>
                <w:i/>
                <w:sz w:val="20"/>
                <w:szCs w:val="20"/>
              </w:rPr>
              <w:t>R. rickettsii</w:t>
            </w:r>
            <w:r>
              <w:rPr>
                <w:sz w:val="20"/>
                <w:szCs w:val="20"/>
              </w:rPr>
              <w:t xml:space="preserve"> (n = 9), and </w:t>
            </w:r>
            <w:r>
              <w:rPr>
                <w:i/>
                <w:sz w:val="20"/>
                <w:szCs w:val="20"/>
              </w:rPr>
              <w:t>E. chaffeensis</w:t>
            </w:r>
            <w:r>
              <w:rPr>
                <w:sz w:val="20"/>
                <w:szCs w:val="20"/>
              </w:rPr>
              <w:t xml:space="preserve"> (n = 8); 38 of the 40 incident infections were subclinical (there was 1 clinical case of spotted fever rickettsiosis and 1 clinical case of ehrlichiosis). </w:t>
            </w:r>
          </w:p>
          <w:p w14:paraId="2D9C269A" w14:textId="77777777" w:rsidR="002D58E4" w:rsidRDefault="002D58E4">
            <w:pPr>
              <w:rPr>
                <w:sz w:val="20"/>
                <w:szCs w:val="20"/>
              </w:rPr>
            </w:pPr>
          </w:p>
          <w:p w14:paraId="5A81A707" w14:textId="77777777" w:rsidR="002D58E4" w:rsidRDefault="00F721D4">
            <w:pPr>
              <w:rPr>
                <w:b/>
                <w:sz w:val="20"/>
                <w:szCs w:val="20"/>
              </w:rPr>
            </w:pPr>
            <w:r>
              <w:rPr>
                <w:b/>
                <w:sz w:val="20"/>
                <w:szCs w:val="20"/>
              </w:rPr>
              <w:t xml:space="preserve">There were no subjects whose sera were reactive to </w:t>
            </w:r>
            <w:r>
              <w:rPr>
                <w:b/>
                <w:i/>
                <w:sz w:val="20"/>
                <w:szCs w:val="20"/>
              </w:rPr>
              <w:t>B. burgdorferi</w:t>
            </w:r>
            <w:r>
              <w:rPr>
                <w:b/>
                <w:sz w:val="20"/>
                <w:szCs w:val="20"/>
              </w:rPr>
              <w:t xml:space="preserve"> </w:t>
            </w:r>
            <w:r>
              <w:rPr>
                <w:sz w:val="20"/>
                <w:szCs w:val="20"/>
              </w:rPr>
              <w:t>at any point of the study.</w:t>
            </w:r>
          </w:p>
        </w:tc>
      </w:tr>
      <w:tr w:rsidR="002D58E4" w14:paraId="750C21E4" w14:textId="77777777" w:rsidTr="00E70FE5">
        <w:tc>
          <w:tcPr>
            <w:tcW w:w="900" w:type="dxa"/>
          </w:tcPr>
          <w:p w14:paraId="631ACEFA" w14:textId="77777777" w:rsidR="002D58E4" w:rsidRDefault="00F721D4">
            <w:pPr>
              <w:rPr>
                <w:sz w:val="20"/>
                <w:szCs w:val="20"/>
              </w:rPr>
            </w:pPr>
            <w:r>
              <w:rPr>
                <w:sz w:val="20"/>
                <w:szCs w:val="20"/>
              </w:rPr>
              <w:t>Ho-Pun-Cheung, 1999</w:t>
            </w:r>
          </w:p>
          <w:p w14:paraId="1683265D" w14:textId="77777777" w:rsidR="002D58E4" w:rsidRDefault="002D58E4">
            <w:pPr>
              <w:rPr>
                <w:sz w:val="20"/>
                <w:szCs w:val="20"/>
              </w:rPr>
            </w:pPr>
          </w:p>
          <w:p w14:paraId="40637395" w14:textId="77777777" w:rsidR="002D58E4" w:rsidRDefault="00F721D4">
            <w:pPr>
              <w:rPr>
                <w:sz w:val="20"/>
                <w:szCs w:val="20"/>
              </w:rPr>
            </w:pPr>
            <w:r>
              <w:rPr>
                <w:sz w:val="20"/>
                <w:szCs w:val="20"/>
              </w:rPr>
              <w:t>France</w:t>
            </w:r>
          </w:p>
        </w:tc>
        <w:tc>
          <w:tcPr>
            <w:tcW w:w="1260" w:type="dxa"/>
          </w:tcPr>
          <w:p w14:paraId="42560501" w14:textId="77777777" w:rsidR="002D58E4" w:rsidRDefault="00F721D4">
            <w:pPr>
              <w:rPr>
                <w:sz w:val="20"/>
                <w:szCs w:val="20"/>
              </w:rPr>
            </w:pPr>
            <w:r>
              <w:rPr>
                <w:sz w:val="20"/>
                <w:szCs w:val="20"/>
              </w:rPr>
              <w:t>Double-blind RCT</w:t>
            </w:r>
          </w:p>
        </w:tc>
        <w:tc>
          <w:tcPr>
            <w:tcW w:w="810" w:type="dxa"/>
          </w:tcPr>
          <w:p w14:paraId="790AC416" w14:textId="77777777" w:rsidR="002D58E4" w:rsidRDefault="00F721D4">
            <w:pPr>
              <w:rPr>
                <w:sz w:val="20"/>
                <w:szCs w:val="20"/>
              </w:rPr>
            </w:pPr>
            <w:r>
              <w:rPr>
                <w:sz w:val="20"/>
                <w:szCs w:val="20"/>
              </w:rPr>
              <w:t>High risk of bias</w:t>
            </w:r>
          </w:p>
        </w:tc>
        <w:tc>
          <w:tcPr>
            <w:tcW w:w="1312" w:type="dxa"/>
          </w:tcPr>
          <w:p w14:paraId="2D118032" w14:textId="77777777" w:rsidR="002D58E4" w:rsidRDefault="00F721D4">
            <w:pPr>
              <w:rPr>
                <w:i/>
                <w:sz w:val="20"/>
                <w:szCs w:val="20"/>
              </w:rPr>
            </w:pPr>
            <w:r>
              <w:rPr>
                <w:i/>
                <w:sz w:val="20"/>
                <w:szCs w:val="20"/>
              </w:rPr>
              <w:t>D. marginatus (predominantly), l. ricinus, D. reticulatus</w:t>
            </w:r>
          </w:p>
          <w:p w14:paraId="136FCFEA" w14:textId="77777777" w:rsidR="002D58E4" w:rsidRDefault="002D58E4">
            <w:pPr>
              <w:rPr>
                <w:sz w:val="20"/>
                <w:szCs w:val="20"/>
              </w:rPr>
            </w:pPr>
          </w:p>
        </w:tc>
        <w:tc>
          <w:tcPr>
            <w:tcW w:w="2520" w:type="dxa"/>
          </w:tcPr>
          <w:p w14:paraId="4387FE01" w14:textId="77777777" w:rsidR="002D58E4" w:rsidRDefault="00F721D4">
            <w:pPr>
              <w:rPr>
                <w:sz w:val="20"/>
                <w:szCs w:val="20"/>
              </w:rPr>
            </w:pPr>
            <w:r>
              <w:rPr>
                <w:sz w:val="20"/>
                <w:szCs w:val="20"/>
              </w:rPr>
              <w:t xml:space="preserve">Soldiers wearing permethrin-treated (N=429) vs. untreated (N=424) battle dress uniforms (BDU) on military site. </w:t>
            </w:r>
          </w:p>
          <w:p w14:paraId="53283677" w14:textId="77777777" w:rsidR="002D58E4" w:rsidRDefault="00F721D4">
            <w:pPr>
              <w:rPr>
                <w:sz w:val="20"/>
                <w:szCs w:val="20"/>
              </w:rPr>
            </w:pPr>
            <w:r>
              <w:rPr>
                <w:sz w:val="20"/>
                <w:szCs w:val="20"/>
              </w:rPr>
              <w:t>Follow-up lasted 3 months.</w:t>
            </w:r>
          </w:p>
        </w:tc>
        <w:tc>
          <w:tcPr>
            <w:tcW w:w="1800" w:type="dxa"/>
          </w:tcPr>
          <w:p w14:paraId="48BE65B8" w14:textId="77777777" w:rsidR="002D58E4" w:rsidRDefault="00F721D4">
            <w:pPr>
              <w:rPr>
                <w:sz w:val="20"/>
                <w:szCs w:val="20"/>
              </w:rPr>
            </w:pPr>
            <w:r>
              <w:rPr>
                <w:sz w:val="20"/>
                <w:szCs w:val="20"/>
              </w:rPr>
              <w:t>• Uniforms impregnated with permethrin cis/trans 25/75 vs.</w:t>
            </w:r>
          </w:p>
          <w:p w14:paraId="4B5132AA" w14:textId="77777777" w:rsidR="002D58E4" w:rsidRDefault="002D58E4">
            <w:pPr>
              <w:rPr>
                <w:sz w:val="20"/>
                <w:szCs w:val="20"/>
              </w:rPr>
            </w:pPr>
          </w:p>
          <w:p w14:paraId="0511700A" w14:textId="77777777" w:rsidR="002D58E4" w:rsidRDefault="00F721D4">
            <w:pPr>
              <w:rPr>
                <w:sz w:val="20"/>
                <w:szCs w:val="20"/>
              </w:rPr>
            </w:pPr>
            <w:r>
              <w:rPr>
                <w:sz w:val="20"/>
                <w:szCs w:val="20"/>
              </w:rPr>
              <w:t>• Non-impregnated uniforms</w:t>
            </w:r>
          </w:p>
        </w:tc>
        <w:tc>
          <w:tcPr>
            <w:tcW w:w="2058" w:type="dxa"/>
          </w:tcPr>
          <w:p w14:paraId="0903DFAA" w14:textId="77777777" w:rsidR="002D58E4" w:rsidRDefault="00F721D4">
            <w:pPr>
              <w:rPr>
                <w:sz w:val="20"/>
                <w:szCs w:val="20"/>
              </w:rPr>
            </w:pPr>
            <w:r>
              <w:rPr>
                <w:b/>
                <w:sz w:val="20"/>
                <w:szCs w:val="20"/>
              </w:rPr>
              <w:t>N of ticks collected</w:t>
            </w:r>
            <w:r>
              <w:rPr>
                <w:sz w:val="20"/>
                <w:szCs w:val="20"/>
              </w:rPr>
              <w:t xml:space="preserve"> from permethrin-treated vs. untreated uniforms and</w:t>
            </w:r>
            <w:r>
              <w:rPr>
                <w:i/>
                <w:sz w:val="20"/>
                <w:szCs w:val="20"/>
              </w:rPr>
              <w:t xml:space="preserve"> </w:t>
            </w:r>
            <w:r>
              <w:rPr>
                <w:b/>
                <w:sz w:val="20"/>
                <w:szCs w:val="20"/>
              </w:rPr>
              <w:t>N of subjects on whom ticks were found</w:t>
            </w:r>
            <w:r>
              <w:rPr>
                <w:sz w:val="20"/>
                <w:szCs w:val="20"/>
              </w:rPr>
              <w:t xml:space="preserve">.  </w:t>
            </w:r>
          </w:p>
          <w:p w14:paraId="74A840CA" w14:textId="77777777" w:rsidR="002D58E4" w:rsidRDefault="00F721D4">
            <w:pPr>
              <w:rPr>
                <w:sz w:val="20"/>
                <w:szCs w:val="20"/>
              </w:rPr>
            </w:pPr>
            <w:r>
              <w:rPr>
                <w:sz w:val="20"/>
                <w:szCs w:val="20"/>
              </w:rPr>
              <w:t xml:space="preserve">Subjects were monitored for symptoms and those </w:t>
            </w:r>
            <w:r>
              <w:rPr>
                <w:sz w:val="20"/>
                <w:szCs w:val="20"/>
              </w:rPr>
              <w:lastRenderedPageBreak/>
              <w:t>with attached ticks had blood tested on day 0 and day 90 for anti-borrelial and anti-rickettsial a/b.</w:t>
            </w:r>
          </w:p>
        </w:tc>
        <w:tc>
          <w:tcPr>
            <w:tcW w:w="3687" w:type="dxa"/>
          </w:tcPr>
          <w:p w14:paraId="75CA82E2" w14:textId="77777777" w:rsidR="002D58E4" w:rsidRDefault="00F721D4">
            <w:pPr>
              <w:rPr>
                <w:sz w:val="20"/>
                <w:szCs w:val="20"/>
              </w:rPr>
            </w:pPr>
            <w:r>
              <w:rPr>
                <w:sz w:val="20"/>
                <w:szCs w:val="20"/>
              </w:rPr>
              <w:lastRenderedPageBreak/>
              <w:t>There was a significant difference in both the intensity (number of ticks per individual, P &lt;0.0001) and prevalence (number of individuals with ticks, P &lt; 0.001) of ticks on individuals between impregnated and non-impregnated uniforms.</w:t>
            </w:r>
          </w:p>
        </w:tc>
      </w:tr>
      <w:tr w:rsidR="002D58E4" w14:paraId="43CB40C1" w14:textId="77777777" w:rsidTr="00E70FE5">
        <w:trPr>
          <w:trHeight w:val="60"/>
        </w:trPr>
        <w:tc>
          <w:tcPr>
            <w:tcW w:w="900" w:type="dxa"/>
          </w:tcPr>
          <w:p w14:paraId="6D7D2987" w14:textId="77777777" w:rsidR="002D58E4" w:rsidRDefault="00F721D4">
            <w:pPr>
              <w:rPr>
                <w:sz w:val="20"/>
                <w:szCs w:val="20"/>
              </w:rPr>
            </w:pPr>
            <w:r>
              <w:rPr>
                <w:sz w:val="20"/>
                <w:szCs w:val="20"/>
              </w:rPr>
              <w:t>Faulde, 2015</w:t>
            </w:r>
          </w:p>
          <w:p w14:paraId="75AF0A10" w14:textId="77777777" w:rsidR="002D58E4" w:rsidRDefault="002D58E4">
            <w:pPr>
              <w:rPr>
                <w:sz w:val="20"/>
                <w:szCs w:val="20"/>
              </w:rPr>
            </w:pPr>
          </w:p>
          <w:p w14:paraId="572208EA" w14:textId="77777777" w:rsidR="002D58E4" w:rsidRDefault="00F721D4">
            <w:pPr>
              <w:rPr>
                <w:sz w:val="20"/>
                <w:szCs w:val="20"/>
              </w:rPr>
            </w:pPr>
            <w:r>
              <w:rPr>
                <w:sz w:val="20"/>
                <w:szCs w:val="20"/>
              </w:rPr>
              <w:t>Germany</w:t>
            </w:r>
          </w:p>
        </w:tc>
        <w:tc>
          <w:tcPr>
            <w:tcW w:w="1260" w:type="dxa"/>
          </w:tcPr>
          <w:p w14:paraId="4FBCD1A6" w14:textId="77777777" w:rsidR="002D58E4" w:rsidRDefault="00F721D4">
            <w:pPr>
              <w:rPr>
                <w:sz w:val="20"/>
                <w:szCs w:val="20"/>
              </w:rPr>
            </w:pPr>
            <w:r>
              <w:rPr>
                <w:sz w:val="20"/>
                <w:szCs w:val="20"/>
              </w:rPr>
              <w:t>Retrospective cohort study</w:t>
            </w:r>
          </w:p>
        </w:tc>
        <w:tc>
          <w:tcPr>
            <w:tcW w:w="810" w:type="dxa"/>
          </w:tcPr>
          <w:p w14:paraId="19C3A293" w14:textId="77777777" w:rsidR="002D58E4" w:rsidRDefault="00F721D4">
            <w:pPr>
              <w:jc w:val="center"/>
              <w:rPr>
                <w:sz w:val="20"/>
                <w:szCs w:val="20"/>
              </w:rPr>
            </w:pPr>
            <w:r>
              <w:rPr>
                <w:sz w:val="20"/>
                <w:szCs w:val="20"/>
              </w:rPr>
              <w:t>5</w:t>
            </w:r>
          </w:p>
        </w:tc>
        <w:tc>
          <w:tcPr>
            <w:tcW w:w="1312" w:type="dxa"/>
          </w:tcPr>
          <w:p w14:paraId="0140B002" w14:textId="77777777" w:rsidR="002D58E4" w:rsidRDefault="00F721D4">
            <w:pPr>
              <w:rPr>
                <w:i/>
                <w:sz w:val="20"/>
                <w:szCs w:val="20"/>
              </w:rPr>
            </w:pPr>
            <w:r>
              <w:rPr>
                <w:i/>
                <w:sz w:val="20"/>
                <w:szCs w:val="20"/>
              </w:rPr>
              <w:t>I. ricinus</w:t>
            </w:r>
          </w:p>
          <w:p w14:paraId="29ACDE99" w14:textId="77777777" w:rsidR="002D58E4" w:rsidRDefault="002D58E4">
            <w:pPr>
              <w:rPr>
                <w:sz w:val="20"/>
                <w:szCs w:val="20"/>
              </w:rPr>
            </w:pPr>
          </w:p>
        </w:tc>
        <w:tc>
          <w:tcPr>
            <w:tcW w:w="2520" w:type="dxa"/>
          </w:tcPr>
          <w:p w14:paraId="67E44AF4" w14:textId="77777777" w:rsidR="002D58E4" w:rsidRDefault="00F721D4">
            <w:pPr>
              <w:rPr>
                <w:sz w:val="20"/>
                <w:szCs w:val="20"/>
              </w:rPr>
            </w:pPr>
            <w:r>
              <w:rPr>
                <w:sz w:val="20"/>
                <w:szCs w:val="20"/>
              </w:rPr>
              <w:t>Soldiers (N=7151) wearing factory-treated, long-lasting permethrin-impregnated BDU (PIBDU) in 2010-2011, the first two years after PIBDU formal introduction vs. non-treated BDU worn in 2009, the year preceding PIBDU introduction.</w:t>
            </w:r>
          </w:p>
        </w:tc>
        <w:tc>
          <w:tcPr>
            <w:tcW w:w="1800" w:type="dxa"/>
          </w:tcPr>
          <w:p w14:paraId="3C1C60E6" w14:textId="77777777" w:rsidR="002D58E4" w:rsidRDefault="00F721D4">
            <w:pPr>
              <w:rPr>
                <w:sz w:val="20"/>
                <w:szCs w:val="20"/>
              </w:rPr>
            </w:pPr>
            <w:r>
              <w:rPr>
                <w:sz w:val="20"/>
                <w:szCs w:val="20"/>
              </w:rPr>
              <w:t xml:space="preserve">• Permethrin impregnated polymer-coated BDU (PIBDU) worn in 2010 and 2011 </w:t>
            </w:r>
          </w:p>
          <w:p w14:paraId="27BE2914" w14:textId="77777777" w:rsidR="002D58E4" w:rsidRDefault="002D58E4">
            <w:pPr>
              <w:rPr>
                <w:sz w:val="20"/>
                <w:szCs w:val="20"/>
              </w:rPr>
            </w:pPr>
          </w:p>
          <w:p w14:paraId="453AAFB8" w14:textId="77777777" w:rsidR="002D58E4" w:rsidRDefault="00F721D4">
            <w:pPr>
              <w:rPr>
                <w:sz w:val="20"/>
                <w:szCs w:val="20"/>
              </w:rPr>
            </w:pPr>
            <w:r>
              <w:rPr>
                <w:sz w:val="20"/>
                <w:szCs w:val="20"/>
              </w:rPr>
              <w:t xml:space="preserve">• Non- impregnated BDU (NTBDU) </w:t>
            </w:r>
          </w:p>
        </w:tc>
        <w:tc>
          <w:tcPr>
            <w:tcW w:w="2058" w:type="dxa"/>
          </w:tcPr>
          <w:p w14:paraId="7773FC4F" w14:textId="77777777" w:rsidR="002D58E4" w:rsidRDefault="00F721D4">
            <w:pPr>
              <w:rPr>
                <w:sz w:val="20"/>
                <w:szCs w:val="20"/>
              </w:rPr>
            </w:pPr>
            <w:r>
              <w:rPr>
                <w:b/>
                <w:sz w:val="20"/>
                <w:szCs w:val="20"/>
              </w:rPr>
              <w:t>Tick bite incidence</w:t>
            </w:r>
            <w:r>
              <w:rPr>
                <w:sz w:val="20"/>
                <w:szCs w:val="20"/>
              </w:rPr>
              <w:t xml:space="preserve"> estimated via analysis of mandatory tick bite report forms required by the Bundeswehr Medical Service since 2009;</w:t>
            </w:r>
          </w:p>
          <w:p w14:paraId="37A35411" w14:textId="77777777" w:rsidR="002D58E4" w:rsidRDefault="002D58E4">
            <w:pPr>
              <w:rPr>
                <w:sz w:val="20"/>
                <w:szCs w:val="20"/>
              </w:rPr>
            </w:pPr>
          </w:p>
          <w:p w14:paraId="0FDCE346" w14:textId="77777777" w:rsidR="002D58E4" w:rsidRDefault="00F721D4">
            <w:pPr>
              <w:rPr>
                <w:sz w:val="20"/>
                <w:szCs w:val="20"/>
              </w:rPr>
            </w:pPr>
            <w:r>
              <w:rPr>
                <w:b/>
                <w:sz w:val="20"/>
                <w:szCs w:val="20"/>
              </w:rPr>
              <w:t>Protective effectiveness.</w:t>
            </w:r>
          </w:p>
        </w:tc>
        <w:tc>
          <w:tcPr>
            <w:tcW w:w="3687" w:type="dxa"/>
          </w:tcPr>
          <w:p w14:paraId="2807B8C4" w14:textId="77777777" w:rsidR="002D58E4" w:rsidRDefault="00F721D4">
            <w:pPr>
              <w:rPr>
                <w:sz w:val="20"/>
                <w:szCs w:val="20"/>
              </w:rPr>
            </w:pPr>
            <w:r>
              <w:rPr>
                <w:sz w:val="20"/>
                <w:szCs w:val="20"/>
              </w:rPr>
              <w:t xml:space="preserve">In </w:t>
            </w:r>
            <w:r>
              <w:rPr>
                <w:b/>
                <w:sz w:val="20"/>
                <w:szCs w:val="20"/>
              </w:rPr>
              <w:t>2009,</w:t>
            </w:r>
            <w:r>
              <w:rPr>
                <w:sz w:val="20"/>
                <w:szCs w:val="20"/>
              </w:rPr>
              <w:t xml:space="preserve"> tick bite incidence was </w:t>
            </w:r>
            <w:r>
              <w:rPr>
                <w:b/>
                <w:sz w:val="20"/>
                <w:szCs w:val="20"/>
              </w:rPr>
              <w:t>8.8 % per exposed person</w:t>
            </w:r>
            <w:r>
              <w:rPr>
                <w:sz w:val="20"/>
                <w:szCs w:val="20"/>
              </w:rPr>
              <w:t xml:space="preserve"> when wearing NTBDUs only. </w:t>
            </w:r>
          </w:p>
          <w:p w14:paraId="4B4803DB" w14:textId="77777777" w:rsidR="002D58E4" w:rsidRDefault="00F721D4">
            <w:pPr>
              <w:rPr>
                <w:sz w:val="20"/>
                <w:szCs w:val="20"/>
              </w:rPr>
            </w:pPr>
            <w:r>
              <w:rPr>
                <w:b/>
                <w:sz w:val="20"/>
                <w:szCs w:val="20"/>
              </w:rPr>
              <w:t>In 2010 and 2011,</w:t>
            </w:r>
            <w:r>
              <w:rPr>
                <w:sz w:val="20"/>
                <w:szCs w:val="20"/>
              </w:rPr>
              <w:t xml:space="preserve"> annual tick bite incidence was </w:t>
            </w:r>
            <w:r>
              <w:rPr>
                <w:b/>
                <w:sz w:val="20"/>
                <w:szCs w:val="20"/>
              </w:rPr>
              <w:t>0.035 and 0.078 % per exposed person,</w:t>
            </w:r>
            <w:r>
              <w:rPr>
                <w:sz w:val="20"/>
                <w:szCs w:val="20"/>
              </w:rPr>
              <w:t xml:space="preserve"> respectively. </w:t>
            </w:r>
          </w:p>
          <w:p w14:paraId="24C8BB6E" w14:textId="77777777" w:rsidR="002D58E4" w:rsidRDefault="00F721D4">
            <w:pPr>
              <w:rPr>
                <w:sz w:val="20"/>
                <w:szCs w:val="20"/>
              </w:rPr>
            </w:pPr>
            <w:r>
              <w:rPr>
                <w:sz w:val="20"/>
                <w:szCs w:val="20"/>
              </w:rPr>
              <w:t xml:space="preserve">This corresponded into a </w:t>
            </w:r>
            <w:r>
              <w:rPr>
                <w:b/>
                <w:sz w:val="20"/>
                <w:szCs w:val="20"/>
              </w:rPr>
              <w:t>protective effectiveness of 99.6% and 98.6 % of PIBDU</w:t>
            </w:r>
            <w:r>
              <w:rPr>
                <w:sz w:val="20"/>
                <w:szCs w:val="20"/>
              </w:rPr>
              <w:t xml:space="preserve"> in 2010 and 2011.</w:t>
            </w:r>
          </w:p>
        </w:tc>
      </w:tr>
      <w:tr w:rsidR="002D58E4" w14:paraId="00E88C4B" w14:textId="77777777" w:rsidTr="00E70FE5">
        <w:tc>
          <w:tcPr>
            <w:tcW w:w="900" w:type="dxa"/>
          </w:tcPr>
          <w:p w14:paraId="67800520" w14:textId="77777777" w:rsidR="002D58E4" w:rsidRDefault="00F721D4">
            <w:pPr>
              <w:rPr>
                <w:sz w:val="20"/>
                <w:szCs w:val="20"/>
              </w:rPr>
            </w:pPr>
            <w:r>
              <w:rPr>
                <w:sz w:val="20"/>
                <w:szCs w:val="20"/>
              </w:rPr>
              <w:t>Kegel, 2014</w:t>
            </w:r>
          </w:p>
          <w:p w14:paraId="355194BC" w14:textId="77777777" w:rsidR="002D58E4" w:rsidRDefault="002D58E4">
            <w:pPr>
              <w:rPr>
                <w:sz w:val="20"/>
                <w:szCs w:val="20"/>
              </w:rPr>
            </w:pPr>
          </w:p>
          <w:p w14:paraId="15C3D0A8" w14:textId="77777777" w:rsidR="002D58E4" w:rsidRDefault="00F721D4">
            <w:pPr>
              <w:rPr>
                <w:sz w:val="20"/>
                <w:szCs w:val="20"/>
              </w:rPr>
            </w:pPr>
            <w:r>
              <w:rPr>
                <w:sz w:val="20"/>
                <w:szCs w:val="20"/>
              </w:rPr>
              <w:t>Germany and Afghanistan (winter time)</w:t>
            </w:r>
          </w:p>
        </w:tc>
        <w:tc>
          <w:tcPr>
            <w:tcW w:w="1260" w:type="dxa"/>
          </w:tcPr>
          <w:p w14:paraId="14288723" w14:textId="77777777" w:rsidR="002D58E4" w:rsidRDefault="00F721D4">
            <w:pPr>
              <w:rPr>
                <w:sz w:val="20"/>
                <w:szCs w:val="20"/>
              </w:rPr>
            </w:pPr>
            <w:r>
              <w:rPr>
                <w:sz w:val="20"/>
                <w:szCs w:val="20"/>
              </w:rPr>
              <w:t>Two separate prospective cohorts studying differences in uptake of permethrin in wearers of PIBDU and NTBDU</w:t>
            </w:r>
          </w:p>
        </w:tc>
        <w:tc>
          <w:tcPr>
            <w:tcW w:w="810" w:type="dxa"/>
          </w:tcPr>
          <w:p w14:paraId="71D515D7" w14:textId="77777777" w:rsidR="002D58E4" w:rsidRDefault="00F721D4">
            <w:pPr>
              <w:jc w:val="center"/>
              <w:rPr>
                <w:sz w:val="20"/>
                <w:szCs w:val="20"/>
              </w:rPr>
            </w:pPr>
            <w:r>
              <w:rPr>
                <w:sz w:val="20"/>
                <w:szCs w:val="20"/>
              </w:rPr>
              <w:t>8</w:t>
            </w:r>
          </w:p>
        </w:tc>
        <w:tc>
          <w:tcPr>
            <w:tcW w:w="1312" w:type="dxa"/>
          </w:tcPr>
          <w:p w14:paraId="16B3C7ED" w14:textId="77777777" w:rsidR="002D58E4" w:rsidRDefault="00F721D4">
            <w:pPr>
              <w:rPr>
                <w:sz w:val="20"/>
                <w:szCs w:val="20"/>
              </w:rPr>
            </w:pPr>
            <w:r>
              <w:rPr>
                <w:sz w:val="20"/>
                <w:szCs w:val="20"/>
              </w:rPr>
              <w:t>NA</w:t>
            </w:r>
          </w:p>
          <w:p w14:paraId="0A099B74" w14:textId="77777777" w:rsidR="002D58E4" w:rsidRDefault="002D58E4">
            <w:pPr>
              <w:rPr>
                <w:sz w:val="20"/>
                <w:szCs w:val="20"/>
              </w:rPr>
            </w:pPr>
          </w:p>
        </w:tc>
        <w:tc>
          <w:tcPr>
            <w:tcW w:w="2520" w:type="dxa"/>
          </w:tcPr>
          <w:p w14:paraId="2D9D6824" w14:textId="77777777" w:rsidR="002D58E4" w:rsidRDefault="00F721D4">
            <w:pPr>
              <w:rPr>
                <w:sz w:val="20"/>
                <w:szCs w:val="20"/>
              </w:rPr>
            </w:pPr>
            <w:r>
              <w:rPr>
                <w:sz w:val="20"/>
                <w:szCs w:val="20"/>
              </w:rPr>
              <w:t>Soldiers (n=549 in study 1 and 195 in study 2) wearing PIBDU in Afghanistan and Germany.</w:t>
            </w:r>
            <w:r>
              <w:t xml:space="preserve"> </w:t>
            </w:r>
          </w:p>
        </w:tc>
        <w:tc>
          <w:tcPr>
            <w:tcW w:w="1800" w:type="dxa"/>
          </w:tcPr>
          <w:p w14:paraId="0AB0ECFF" w14:textId="77777777" w:rsidR="002D58E4" w:rsidRDefault="00F721D4">
            <w:pPr>
              <w:rPr>
                <w:sz w:val="20"/>
                <w:szCs w:val="20"/>
              </w:rPr>
            </w:pPr>
            <w:r>
              <w:rPr>
                <w:sz w:val="20"/>
                <w:szCs w:val="20"/>
              </w:rPr>
              <w:t>• Permethrin impregnated battle dress uniforms (PIBDU) vs.</w:t>
            </w:r>
          </w:p>
          <w:p w14:paraId="4080A3CA" w14:textId="77777777" w:rsidR="002D58E4" w:rsidRDefault="00F721D4">
            <w:pPr>
              <w:rPr>
                <w:sz w:val="20"/>
                <w:szCs w:val="20"/>
              </w:rPr>
            </w:pPr>
            <w:r>
              <w:rPr>
                <w:sz w:val="20"/>
                <w:szCs w:val="20"/>
              </w:rPr>
              <w:t xml:space="preserve"> </w:t>
            </w:r>
          </w:p>
          <w:p w14:paraId="22185C38" w14:textId="77777777" w:rsidR="002D58E4" w:rsidRDefault="00F721D4">
            <w:pPr>
              <w:rPr>
                <w:sz w:val="20"/>
                <w:szCs w:val="20"/>
              </w:rPr>
            </w:pPr>
            <w:r>
              <w:rPr>
                <w:sz w:val="20"/>
                <w:szCs w:val="20"/>
              </w:rPr>
              <w:t>• Non- impregnated BDU (NTBDU)</w:t>
            </w:r>
          </w:p>
        </w:tc>
        <w:tc>
          <w:tcPr>
            <w:tcW w:w="2058" w:type="dxa"/>
          </w:tcPr>
          <w:p w14:paraId="1B969009" w14:textId="77777777" w:rsidR="002D58E4" w:rsidRDefault="00F721D4">
            <w:pPr>
              <w:rPr>
                <w:sz w:val="20"/>
                <w:szCs w:val="20"/>
              </w:rPr>
            </w:pPr>
            <w:r>
              <w:rPr>
                <w:b/>
                <w:sz w:val="20"/>
                <w:szCs w:val="20"/>
              </w:rPr>
              <w:t>Permethrin metabolites in urine</w:t>
            </w:r>
            <w:r>
              <w:rPr>
                <w:sz w:val="20"/>
                <w:szCs w:val="20"/>
              </w:rPr>
              <w:t xml:space="preserve"> samples at different time points.</w:t>
            </w:r>
          </w:p>
        </w:tc>
        <w:tc>
          <w:tcPr>
            <w:tcW w:w="3687" w:type="dxa"/>
          </w:tcPr>
          <w:p w14:paraId="7A206BE1" w14:textId="77777777" w:rsidR="002D58E4" w:rsidRDefault="00F721D4">
            <w:pPr>
              <w:rPr>
                <w:sz w:val="20"/>
                <w:szCs w:val="20"/>
              </w:rPr>
            </w:pPr>
            <w:r>
              <w:rPr>
                <w:sz w:val="20"/>
                <w:szCs w:val="20"/>
              </w:rPr>
              <w:t xml:space="preserve">Subjects of the Afghan and German </w:t>
            </w:r>
            <w:r>
              <w:rPr>
                <w:b/>
                <w:sz w:val="20"/>
                <w:szCs w:val="20"/>
              </w:rPr>
              <w:t>control groups had</w:t>
            </w:r>
            <w:r>
              <w:rPr>
                <w:sz w:val="20"/>
                <w:szCs w:val="20"/>
              </w:rPr>
              <w:t xml:space="preserve"> </w:t>
            </w:r>
            <w:r>
              <w:rPr>
                <w:b/>
                <w:sz w:val="20"/>
                <w:szCs w:val="20"/>
              </w:rPr>
              <w:t>permethrin levels in the range of the German general population.</w:t>
            </w:r>
            <w:r>
              <w:rPr>
                <w:sz w:val="20"/>
                <w:szCs w:val="20"/>
              </w:rPr>
              <w:t xml:space="preserve"> In contrast, subjects </w:t>
            </w:r>
            <w:r>
              <w:rPr>
                <w:b/>
                <w:sz w:val="20"/>
                <w:szCs w:val="20"/>
              </w:rPr>
              <w:t>using impregnated BDU daily had ~200-fold higher exposure levels.</w:t>
            </w:r>
            <w:r>
              <w:rPr>
                <w:sz w:val="20"/>
                <w:szCs w:val="20"/>
              </w:rPr>
              <w:t xml:space="preserve"> </w:t>
            </w:r>
          </w:p>
          <w:p w14:paraId="48D782EF" w14:textId="77777777" w:rsidR="002D58E4" w:rsidRDefault="00F721D4">
            <w:pPr>
              <w:rPr>
                <w:sz w:val="20"/>
                <w:szCs w:val="20"/>
              </w:rPr>
            </w:pPr>
            <w:r>
              <w:rPr>
                <w:sz w:val="20"/>
                <w:szCs w:val="20"/>
              </w:rPr>
              <w:t xml:space="preserve">Within this group, subjects located in Afghanistan (possibly due to longer uniform daily wearing time (16 vs. 10 hrs for Germany) and smokers (presumably induced by hand-mouth contact) had significantly higher exposure levels. </w:t>
            </w:r>
          </w:p>
          <w:p w14:paraId="0EC6EFC2" w14:textId="77777777" w:rsidR="002D58E4" w:rsidRDefault="00F721D4">
            <w:pPr>
              <w:rPr>
                <w:sz w:val="20"/>
                <w:szCs w:val="20"/>
              </w:rPr>
            </w:pPr>
            <w:r>
              <w:rPr>
                <w:sz w:val="20"/>
                <w:szCs w:val="20"/>
              </w:rPr>
              <w:t>A longer period of wearing the BDU was associated with lower metabolite levels, possibly due to an increasing number of launderings.</w:t>
            </w:r>
          </w:p>
        </w:tc>
      </w:tr>
      <w:tr w:rsidR="002D58E4" w14:paraId="4F47860B" w14:textId="77777777" w:rsidTr="00E70FE5">
        <w:tc>
          <w:tcPr>
            <w:tcW w:w="900" w:type="dxa"/>
          </w:tcPr>
          <w:p w14:paraId="745AD02A" w14:textId="77777777" w:rsidR="002D58E4" w:rsidRDefault="00F721D4">
            <w:pPr>
              <w:rPr>
                <w:sz w:val="20"/>
                <w:szCs w:val="20"/>
              </w:rPr>
            </w:pPr>
            <w:r>
              <w:rPr>
                <w:sz w:val="20"/>
                <w:szCs w:val="20"/>
              </w:rPr>
              <w:t>Evans, 1990</w:t>
            </w:r>
          </w:p>
          <w:p w14:paraId="5AF0E0EE" w14:textId="77777777" w:rsidR="002D58E4" w:rsidRDefault="002D58E4">
            <w:pPr>
              <w:rPr>
                <w:sz w:val="20"/>
                <w:szCs w:val="20"/>
              </w:rPr>
            </w:pPr>
          </w:p>
          <w:p w14:paraId="65F1F1A3" w14:textId="77777777" w:rsidR="002D58E4" w:rsidRDefault="00F721D4">
            <w:pPr>
              <w:rPr>
                <w:sz w:val="20"/>
                <w:szCs w:val="20"/>
              </w:rPr>
            </w:pPr>
            <w:r>
              <w:rPr>
                <w:sz w:val="20"/>
                <w:szCs w:val="20"/>
              </w:rPr>
              <w:t>MD, USA</w:t>
            </w:r>
          </w:p>
        </w:tc>
        <w:tc>
          <w:tcPr>
            <w:tcW w:w="1260" w:type="dxa"/>
          </w:tcPr>
          <w:p w14:paraId="0DCFD8A1" w14:textId="77777777" w:rsidR="002D58E4" w:rsidRDefault="00F721D4">
            <w:pPr>
              <w:rPr>
                <w:sz w:val="20"/>
                <w:szCs w:val="20"/>
              </w:rPr>
            </w:pPr>
            <w:r>
              <w:rPr>
                <w:sz w:val="20"/>
                <w:szCs w:val="20"/>
              </w:rPr>
              <w:t>RCT; field trial</w:t>
            </w:r>
          </w:p>
        </w:tc>
        <w:tc>
          <w:tcPr>
            <w:tcW w:w="810" w:type="dxa"/>
          </w:tcPr>
          <w:p w14:paraId="79B646DE" w14:textId="77777777" w:rsidR="002D58E4" w:rsidRDefault="00F721D4">
            <w:pPr>
              <w:rPr>
                <w:sz w:val="20"/>
                <w:szCs w:val="20"/>
              </w:rPr>
            </w:pPr>
            <w:r>
              <w:rPr>
                <w:sz w:val="20"/>
                <w:szCs w:val="20"/>
              </w:rPr>
              <w:t>Unclear risk of bias</w:t>
            </w:r>
          </w:p>
        </w:tc>
        <w:tc>
          <w:tcPr>
            <w:tcW w:w="1312" w:type="dxa"/>
          </w:tcPr>
          <w:p w14:paraId="60C99D32" w14:textId="77777777" w:rsidR="002D58E4" w:rsidRDefault="00F721D4">
            <w:pPr>
              <w:rPr>
                <w:i/>
                <w:sz w:val="20"/>
                <w:szCs w:val="20"/>
              </w:rPr>
            </w:pPr>
            <w:r>
              <w:rPr>
                <w:i/>
                <w:sz w:val="20"/>
                <w:szCs w:val="20"/>
              </w:rPr>
              <w:t>A. americanum, D. variabilis, I. dammini</w:t>
            </w:r>
          </w:p>
          <w:p w14:paraId="31A06C65" w14:textId="77777777" w:rsidR="002D58E4" w:rsidRDefault="002D58E4">
            <w:pPr>
              <w:rPr>
                <w:sz w:val="20"/>
                <w:szCs w:val="20"/>
              </w:rPr>
            </w:pPr>
          </w:p>
        </w:tc>
        <w:tc>
          <w:tcPr>
            <w:tcW w:w="2520" w:type="dxa"/>
          </w:tcPr>
          <w:p w14:paraId="726B2160" w14:textId="77777777" w:rsidR="002D58E4" w:rsidRDefault="00F721D4">
            <w:pPr>
              <w:rPr>
                <w:sz w:val="20"/>
                <w:szCs w:val="20"/>
              </w:rPr>
            </w:pPr>
            <w:r>
              <w:rPr>
                <w:sz w:val="20"/>
                <w:szCs w:val="20"/>
              </w:rPr>
              <w:t>Six volunteer test subjects clothed in either untreated, DEET-treated, permethrin- impregnated</w:t>
            </w:r>
          </w:p>
          <w:p w14:paraId="12EC530B" w14:textId="77777777" w:rsidR="002D58E4" w:rsidRDefault="00F721D4">
            <w:pPr>
              <w:rPr>
                <w:sz w:val="20"/>
                <w:szCs w:val="20"/>
              </w:rPr>
            </w:pPr>
            <w:r>
              <w:rPr>
                <w:sz w:val="20"/>
                <w:szCs w:val="20"/>
              </w:rPr>
              <w:t xml:space="preserve">(PI), or permethrin-sprayed (PS) uniforms were exposed to field populations of ticks during a series of 30-min field </w:t>
            </w:r>
            <w:r>
              <w:rPr>
                <w:sz w:val="20"/>
                <w:szCs w:val="20"/>
              </w:rPr>
              <w:lastRenderedPageBreak/>
              <w:t>trials (with 15 min of exposure each time).</w:t>
            </w:r>
          </w:p>
        </w:tc>
        <w:tc>
          <w:tcPr>
            <w:tcW w:w="1800" w:type="dxa"/>
          </w:tcPr>
          <w:p w14:paraId="0F3A8785" w14:textId="77777777" w:rsidR="002D58E4" w:rsidRDefault="00F721D4">
            <w:pPr>
              <w:rPr>
                <w:sz w:val="20"/>
                <w:szCs w:val="20"/>
              </w:rPr>
            </w:pPr>
            <w:r>
              <w:rPr>
                <w:sz w:val="20"/>
                <w:szCs w:val="20"/>
              </w:rPr>
              <w:lastRenderedPageBreak/>
              <w:t>• Permethrin-impregnated (PI) uniforms</w:t>
            </w:r>
          </w:p>
          <w:p w14:paraId="536DA779" w14:textId="77777777" w:rsidR="002D58E4" w:rsidRDefault="00F721D4">
            <w:pPr>
              <w:rPr>
                <w:sz w:val="20"/>
                <w:szCs w:val="20"/>
              </w:rPr>
            </w:pPr>
            <w:r>
              <w:rPr>
                <w:sz w:val="20"/>
                <w:szCs w:val="20"/>
              </w:rPr>
              <w:t xml:space="preserve">• Permethrin-sprayed (PS) (Permanone Tick Repellent once/48 hours) </w:t>
            </w:r>
          </w:p>
          <w:p w14:paraId="30BEA29A" w14:textId="77777777" w:rsidR="002D58E4" w:rsidRDefault="00F721D4">
            <w:pPr>
              <w:rPr>
                <w:sz w:val="20"/>
                <w:szCs w:val="20"/>
              </w:rPr>
            </w:pPr>
            <w:r>
              <w:rPr>
                <w:sz w:val="20"/>
                <w:szCs w:val="20"/>
              </w:rPr>
              <w:t xml:space="preserve">• DEET-treated military battle dress </w:t>
            </w:r>
            <w:r>
              <w:rPr>
                <w:sz w:val="20"/>
                <w:szCs w:val="20"/>
              </w:rPr>
              <w:lastRenderedPageBreak/>
              <w:t>uniforms (33% lotion once a day,</w:t>
            </w:r>
            <w:r>
              <w:t xml:space="preserve"> </w:t>
            </w:r>
            <w:r>
              <w:rPr>
                <w:sz w:val="20"/>
                <w:szCs w:val="20"/>
              </w:rPr>
              <w:t>applied to clothing only)</w:t>
            </w:r>
          </w:p>
          <w:p w14:paraId="1C70B907" w14:textId="77777777" w:rsidR="002D58E4" w:rsidRDefault="00F721D4">
            <w:pPr>
              <w:rPr>
                <w:sz w:val="20"/>
                <w:szCs w:val="20"/>
              </w:rPr>
            </w:pPr>
            <w:r>
              <w:rPr>
                <w:sz w:val="20"/>
                <w:szCs w:val="20"/>
              </w:rPr>
              <w:t>• Untreated uniforms (control)</w:t>
            </w:r>
          </w:p>
        </w:tc>
        <w:tc>
          <w:tcPr>
            <w:tcW w:w="2058" w:type="dxa"/>
          </w:tcPr>
          <w:p w14:paraId="2B76F52C" w14:textId="77777777" w:rsidR="002D58E4" w:rsidRDefault="00F721D4">
            <w:pPr>
              <w:rPr>
                <w:sz w:val="20"/>
                <w:szCs w:val="20"/>
              </w:rPr>
            </w:pPr>
            <w:r>
              <w:rPr>
                <w:sz w:val="20"/>
                <w:szCs w:val="20"/>
              </w:rPr>
              <w:lastRenderedPageBreak/>
              <w:t>N of ticks collected from the uniforms;</w:t>
            </w:r>
          </w:p>
          <w:p w14:paraId="0DA8523C" w14:textId="77777777" w:rsidR="002D58E4" w:rsidRDefault="00F721D4">
            <w:pPr>
              <w:rPr>
                <w:sz w:val="20"/>
                <w:szCs w:val="20"/>
              </w:rPr>
            </w:pPr>
            <w:r>
              <w:rPr>
                <w:b/>
                <w:sz w:val="20"/>
                <w:szCs w:val="20"/>
              </w:rPr>
              <w:t>Protection efficiencies</w:t>
            </w:r>
            <w:r>
              <w:rPr>
                <w:sz w:val="20"/>
                <w:szCs w:val="20"/>
              </w:rPr>
              <w:t xml:space="preserve"> = ([mean number of ticks</w:t>
            </w:r>
          </w:p>
          <w:p w14:paraId="0D677296" w14:textId="77777777" w:rsidR="002D58E4" w:rsidRDefault="00F721D4">
            <w:pPr>
              <w:rPr>
                <w:sz w:val="20"/>
                <w:szCs w:val="20"/>
              </w:rPr>
            </w:pPr>
            <w:r>
              <w:rPr>
                <w:sz w:val="20"/>
                <w:szCs w:val="20"/>
              </w:rPr>
              <w:t>for untreated — mean number of ticks for repellent-treated]/</w:t>
            </w:r>
          </w:p>
          <w:p w14:paraId="54A38D1A" w14:textId="77777777" w:rsidR="002D58E4" w:rsidRDefault="00F721D4">
            <w:pPr>
              <w:rPr>
                <w:sz w:val="20"/>
                <w:szCs w:val="20"/>
              </w:rPr>
            </w:pPr>
            <w:r>
              <w:rPr>
                <w:sz w:val="20"/>
                <w:szCs w:val="20"/>
              </w:rPr>
              <w:t>[mean number of ticks for untreated]) x 100.</w:t>
            </w:r>
          </w:p>
        </w:tc>
        <w:tc>
          <w:tcPr>
            <w:tcW w:w="3687" w:type="dxa"/>
          </w:tcPr>
          <w:p w14:paraId="21690985" w14:textId="77777777" w:rsidR="002D58E4" w:rsidRDefault="00F721D4">
            <w:pPr>
              <w:rPr>
                <w:sz w:val="20"/>
                <w:szCs w:val="20"/>
              </w:rPr>
            </w:pPr>
            <w:r>
              <w:rPr>
                <w:b/>
                <w:sz w:val="20"/>
                <w:szCs w:val="20"/>
              </w:rPr>
              <w:t>Permethrin,</w:t>
            </w:r>
            <w:r>
              <w:rPr>
                <w:sz w:val="20"/>
                <w:szCs w:val="20"/>
              </w:rPr>
              <w:t xml:space="preserve"> applied as either a spray (0.5%), or as an impregnant (0.125%/cm2), </w:t>
            </w:r>
            <w:r>
              <w:rPr>
                <w:b/>
                <w:sz w:val="20"/>
                <w:szCs w:val="20"/>
              </w:rPr>
              <w:t>was more effective than DEET</w:t>
            </w:r>
            <w:r>
              <w:rPr>
                <w:sz w:val="20"/>
                <w:szCs w:val="20"/>
              </w:rPr>
              <w:t xml:space="preserve"> in protecting individuals from tick bite. </w:t>
            </w:r>
          </w:p>
          <w:p w14:paraId="559EFC72" w14:textId="77777777" w:rsidR="002D58E4" w:rsidRDefault="00F721D4">
            <w:pPr>
              <w:rPr>
                <w:sz w:val="20"/>
                <w:szCs w:val="20"/>
              </w:rPr>
            </w:pPr>
            <w:r>
              <w:rPr>
                <w:sz w:val="20"/>
                <w:szCs w:val="20"/>
              </w:rPr>
              <w:t xml:space="preserve">The mean numbers of ticks on </w:t>
            </w:r>
            <w:r>
              <w:rPr>
                <w:b/>
                <w:sz w:val="20"/>
                <w:szCs w:val="20"/>
              </w:rPr>
              <w:t>DEET-treated, PI, and PS uniforms were 60, 97, and 98% lower, respectively, than on untreated uniforms</w:t>
            </w:r>
            <w:r>
              <w:rPr>
                <w:sz w:val="20"/>
                <w:szCs w:val="20"/>
              </w:rPr>
              <w:t xml:space="preserve"> against all encountered life stages of ticks</w:t>
            </w:r>
          </w:p>
        </w:tc>
      </w:tr>
    </w:tbl>
    <w:p w14:paraId="05EE2BAB" w14:textId="77777777" w:rsidR="002D58E4" w:rsidRDefault="00F721D4">
      <w:pPr>
        <w:spacing w:line="240" w:lineRule="auto"/>
        <w:rPr>
          <w:sz w:val="20"/>
          <w:szCs w:val="20"/>
        </w:rPr>
      </w:pPr>
      <w:r>
        <w:rPr>
          <w:b/>
          <w:sz w:val="20"/>
          <w:szCs w:val="20"/>
        </w:rPr>
        <w:t>*</w:t>
      </w:r>
      <w:r>
        <w:rPr>
          <w:sz w:val="20"/>
          <w:szCs w:val="20"/>
        </w:rPr>
        <w:t xml:space="preserve"> Risk of Bias of Randomized Controlled Trial Data was assessed using the Cochrane Risk of Bias Tool and assigned an overall rating of “High risk” “Unclear Risk” or “Low Risk”. Risk of Bias of Observational Data was rated on a scale from 0 (worst) to 9 (best) using the Newcastle-Ottawa Quality Assessment Scale for Cohort Studies.</w:t>
      </w:r>
    </w:p>
    <w:p w14:paraId="1D0DE02B" w14:textId="77777777" w:rsidR="002D58E4" w:rsidRDefault="002D58E4"/>
    <w:p w14:paraId="385D8912" w14:textId="77777777" w:rsidR="002D58E4" w:rsidRDefault="00F721D4">
      <w:pPr>
        <w:spacing w:after="0"/>
        <w:ind w:left="360"/>
        <w:rPr>
          <w:b/>
          <w:sz w:val="28"/>
          <w:szCs w:val="28"/>
        </w:rPr>
      </w:pPr>
      <w:r>
        <w:rPr>
          <w:b/>
          <w:sz w:val="28"/>
          <w:szCs w:val="28"/>
        </w:rPr>
        <w:t>II. Other repellents</w:t>
      </w:r>
    </w:p>
    <w:p w14:paraId="77603AE6" w14:textId="77777777" w:rsidR="002D58E4" w:rsidRDefault="00F721D4" w:rsidP="00C34495">
      <w:pPr>
        <w:spacing w:line="240" w:lineRule="auto"/>
        <w:ind w:left="142" w:right="-153"/>
        <w:rPr>
          <w:b/>
          <w:sz w:val="32"/>
          <w:szCs w:val="32"/>
        </w:rPr>
      </w:pPr>
      <w:r>
        <w:rPr>
          <w:b/>
          <w:color w:val="000000"/>
          <w:sz w:val="18"/>
          <w:szCs w:val="18"/>
        </w:rPr>
        <w:t>Bibliography:</w:t>
      </w:r>
      <w:r>
        <w:rPr>
          <w:color w:val="000000"/>
          <w:sz w:val="18"/>
          <w:szCs w:val="18"/>
        </w:rPr>
        <w:t xml:space="preserve"> 1. Solberg, et al. </w:t>
      </w:r>
      <w:r>
        <w:rPr>
          <w:i/>
          <w:color w:val="000000"/>
          <w:sz w:val="18"/>
          <w:szCs w:val="18"/>
        </w:rPr>
        <w:t>J Med Entomol.</w:t>
      </w:r>
      <w:r>
        <w:rPr>
          <w:color w:val="000000"/>
          <w:sz w:val="18"/>
          <w:szCs w:val="18"/>
        </w:rPr>
        <w:t xml:space="preserve"> 1995 Nov;32(6):870-5; 2. Staub, et al. </w:t>
      </w:r>
      <w:r>
        <w:rPr>
          <w:i/>
          <w:color w:val="000000"/>
          <w:sz w:val="18"/>
          <w:szCs w:val="18"/>
        </w:rPr>
        <w:t>Wilderness Environ Med.</w:t>
      </w:r>
      <w:r>
        <w:rPr>
          <w:color w:val="000000"/>
          <w:sz w:val="18"/>
          <w:szCs w:val="18"/>
        </w:rPr>
        <w:t xml:space="preserve"> 2002 Spring;13(1):12-20; 3. Gardulf, et al. </w:t>
      </w:r>
      <w:r>
        <w:rPr>
          <w:i/>
          <w:color w:val="000000"/>
          <w:sz w:val="18"/>
          <w:szCs w:val="18"/>
        </w:rPr>
        <w:t>J Med Entomol</w:t>
      </w:r>
      <w:r>
        <w:rPr>
          <w:color w:val="000000"/>
          <w:sz w:val="18"/>
          <w:szCs w:val="18"/>
        </w:rPr>
        <w:t xml:space="preserve">. 2004 Nov;41(6):1064-7; 4. Carroll, SP. </w:t>
      </w:r>
      <w:r>
        <w:rPr>
          <w:i/>
          <w:color w:val="000000"/>
          <w:sz w:val="18"/>
          <w:szCs w:val="18"/>
        </w:rPr>
        <w:t>J Med Entomol</w:t>
      </w:r>
      <w:r>
        <w:rPr>
          <w:color w:val="000000"/>
          <w:sz w:val="18"/>
          <w:szCs w:val="18"/>
        </w:rPr>
        <w:t xml:space="preserve">. 2008 Jul;45(4):706-14; 5. Witting-Bissinger, et al., J Med Entomol. 2008 Sep; 45(5):891-8; 6. Carroll, et al. </w:t>
      </w:r>
      <w:r>
        <w:rPr>
          <w:i/>
          <w:color w:val="000000"/>
          <w:sz w:val="18"/>
          <w:szCs w:val="18"/>
        </w:rPr>
        <w:t>J Med Entomol</w:t>
      </w:r>
      <w:r>
        <w:rPr>
          <w:color w:val="000000"/>
          <w:sz w:val="18"/>
          <w:szCs w:val="18"/>
        </w:rPr>
        <w:t xml:space="preserve">. 2010 Jul;47(4):699-704; 7. Bissinger, et al., Med Vet Entomol. 2011 Jun; 25(2):217-26; 8. </w:t>
      </w:r>
      <w:r>
        <w:t>J</w:t>
      </w:r>
      <w:r>
        <w:rPr>
          <w:color w:val="000000"/>
          <w:sz w:val="18"/>
          <w:szCs w:val="18"/>
        </w:rPr>
        <w:t xml:space="preserve">ordan, et al. </w:t>
      </w:r>
      <w:r>
        <w:rPr>
          <w:i/>
          <w:color w:val="000000"/>
          <w:sz w:val="18"/>
          <w:szCs w:val="18"/>
        </w:rPr>
        <w:t>J Med Entomol</w:t>
      </w:r>
      <w:r>
        <w:rPr>
          <w:color w:val="000000"/>
          <w:sz w:val="18"/>
          <w:szCs w:val="18"/>
        </w:rPr>
        <w:t xml:space="preserve">. 2012 Jan;49(1):101-6; 9. Bissinger, et al. </w:t>
      </w:r>
      <w:r>
        <w:rPr>
          <w:i/>
          <w:color w:val="000000"/>
          <w:sz w:val="18"/>
          <w:szCs w:val="18"/>
        </w:rPr>
        <w:t>Exp Appl Acarol</w:t>
      </w:r>
      <w:r>
        <w:rPr>
          <w:color w:val="000000"/>
          <w:sz w:val="18"/>
          <w:szCs w:val="18"/>
        </w:rPr>
        <w:t xml:space="preserve">. 2014 Jan;62(1):105-13; 10. Buchel, et al. </w:t>
      </w:r>
      <w:r>
        <w:rPr>
          <w:i/>
          <w:color w:val="000000"/>
          <w:sz w:val="18"/>
          <w:szCs w:val="18"/>
        </w:rPr>
        <w:t>Ticks Tick Borne Dis</w:t>
      </w:r>
      <w:r>
        <w:rPr>
          <w:color w:val="000000"/>
          <w:sz w:val="18"/>
          <w:szCs w:val="18"/>
        </w:rPr>
        <w:t>. 2015 Jun;6(4):494-8.</w:t>
      </w:r>
    </w:p>
    <w:tbl>
      <w:tblPr>
        <w:tblStyle w:val="a1"/>
        <w:tblW w:w="14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080"/>
        <w:gridCol w:w="810"/>
        <w:gridCol w:w="1170"/>
        <w:gridCol w:w="2268"/>
        <w:gridCol w:w="1890"/>
        <w:gridCol w:w="2250"/>
        <w:gridCol w:w="3870"/>
      </w:tblGrid>
      <w:tr w:rsidR="002D58E4" w14:paraId="1776A78D" w14:textId="77777777" w:rsidTr="00E70FE5">
        <w:tc>
          <w:tcPr>
            <w:tcW w:w="1080" w:type="dxa"/>
            <w:shd w:val="clear" w:color="auto" w:fill="D9D9D9"/>
          </w:tcPr>
          <w:p w14:paraId="41C06EB5" w14:textId="77777777" w:rsidR="002D58E4" w:rsidRDefault="00F721D4">
            <w:pPr>
              <w:jc w:val="center"/>
              <w:rPr>
                <w:b/>
                <w:color w:val="000000"/>
                <w:sz w:val="20"/>
                <w:szCs w:val="20"/>
              </w:rPr>
            </w:pPr>
            <w:r>
              <w:rPr>
                <w:b/>
                <w:color w:val="000000"/>
                <w:sz w:val="20"/>
                <w:szCs w:val="20"/>
              </w:rPr>
              <w:t>Study;</w:t>
            </w:r>
          </w:p>
          <w:p w14:paraId="0E63F7FD" w14:textId="77777777" w:rsidR="002D58E4" w:rsidRDefault="00F721D4">
            <w:pPr>
              <w:jc w:val="center"/>
              <w:rPr>
                <w:b/>
                <w:sz w:val="20"/>
                <w:szCs w:val="20"/>
              </w:rPr>
            </w:pPr>
            <w:r>
              <w:rPr>
                <w:b/>
                <w:color w:val="000000"/>
                <w:sz w:val="20"/>
                <w:szCs w:val="20"/>
              </w:rPr>
              <w:t>Location</w:t>
            </w:r>
          </w:p>
        </w:tc>
        <w:tc>
          <w:tcPr>
            <w:tcW w:w="1080" w:type="dxa"/>
            <w:shd w:val="clear" w:color="auto" w:fill="D9D9D9"/>
          </w:tcPr>
          <w:p w14:paraId="2C2D5D68" w14:textId="77777777" w:rsidR="002D58E4" w:rsidRDefault="00F721D4">
            <w:pPr>
              <w:jc w:val="center"/>
              <w:rPr>
                <w:b/>
                <w:color w:val="000000"/>
                <w:sz w:val="20"/>
                <w:szCs w:val="20"/>
              </w:rPr>
            </w:pPr>
            <w:r>
              <w:rPr>
                <w:b/>
                <w:color w:val="000000"/>
                <w:sz w:val="20"/>
                <w:szCs w:val="20"/>
              </w:rPr>
              <w:t>Study Design</w:t>
            </w:r>
          </w:p>
        </w:tc>
        <w:tc>
          <w:tcPr>
            <w:tcW w:w="810" w:type="dxa"/>
            <w:shd w:val="clear" w:color="auto" w:fill="D9D9D9"/>
          </w:tcPr>
          <w:p w14:paraId="636536F8" w14:textId="77777777" w:rsidR="002D58E4" w:rsidRDefault="00F721D4">
            <w:pPr>
              <w:jc w:val="center"/>
              <w:rPr>
                <w:b/>
                <w:color w:val="000000"/>
                <w:sz w:val="20"/>
                <w:szCs w:val="20"/>
              </w:rPr>
            </w:pPr>
            <w:r>
              <w:rPr>
                <w:b/>
                <w:color w:val="000000"/>
                <w:sz w:val="20"/>
                <w:szCs w:val="20"/>
              </w:rPr>
              <w:t>Risk of bias*</w:t>
            </w:r>
          </w:p>
        </w:tc>
        <w:tc>
          <w:tcPr>
            <w:tcW w:w="1170" w:type="dxa"/>
            <w:shd w:val="clear" w:color="auto" w:fill="D9D9D9"/>
          </w:tcPr>
          <w:p w14:paraId="3CFAC047" w14:textId="77777777" w:rsidR="002D58E4" w:rsidRDefault="00F721D4">
            <w:pPr>
              <w:jc w:val="center"/>
              <w:rPr>
                <w:b/>
                <w:color w:val="000000"/>
                <w:sz w:val="20"/>
                <w:szCs w:val="20"/>
              </w:rPr>
            </w:pPr>
            <w:r>
              <w:rPr>
                <w:b/>
                <w:color w:val="000000"/>
                <w:sz w:val="20"/>
                <w:szCs w:val="20"/>
              </w:rPr>
              <w:t>Tick Type</w:t>
            </w:r>
          </w:p>
          <w:p w14:paraId="7AAF4B1E" w14:textId="77777777" w:rsidR="002D58E4" w:rsidRDefault="002D58E4">
            <w:pPr>
              <w:jc w:val="center"/>
              <w:rPr>
                <w:b/>
                <w:color w:val="000000"/>
                <w:sz w:val="20"/>
                <w:szCs w:val="20"/>
              </w:rPr>
            </w:pPr>
          </w:p>
        </w:tc>
        <w:tc>
          <w:tcPr>
            <w:tcW w:w="2268" w:type="dxa"/>
            <w:shd w:val="clear" w:color="auto" w:fill="D9D9D9"/>
          </w:tcPr>
          <w:p w14:paraId="31E1AA3F" w14:textId="77777777" w:rsidR="002D58E4" w:rsidRDefault="00F721D4">
            <w:pPr>
              <w:jc w:val="center"/>
              <w:rPr>
                <w:b/>
                <w:color w:val="000000"/>
                <w:sz w:val="20"/>
                <w:szCs w:val="20"/>
              </w:rPr>
            </w:pPr>
            <w:r>
              <w:rPr>
                <w:b/>
                <w:color w:val="000000"/>
                <w:sz w:val="20"/>
                <w:szCs w:val="20"/>
              </w:rPr>
              <w:t>Population Characteristics</w:t>
            </w:r>
          </w:p>
        </w:tc>
        <w:tc>
          <w:tcPr>
            <w:tcW w:w="1890" w:type="dxa"/>
            <w:shd w:val="clear" w:color="auto" w:fill="D9D9D9"/>
          </w:tcPr>
          <w:p w14:paraId="394CFF8A" w14:textId="77777777" w:rsidR="002D58E4" w:rsidRDefault="00F721D4">
            <w:pPr>
              <w:jc w:val="center"/>
              <w:rPr>
                <w:b/>
                <w:sz w:val="20"/>
                <w:szCs w:val="20"/>
              </w:rPr>
            </w:pPr>
            <w:r>
              <w:rPr>
                <w:b/>
                <w:color w:val="000000"/>
                <w:sz w:val="20"/>
                <w:szCs w:val="20"/>
              </w:rPr>
              <w:t>Interventions and Comparisons</w:t>
            </w:r>
          </w:p>
        </w:tc>
        <w:tc>
          <w:tcPr>
            <w:tcW w:w="2250" w:type="dxa"/>
            <w:shd w:val="clear" w:color="auto" w:fill="D9D9D9"/>
          </w:tcPr>
          <w:p w14:paraId="59F42401" w14:textId="77777777" w:rsidR="002D58E4" w:rsidRDefault="00F721D4">
            <w:pPr>
              <w:jc w:val="center"/>
              <w:rPr>
                <w:b/>
                <w:sz w:val="20"/>
                <w:szCs w:val="20"/>
              </w:rPr>
            </w:pPr>
            <w:r>
              <w:rPr>
                <w:b/>
                <w:sz w:val="20"/>
                <w:szCs w:val="20"/>
              </w:rPr>
              <w:t>Outcomes</w:t>
            </w:r>
          </w:p>
        </w:tc>
        <w:tc>
          <w:tcPr>
            <w:tcW w:w="3870" w:type="dxa"/>
            <w:shd w:val="clear" w:color="auto" w:fill="D9D9D9"/>
          </w:tcPr>
          <w:p w14:paraId="06161029" w14:textId="77777777" w:rsidR="002D58E4" w:rsidRDefault="00F721D4">
            <w:pPr>
              <w:jc w:val="center"/>
              <w:rPr>
                <w:b/>
                <w:sz w:val="20"/>
                <w:szCs w:val="20"/>
              </w:rPr>
            </w:pPr>
            <w:r>
              <w:rPr>
                <w:b/>
                <w:sz w:val="20"/>
                <w:szCs w:val="20"/>
              </w:rPr>
              <w:t>Results and Conclusions</w:t>
            </w:r>
          </w:p>
        </w:tc>
      </w:tr>
      <w:tr w:rsidR="002D58E4" w14:paraId="5F8DA9F4" w14:textId="77777777" w:rsidTr="00E70FE5">
        <w:tc>
          <w:tcPr>
            <w:tcW w:w="1080" w:type="dxa"/>
          </w:tcPr>
          <w:p w14:paraId="3E06779B" w14:textId="77777777" w:rsidR="002D58E4" w:rsidRDefault="00F721D4">
            <w:pPr>
              <w:rPr>
                <w:sz w:val="20"/>
                <w:szCs w:val="20"/>
              </w:rPr>
            </w:pPr>
            <w:r>
              <w:rPr>
                <w:sz w:val="20"/>
                <w:szCs w:val="20"/>
              </w:rPr>
              <w:t>Solberg, 1995</w:t>
            </w:r>
          </w:p>
          <w:p w14:paraId="192755AB" w14:textId="77777777" w:rsidR="002D58E4" w:rsidRDefault="002D58E4">
            <w:pPr>
              <w:rPr>
                <w:sz w:val="20"/>
                <w:szCs w:val="20"/>
              </w:rPr>
            </w:pPr>
          </w:p>
          <w:p w14:paraId="150E4B3A" w14:textId="77777777" w:rsidR="002D58E4" w:rsidRDefault="00F721D4">
            <w:pPr>
              <w:rPr>
                <w:sz w:val="20"/>
                <w:szCs w:val="20"/>
              </w:rPr>
            </w:pPr>
            <w:r>
              <w:rPr>
                <w:sz w:val="20"/>
                <w:szCs w:val="20"/>
              </w:rPr>
              <w:t>NJ, USA</w:t>
            </w:r>
          </w:p>
        </w:tc>
        <w:tc>
          <w:tcPr>
            <w:tcW w:w="1080" w:type="dxa"/>
          </w:tcPr>
          <w:p w14:paraId="6068BC32" w14:textId="77777777" w:rsidR="002D58E4" w:rsidRDefault="00F721D4">
            <w:pPr>
              <w:rPr>
                <w:sz w:val="20"/>
                <w:szCs w:val="20"/>
              </w:rPr>
            </w:pPr>
            <w:r>
              <w:rPr>
                <w:sz w:val="20"/>
                <w:szCs w:val="20"/>
              </w:rPr>
              <w:t>Randomized field tests in humans with cross-over</w:t>
            </w:r>
          </w:p>
        </w:tc>
        <w:tc>
          <w:tcPr>
            <w:tcW w:w="810" w:type="dxa"/>
          </w:tcPr>
          <w:p w14:paraId="2D08B8FC" w14:textId="77777777" w:rsidR="002D58E4" w:rsidRDefault="00F721D4">
            <w:pPr>
              <w:rPr>
                <w:sz w:val="20"/>
                <w:szCs w:val="20"/>
              </w:rPr>
            </w:pPr>
            <w:r>
              <w:rPr>
                <w:sz w:val="20"/>
                <w:szCs w:val="20"/>
              </w:rPr>
              <w:t>Unclear risk of bias</w:t>
            </w:r>
          </w:p>
        </w:tc>
        <w:tc>
          <w:tcPr>
            <w:tcW w:w="1170" w:type="dxa"/>
          </w:tcPr>
          <w:p w14:paraId="42AD67D3" w14:textId="77777777" w:rsidR="002D58E4" w:rsidRDefault="00F721D4">
            <w:pPr>
              <w:rPr>
                <w:i/>
                <w:sz w:val="20"/>
                <w:szCs w:val="20"/>
              </w:rPr>
            </w:pPr>
            <w:r>
              <w:rPr>
                <w:i/>
                <w:sz w:val="20"/>
                <w:szCs w:val="20"/>
              </w:rPr>
              <w:t>A. americanum</w:t>
            </w:r>
          </w:p>
          <w:p w14:paraId="1174E00C" w14:textId="77777777" w:rsidR="002D58E4" w:rsidRDefault="002D58E4">
            <w:pPr>
              <w:rPr>
                <w:sz w:val="20"/>
                <w:szCs w:val="20"/>
              </w:rPr>
            </w:pPr>
          </w:p>
        </w:tc>
        <w:tc>
          <w:tcPr>
            <w:tcW w:w="2268" w:type="dxa"/>
          </w:tcPr>
          <w:p w14:paraId="4BC3F065" w14:textId="77777777" w:rsidR="002D58E4" w:rsidRDefault="00F721D4">
            <w:pPr>
              <w:rPr>
                <w:sz w:val="20"/>
                <w:szCs w:val="20"/>
              </w:rPr>
            </w:pPr>
            <w:r>
              <w:rPr>
                <w:sz w:val="20"/>
                <w:szCs w:val="20"/>
              </w:rPr>
              <w:t xml:space="preserve">11 volunteers were randomized to treatments; the repellents were applied to 1 leg (repellent leg selected at random), and absolute ethanol was applied to the other leg (control). </w:t>
            </w:r>
          </w:p>
          <w:p w14:paraId="36EA29D5" w14:textId="77777777" w:rsidR="002D58E4" w:rsidRDefault="00F721D4">
            <w:pPr>
              <w:rPr>
                <w:sz w:val="20"/>
                <w:szCs w:val="20"/>
              </w:rPr>
            </w:pPr>
            <w:r>
              <w:rPr>
                <w:sz w:val="20"/>
                <w:szCs w:val="20"/>
              </w:rPr>
              <w:t xml:space="preserve">At 0, 2, 4, 5, and 6 h post-application, volunteers walked slowly through the test site for 30 min. </w:t>
            </w:r>
          </w:p>
        </w:tc>
        <w:tc>
          <w:tcPr>
            <w:tcW w:w="1890" w:type="dxa"/>
          </w:tcPr>
          <w:p w14:paraId="5053B3BC" w14:textId="77777777" w:rsidR="002D58E4" w:rsidRDefault="00F721D4">
            <w:pPr>
              <w:rPr>
                <w:sz w:val="20"/>
                <w:szCs w:val="20"/>
              </w:rPr>
            </w:pPr>
            <w:r>
              <w:rPr>
                <w:sz w:val="20"/>
                <w:szCs w:val="20"/>
              </w:rPr>
              <w:t xml:space="preserve">• </w:t>
            </w:r>
            <w:r>
              <w:rPr>
                <w:b/>
                <w:sz w:val="20"/>
                <w:szCs w:val="20"/>
              </w:rPr>
              <w:t>DEET 25%</w:t>
            </w:r>
          </w:p>
          <w:p w14:paraId="36230798" w14:textId="77777777" w:rsidR="002D58E4" w:rsidRDefault="00F721D4">
            <w:pPr>
              <w:rPr>
                <w:sz w:val="20"/>
                <w:szCs w:val="20"/>
              </w:rPr>
            </w:pPr>
            <w:r>
              <w:rPr>
                <w:sz w:val="20"/>
                <w:szCs w:val="20"/>
              </w:rPr>
              <w:t xml:space="preserve">• </w:t>
            </w:r>
            <w:r>
              <w:rPr>
                <w:b/>
                <w:sz w:val="20"/>
                <w:szCs w:val="20"/>
              </w:rPr>
              <w:t>AI3-37220 25% (Piperidine</w:t>
            </w:r>
            <w:r>
              <w:rPr>
                <w:sz w:val="20"/>
                <w:szCs w:val="20"/>
              </w:rPr>
              <w:t>)</w:t>
            </w:r>
          </w:p>
          <w:p w14:paraId="78E712F4" w14:textId="77777777" w:rsidR="002D58E4" w:rsidRDefault="00F721D4">
            <w:pPr>
              <w:rPr>
                <w:sz w:val="20"/>
                <w:szCs w:val="20"/>
              </w:rPr>
            </w:pPr>
            <w:r>
              <w:rPr>
                <w:sz w:val="20"/>
                <w:szCs w:val="20"/>
              </w:rPr>
              <w:t xml:space="preserve">• </w:t>
            </w:r>
            <w:r>
              <w:rPr>
                <w:b/>
                <w:sz w:val="20"/>
                <w:szCs w:val="20"/>
              </w:rPr>
              <w:t xml:space="preserve">Control: absolute ethanol </w:t>
            </w:r>
            <w:r>
              <w:rPr>
                <w:sz w:val="20"/>
                <w:szCs w:val="20"/>
              </w:rPr>
              <w:t>applied to the other leg.</w:t>
            </w:r>
          </w:p>
          <w:p w14:paraId="53CF1872" w14:textId="77777777" w:rsidR="002D58E4" w:rsidRDefault="002D58E4">
            <w:pPr>
              <w:rPr>
                <w:sz w:val="20"/>
                <w:szCs w:val="20"/>
              </w:rPr>
            </w:pPr>
          </w:p>
          <w:p w14:paraId="4AE9A65B" w14:textId="77777777" w:rsidR="002D58E4" w:rsidRDefault="00F721D4">
            <w:pPr>
              <w:rPr>
                <w:sz w:val="20"/>
                <w:szCs w:val="20"/>
              </w:rPr>
            </w:pPr>
            <w:r>
              <w:rPr>
                <w:sz w:val="20"/>
                <w:szCs w:val="20"/>
              </w:rPr>
              <w:t>A crossover experiment was employed, with each experimental unit (volunteer) receiving both treatments.</w:t>
            </w:r>
          </w:p>
        </w:tc>
        <w:tc>
          <w:tcPr>
            <w:tcW w:w="2250" w:type="dxa"/>
          </w:tcPr>
          <w:p w14:paraId="009FBBD7" w14:textId="77777777" w:rsidR="002D58E4" w:rsidRPr="00F721D4" w:rsidRDefault="00F721D4">
            <w:pPr>
              <w:rPr>
                <w:sz w:val="20"/>
                <w:szCs w:val="20"/>
                <w:lang w:val="fr-CA"/>
              </w:rPr>
            </w:pPr>
            <w:r w:rsidRPr="00F721D4">
              <w:rPr>
                <w:b/>
                <w:sz w:val="20"/>
                <w:szCs w:val="20"/>
                <w:lang w:val="fr-CA"/>
              </w:rPr>
              <w:t xml:space="preserve">Repellency (%) </w:t>
            </w:r>
            <w:r w:rsidRPr="00F721D4">
              <w:rPr>
                <w:sz w:val="20"/>
                <w:szCs w:val="20"/>
                <w:lang w:val="fr-CA"/>
              </w:rPr>
              <w:t xml:space="preserve">= </w:t>
            </w:r>
            <w:r w:rsidRPr="00F721D4">
              <w:rPr>
                <w:b/>
                <w:sz w:val="20"/>
                <w:szCs w:val="20"/>
                <w:lang w:val="fr-CA"/>
              </w:rPr>
              <w:t>[(c-t)/(c+t)]*100,</w:t>
            </w:r>
            <w:r w:rsidRPr="00F721D4">
              <w:rPr>
                <w:sz w:val="20"/>
                <w:szCs w:val="20"/>
                <w:lang w:val="fr-CA"/>
              </w:rPr>
              <w:t xml:space="preserve"> </w:t>
            </w:r>
          </w:p>
          <w:p w14:paraId="0AF5E539" w14:textId="77777777" w:rsidR="002D58E4" w:rsidRDefault="00F721D4">
            <w:pPr>
              <w:rPr>
                <w:b/>
                <w:sz w:val="20"/>
                <w:szCs w:val="20"/>
              </w:rPr>
            </w:pPr>
            <w:r>
              <w:rPr>
                <w:sz w:val="20"/>
                <w:szCs w:val="20"/>
              </w:rPr>
              <w:t xml:space="preserve">where </w:t>
            </w:r>
            <w:r>
              <w:rPr>
                <w:i/>
                <w:sz w:val="20"/>
                <w:szCs w:val="20"/>
              </w:rPr>
              <w:t xml:space="preserve">c </w:t>
            </w:r>
            <w:r>
              <w:rPr>
                <w:sz w:val="20"/>
                <w:szCs w:val="20"/>
              </w:rPr>
              <w:t xml:space="preserve">= mean N of ticks that remained on the control legs or traversed the treated area to the shorts, and </w:t>
            </w:r>
            <w:r>
              <w:rPr>
                <w:i/>
                <w:sz w:val="20"/>
                <w:szCs w:val="20"/>
              </w:rPr>
              <w:t xml:space="preserve">t </w:t>
            </w:r>
            <w:r>
              <w:rPr>
                <w:sz w:val="20"/>
                <w:szCs w:val="20"/>
              </w:rPr>
              <w:t>is the mean N of ticks that remained on the repellent-treated legs or that traversed the treated area successfully to the shorts during the 5-min test period.</w:t>
            </w:r>
          </w:p>
        </w:tc>
        <w:tc>
          <w:tcPr>
            <w:tcW w:w="3870" w:type="dxa"/>
          </w:tcPr>
          <w:p w14:paraId="16678571" w14:textId="77777777" w:rsidR="002D58E4" w:rsidRDefault="00F721D4">
            <w:pPr>
              <w:rPr>
                <w:sz w:val="20"/>
                <w:szCs w:val="20"/>
              </w:rPr>
            </w:pPr>
            <w:r>
              <w:rPr>
                <w:b/>
                <w:sz w:val="20"/>
                <w:szCs w:val="20"/>
              </w:rPr>
              <w:t>AI3-37220</w:t>
            </w:r>
            <w:r>
              <w:rPr>
                <w:sz w:val="20"/>
                <w:szCs w:val="20"/>
              </w:rPr>
              <w:t xml:space="preserve">, at 0.5 mg/cm2, </w:t>
            </w:r>
            <w:r>
              <w:rPr>
                <w:b/>
                <w:sz w:val="20"/>
                <w:szCs w:val="20"/>
              </w:rPr>
              <w:t>provided &gt;90% repellency</w:t>
            </w:r>
            <w:r>
              <w:rPr>
                <w:sz w:val="20"/>
                <w:szCs w:val="20"/>
              </w:rPr>
              <w:t xml:space="preserve"> against adult and nymphal ticks </w:t>
            </w:r>
            <w:r>
              <w:rPr>
                <w:b/>
                <w:sz w:val="20"/>
                <w:szCs w:val="20"/>
              </w:rPr>
              <w:t>over a 6-h test</w:t>
            </w:r>
            <w:r>
              <w:rPr>
                <w:sz w:val="20"/>
                <w:szCs w:val="20"/>
              </w:rPr>
              <w:t xml:space="preserve"> period and showed </w:t>
            </w:r>
            <w:r>
              <w:rPr>
                <w:b/>
                <w:sz w:val="20"/>
                <w:szCs w:val="20"/>
              </w:rPr>
              <w:t>significantly better repellent efficacy than DEET</w:t>
            </w:r>
            <w:r>
              <w:rPr>
                <w:sz w:val="20"/>
                <w:szCs w:val="20"/>
              </w:rPr>
              <w:t xml:space="preserve">. </w:t>
            </w:r>
          </w:p>
          <w:p w14:paraId="1C76F4D7" w14:textId="77777777" w:rsidR="002D58E4" w:rsidRDefault="002D58E4">
            <w:pPr>
              <w:rPr>
                <w:sz w:val="20"/>
                <w:szCs w:val="20"/>
              </w:rPr>
            </w:pPr>
          </w:p>
          <w:p w14:paraId="1A9BA174" w14:textId="77777777" w:rsidR="002D58E4" w:rsidRDefault="00F721D4">
            <w:pPr>
              <w:rPr>
                <w:sz w:val="20"/>
                <w:szCs w:val="20"/>
              </w:rPr>
            </w:pPr>
            <w:r>
              <w:rPr>
                <w:b/>
                <w:sz w:val="20"/>
                <w:szCs w:val="20"/>
              </w:rPr>
              <w:t>DEET</w:t>
            </w:r>
            <w:r>
              <w:rPr>
                <w:sz w:val="20"/>
                <w:szCs w:val="20"/>
              </w:rPr>
              <w:t xml:space="preserve">, at the same concentration, provided </w:t>
            </w:r>
            <w:r>
              <w:rPr>
                <w:b/>
                <w:sz w:val="20"/>
                <w:szCs w:val="20"/>
              </w:rPr>
              <w:t>85% repellency at 0 h</w:t>
            </w:r>
            <w:r>
              <w:rPr>
                <w:sz w:val="20"/>
                <w:szCs w:val="20"/>
              </w:rPr>
              <w:t xml:space="preserve"> and </w:t>
            </w:r>
            <w:r>
              <w:rPr>
                <w:b/>
                <w:sz w:val="20"/>
                <w:szCs w:val="20"/>
              </w:rPr>
              <w:t>deteriorated to 55% repellency at 6 h.</w:t>
            </w:r>
          </w:p>
        </w:tc>
      </w:tr>
      <w:tr w:rsidR="002D58E4" w14:paraId="24F4AB5D" w14:textId="77777777" w:rsidTr="00E70FE5">
        <w:tc>
          <w:tcPr>
            <w:tcW w:w="1080" w:type="dxa"/>
          </w:tcPr>
          <w:p w14:paraId="58BDF0C9" w14:textId="77777777" w:rsidR="002D58E4" w:rsidRDefault="00F721D4">
            <w:pPr>
              <w:rPr>
                <w:sz w:val="20"/>
                <w:szCs w:val="20"/>
              </w:rPr>
            </w:pPr>
            <w:r>
              <w:rPr>
                <w:sz w:val="20"/>
                <w:szCs w:val="20"/>
              </w:rPr>
              <w:t>Staub, 2002</w:t>
            </w:r>
          </w:p>
          <w:p w14:paraId="09CB29D6" w14:textId="77777777" w:rsidR="002D58E4" w:rsidRDefault="002D58E4">
            <w:pPr>
              <w:rPr>
                <w:sz w:val="20"/>
                <w:szCs w:val="20"/>
              </w:rPr>
            </w:pPr>
          </w:p>
          <w:p w14:paraId="5210AFE9" w14:textId="77777777" w:rsidR="002D58E4" w:rsidRDefault="00F721D4">
            <w:pPr>
              <w:rPr>
                <w:sz w:val="20"/>
                <w:szCs w:val="20"/>
              </w:rPr>
            </w:pPr>
            <w:r>
              <w:rPr>
                <w:sz w:val="20"/>
                <w:szCs w:val="20"/>
              </w:rPr>
              <w:t>Switzerland</w:t>
            </w:r>
          </w:p>
        </w:tc>
        <w:tc>
          <w:tcPr>
            <w:tcW w:w="1080" w:type="dxa"/>
          </w:tcPr>
          <w:p w14:paraId="65396E2F" w14:textId="77777777" w:rsidR="002D58E4" w:rsidRDefault="00F721D4">
            <w:pPr>
              <w:rPr>
                <w:sz w:val="20"/>
                <w:szCs w:val="20"/>
              </w:rPr>
            </w:pPr>
            <w:r>
              <w:rPr>
                <w:sz w:val="20"/>
                <w:szCs w:val="20"/>
              </w:rPr>
              <w:t>Double-blind RCT</w:t>
            </w:r>
          </w:p>
        </w:tc>
        <w:tc>
          <w:tcPr>
            <w:tcW w:w="810" w:type="dxa"/>
          </w:tcPr>
          <w:p w14:paraId="6744FA88" w14:textId="77777777" w:rsidR="002D58E4" w:rsidRDefault="00F721D4">
            <w:pPr>
              <w:rPr>
                <w:sz w:val="20"/>
                <w:szCs w:val="20"/>
              </w:rPr>
            </w:pPr>
            <w:r>
              <w:rPr>
                <w:sz w:val="20"/>
                <w:szCs w:val="20"/>
              </w:rPr>
              <w:t>Unclear risk of bias</w:t>
            </w:r>
          </w:p>
        </w:tc>
        <w:tc>
          <w:tcPr>
            <w:tcW w:w="1170" w:type="dxa"/>
          </w:tcPr>
          <w:p w14:paraId="5C4C1E1A" w14:textId="77777777" w:rsidR="002D58E4" w:rsidRDefault="00F721D4">
            <w:pPr>
              <w:rPr>
                <w:sz w:val="20"/>
                <w:szCs w:val="20"/>
              </w:rPr>
            </w:pPr>
            <w:r>
              <w:rPr>
                <w:sz w:val="20"/>
                <w:szCs w:val="20"/>
              </w:rPr>
              <w:t>Type of collected ticks not reported (I. ricinus?)</w:t>
            </w:r>
          </w:p>
          <w:p w14:paraId="6F2BBE75" w14:textId="77777777" w:rsidR="002D58E4" w:rsidRDefault="002D58E4">
            <w:pPr>
              <w:rPr>
                <w:sz w:val="20"/>
                <w:szCs w:val="20"/>
              </w:rPr>
            </w:pPr>
          </w:p>
        </w:tc>
        <w:tc>
          <w:tcPr>
            <w:tcW w:w="2268" w:type="dxa"/>
          </w:tcPr>
          <w:p w14:paraId="7C3687BC" w14:textId="77777777" w:rsidR="002D58E4" w:rsidRDefault="00F721D4">
            <w:pPr>
              <w:rPr>
                <w:sz w:val="20"/>
                <w:szCs w:val="20"/>
              </w:rPr>
            </w:pPr>
            <w:r>
              <w:rPr>
                <w:sz w:val="20"/>
                <w:szCs w:val="20"/>
              </w:rPr>
              <w:t xml:space="preserve">Forestry workers (N=276) and orienteers were randomized to treatment vs. placebo-sprays applied to clothes twice a day (8-hr shift). </w:t>
            </w:r>
          </w:p>
          <w:p w14:paraId="5302339A" w14:textId="77777777" w:rsidR="002D58E4" w:rsidRDefault="00F721D4">
            <w:pPr>
              <w:rPr>
                <w:sz w:val="20"/>
                <w:szCs w:val="20"/>
              </w:rPr>
            </w:pPr>
            <w:r>
              <w:rPr>
                <w:sz w:val="20"/>
                <w:szCs w:val="20"/>
              </w:rPr>
              <w:lastRenderedPageBreak/>
              <w:t>Afterwards, they collected ticks off clothes and filled out 10-day tick logs.</w:t>
            </w:r>
          </w:p>
        </w:tc>
        <w:tc>
          <w:tcPr>
            <w:tcW w:w="1890" w:type="dxa"/>
          </w:tcPr>
          <w:p w14:paraId="168281F9" w14:textId="77777777" w:rsidR="002D58E4" w:rsidRDefault="00F721D4">
            <w:pPr>
              <w:rPr>
                <w:sz w:val="20"/>
                <w:szCs w:val="20"/>
              </w:rPr>
            </w:pPr>
            <w:r>
              <w:rPr>
                <w:sz w:val="20"/>
                <w:szCs w:val="20"/>
              </w:rPr>
              <w:lastRenderedPageBreak/>
              <w:t>• “Parapic –Tick – Repellent”</w:t>
            </w:r>
            <w:r>
              <w:rPr>
                <w:b/>
                <w:sz w:val="20"/>
                <w:szCs w:val="20"/>
              </w:rPr>
              <w:t xml:space="preserve"> (DEET 15% + EBAAP 15%</w:t>
            </w:r>
            <w:r>
              <w:rPr>
                <w:sz w:val="20"/>
                <w:szCs w:val="20"/>
              </w:rPr>
              <w:t xml:space="preserve"> (ethyl-butylacetylaminopropionate) spray) vs.</w:t>
            </w:r>
          </w:p>
          <w:p w14:paraId="27C0FDEF" w14:textId="77777777" w:rsidR="002D58E4" w:rsidRDefault="002D58E4">
            <w:pPr>
              <w:rPr>
                <w:sz w:val="20"/>
                <w:szCs w:val="20"/>
              </w:rPr>
            </w:pPr>
          </w:p>
          <w:p w14:paraId="31DA7073" w14:textId="77777777" w:rsidR="002D58E4" w:rsidRDefault="00F721D4">
            <w:pPr>
              <w:rPr>
                <w:sz w:val="20"/>
                <w:szCs w:val="20"/>
              </w:rPr>
            </w:pPr>
            <w:r>
              <w:rPr>
                <w:sz w:val="20"/>
                <w:szCs w:val="20"/>
              </w:rPr>
              <w:t xml:space="preserve">• </w:t>
            </w:r>
            <w:r>
              <w:rPr>
                <w:b/>
                <w:sz w:val="20"/>
                <w:szCs w:val="20"/>
              </w:rPr>
              <w:t>Placebo spray</w:t>
            </w:r>
          </w:p>
        </w:tc>
        <w:tc>
          <w:tcPr>
            <w:tcW w:w="2250" w:type="dxa"/>
          </w:tcPr>
          <w:p w14:paraId="2418AF37" w14:textId="77777777" w:rsidR="002D58E4" w:rsidRDefault="00F721D4">
            <w:pPr>
              <w:rPr>
                <w:sz w:val="20"/>
                <w:szCs w:val="20"/>
              </w:rPr>
            </w:pPr>
            <w:r>
              <w:rPr>
                <w:b/>
                <w:sz w:val="20"/>
                <w:szCs w:val="20"/>
              </w:rPr>
              <w:t>% effectiveness</w:t>
            </w:r>
            <w:r>
              <w:rPr>
                <w:sz w:val="20"/>
                <w:szCs w:val="20"/>
              </w:rPr>
              <w:t xml:space="preserve"> = 100 x (T(P) - T(R))/T(P), where T(P) and T(R) were the average </w:t>
            </w:r>
            <w:r>
              <w:rPr>
                <w:b/>
                <w:sz w:val="20"/>
                <w:szCs w:val="20"/>
              </w:rPr>
              <w:t>number of acquired ticks per hour</w:t>
            </w:r>
            <w:r>
              <w:rPr>
                <w:sz w:val="20"/>
                <w:szCs w:val="20"/>
              </w:rPr>
              <w:t xml:space="preserve"> spent in wooded areas for </w:t>
            </w:r>
            <w:r>
              <w:rPr>
                <w:sz w:val="20"/>
                <w:szCs w:val="20"/>
              </w:rPr>
              <w:lastRenderedPageBreak/>
              <w:t>the repellent and placebo groups, respectively</w:t>
            </w:r>
          </w:p>
        </w:tc>
        <w:tc>
          <w:tcPr>
            <w:tcW w:w="3870" w:type="dxa"/>
          </w:tcPr>
          <w:p w14:paraId="620696BD" w14:textId="77777777" w:rsidR="002D58E4" w:rsidRDefault="00F721D4">
            <w:pPr>
              <w:rPr>
                <w:sz w:val="20"/>
                <w:szCs w:val="20"/>
              </w:rPr>
            </w:pPr>
            <w:r>
              <w:rPr>
                <w:sz w:val="20"/>
                <w:szCs w:val="20"/>
              </w:rPr>
              <w:lastRenderedPageBreak/>
              <w:t xml:space="preserve">The average </w:t>
            </w:r>
            <w:r>
              <w:rPr>
                <w:b/>
                <w:sz w:val="20"/>
                <w:szCs w:val="20"/>
              </w:rPr>
              <w:t xml:space="preserve">number of attached ticks per hour </w:t>
            </w:r>
            <w:r>
              <w:rPr>
                <w:sz w:val="20"/>
                <w:szCs w:val="20"/>
              </w:rPr>
              <w:t xml:space="preserve">of exposure to wooded areas </w:t>
            </w:r>
            <w:r>
              <w:rPr>
                <w:b/>
                <w:sz w:val="20"/>
                <w:szCs w:val="20"/>
              </w:rPr>
              <w:t>differed significantly between the placebo and repellent</w:t>
            </w:r>
            <w:r>
              <w:rPr>
                <w:sz w:val="20"/>
                <w:szCs w:val="20"/>
              </w:rPr>
              <w:t xml:space="preserve"> groups, 0.17 vs. 0.10 (P &lt; .05). </w:t>
            </w:r>
          </w:p>
          <w:p w14:paraId="31D1AE9F" w14:textId="77777777" w:rsidR="002D58E4" w:rsidRDefault="002D58E4">
            <w:pPr>
              <w:rPr>
                <w:sz w:val="20"/>
                <w:szCs w:val="20"/>
              </w:rPr>
            </w:pPr>
          </w:p>
          <w:p w14:paraId="5424DB0F" w14:textId="77777777" w:rsidR="002D58E4" w:rsidRDefault="00F721D4">
            <w:pPr>
              <w:rPr>
                <w:sz w:val="20"/>
                <w:szCs w:val="20"/>
              </w:rPr>
            </w:pPr>
            <w:r>
              <w:rPr>
                <w:sz w:val="20"/>
                <w:szCs w:val="20"/>
              </w:rPr>
              <w:t xml:space="preserve">A product </w:t>
            </w:r>
            <w:r>
              <w:rPr>
                <w:b/>
                <w:sz w:val="20"/>
                <w:szCs w:val="20"/>
              </w:rPr>
              <w:t xml:space="preserve">containing DEET (15%) plus EBAAP (15%) was 41% effective against </w:t>
            </w:r>
            <w:r>
              <w:rPr>
                <w:b/>
                <w:i/>
                <w:sz w:val="20"/>
                <w:szCs w:val="20"/>
              </w:rPr>
              <w:t>I. ricinus</w:t>
            </w:r>
            <w:r>
              <w:rPr>
                <w:b/>
                <w:sz w:val="20"/>
                <w:szCs w:val="20"/>
              </w:rPr>
              <w:t xml:space="preserve"> </w:t>
            </w:r>
            <w:r>
              <w:rPr>
                <w:sz w:val="20"/>
                <w:szCs w:val="20"/>
              </w:rPr>
              <w:lastRenderedPageBreak/>
              <w:t>compared to the control group treated with solvent only (</w:t>
            </w:r>
            <w:r>
              <w:rPr>
                <w:b/>
                <w:sz w:val="20"/>
                <w:szCs w:val="20"/>
              </w:rPr>
              <w:t>moderate effectiveness</w:t>
            </w:r>
            <w:r>
              <w:rPr>
                <w:sz w:val="20"/>
                <w:szCs w:val="20"/>
              </w:rPr>
              <w:t>).</w:t>
            </w:r>
          </w:p>
        </w:tc>
      </w:tr>
      <w:tr w:rsidR="002D58E4" w14:paraId="7AE1BCB9" w14:textId="77777777" w:rsidTr="00E70FE5">
        <w:tc>
          <w:tcPr>
            <w:tcW w:w="1080" w:type="dxa"/>
          </w:tcPr>
          <w:p w14:paraId="595ECB40" w14:textId="77777777" w:rsidR="002D58E4" w:rsidRDefault="00F721D4">
            <w:pPr>
              <w:rPr>
                <w:sz w:val="20"/>
                <w:szCs w:val="20"/>
              </w:rPr>
            </w:pPr>
            <w:r>
              <w:rPr>
                <w:sz w:val="20"/>
                <w:szCs w:val="20"/>
              </w:rPr>
              <w:t>Gardulf, 2004</w:t>
            </w:r>
          </w:p>
          <w:p w14:paraId="24A8467F" w14:textId="77777777" w:rsidR="002D58E4" w:rsidRDefault="002D58E4">
            <w:pPr>
              <w:rPr>
                <w:sz w:val="20"/>
                <w:szCs w:val="20"/>
              </w:rPr>
            </w:pPr>
          </w:p>
          <w:p w14:paraId="66A52D5B" w14:textId="77777777" w:rsidR="002D58E4" w:rsidRDefault="00F721D4">
            <w:pPr>
              <w:rPr>
                <w:sz w:val="20"/>
                <w:szCs w:val="20"/>
              </w:rPr>
            </w:pPr>
            <w:r>
              <w:rPr>
                <w:sz w:val="20"/>
                <w:szCs w:val="20"/>
              </w:rPr>
              <w:t>Sweden</w:t>
            </w:r>
          </w:p>
        </w:tc>
        <w:tc>
          <w:tcPr>
            <w:tcW w:w="1080" w:type="dxa"/>
          </w:tcPr>
          <w:p w14:paraId="69C9F73D" w14:textId="77777777" w:rsidR="002D58E4" w:rsidRDefault="00F721D4">
            <w:pPr>
              <w:rPr>
                <w:sz w:val="20"/>
                <w:szCs w:val="20"/>
              </w:rPr>
            </w:pPr>
            <w:r>
              <w:rPr>
                <w:sz w:val="20"/>
                <w:szCs w:val="20"/>
              </w:rPr>
              <w:t>Crossover RCT</w:t>
            </w:r>
          </w:p>
        </w:tc>
        <w:tc>
          <w:tcPr>
            <w:tcW w:w="810" w:type="dxa"/>
          </w:tcPr>
          <w:p w14:paraId="041ED0AE" w14:textId="77777777" w:rsidR="002D58E4" w:rsidRDefault="00F721D4">
            <w:pPr>
              <w:rPr>
                <w:sz w:val="20"/>
                <w:szCs w:val="20"/>
              </w:rPr>
            </w:pPr>
            <w:r>
              <w:rPr>
                <w:sz w:val="20"/>
                <w:szCs w:val="20"/>
              </w:rPr>
              <w:t>Unclear risk of bias</w:t>
            </w:r>
          </w:p>
        </w:tc>
        <w:tc>
          <w:tcPr>
            <w:tcW w:w="1170" w:type="dxa"/>
          </w:tcPr>
          <w:p w14:paraId="2D385DCE" w14:textId="77777777" w:rsidR="002D58E4" w:rsidRDefault="00F721D4">
            <w:pPr>
              <w:rPr>
                <w:i/>
                <w:sz w:val="20"/>
                <w:szCs w:val="20"/>
              </w:rPr>
            </w:pPr>
            <w:r>
              <w:rPr>
                <w:i/>
                <w:sz w:val="20"/>
                <w:szCs w:val="20"/>
              </w:rPr>
              <w:t>I. ricinus</w:t>
            </w:r>
          </w:p>
          <w:p w14:paraId="66738352" w14:textId="77777777" w:rsidR="002D58E4" w:rsidRDefault="002D58E4">
            <w:pPr>
              <w:rPr>
                <w:sz w:val="20"/>
                <w:szCs w:val="20"/>
              </w:rPr>
            </w:pPr>
          </w:p>
        </w:tc>
        <w:tc>
          <w:tcPr>
            <w:tcW w:w="2268" w:type="dxa"/>
          </w:tcPr>
          <w:p w14:paraId="7881D8AC" w14:textId="77777777" w:rsidR="002D58E4" w:rsidRDefault="00F721D4">
            <w:pPr>
              <w:rPr>
                <w:sz w:val="20"/>
                <w:szCs w:val="20"/>
              </w:rPr>
            </w:pPr>
            <w:r>
              <w:rPr>
                <w:sz w:val="20"/>
                <w:szCs w:val="20"/>
              </w:rPr>
              <w:t>111 healthy, outdoor active adult volunteers.</w:t>
            </w:r>
          </w:p>
          <w:p w14:paraId="2862304D" w14:textId="77777777" w:rsidR="002D58E4" w:rsidRDefault="002D58E4">
            <w:pPr>
              <w:rPr>
                <w:sz w:val="20"/>
                <w:szCs w:val="20"/>
              </w:rPr>
            </w:pPr>
          </w:p>
          <w:p w14:paraId="59E3D083" w14:textId="77777777" w:rsidR="002D58E4" w:rsidRDefault="00F721D4">
            <w:pPr>
              <w:rPr>
                <w:sz w:val="20"/>
                <w:szCs w:val="20"/>
              </w:rPr>
            </w:pPr>
            <w:r>
              <w:rPr>
                <w:sz w:val="20"/>
                <w:szCs w:val="20"/>
              </w:rPr>
              <w:t>Subjects filled out a daily diary on outdoor activities and observed/attached ticks</w:t>
            </w:r>
          </w:p>
        </w:tc>
        <w:tc>
          <w:tcPr>
            <w:tcW w:w="1890" w:type="dxa"/>
          </w:tcPr>
          <w:p w14:paraId="13C329ED" w14:textId="77777777" w:rsidR="002D58E4" w:rsidRDefault="00F721D4">
            <w:pPr>
              <w:rPr>
                <w:sz w:val="20"/>
                <w:szCs w:val="20"/>
              </w:rPr>
            </w:pPr>
            <w:r>
              <w:rPr>
                <w:sz w:val="20"/>
                <w:szCs w:val="20"/>
              </w:rPr>
              <w:t xml:space="preserve">• </w:t>
            </w:r>
            <w:r>
              <w:rPr>
                <w:b/>
                <w:sz w:val="20"/>
                <w:szCs w:val="20"/>
              </w:rPr>
              <w:t>Lemon eucalyptus</w:t>
            </w:r>
            <w:r>
              <w:rPr>
                <w:sz w:val="20"/>
                <w:szCs w:val="20"/>
              </w:rPr>
              <w:t xml:space="preserve"> extract (Citriodiol) sprayed daily </w:t>
            </w:r>
            <w:r>
              <w:rPr>
                <w:b/>
                <w:sz w:val="20"/>
                <w:szCs w:val="20"/>
              </w:rPr>
              <w:t>on legs</w:t>
            </w:r>
            <w:r>
              <w:rPr>
                <w:sz w:val="20"/>
                <w:szCs w:val="20"/>
              </w:rPr>
              <w:t xml:space="preserve"> vs.</w:t>
            </w:r>
          </w:p>
          <w:p w14:paraId="412C37FF" w14:textId="77777777" w:rsidR="002D58E4" w:rsidRDefault="002D58E4">
            <w:pPr>
              <w:rPr>
                <w:sz w:val="20"/>
                <w:szCs w:val="20"/>
              </w:rPr>
            </w:pPr>
          </w:p>
          <w:p w14:paraId="586D15BD" w14:textId="77777777" w:rsidR="002D58E4" w:rsidRDefault="00F721D4">
            <w:pPr>
              <w:rPr>
                <w:b/>
                <w:sz w:val="20"/>
                <w:szCs w:val="20"/>
              </w:rPr>
            </w:pPr>
            <w:r>
              <w:rPr>
                <w:sz w:val="20"/>
                <w:szCs w:val="20"/>
              </w:rPr>
              <w:t xml:space="preserve">• </w:t>
            </w:r>
            <w:r>
              <w:rPr>
                <w:b/>
                <w:sz w:val="20"/>
                <w:szCs w:val="20"/>
              </w:rPr>
              <w:t>No repellents</w:t>
            </w:r>
          </w:p>
          <w:p w14:paraId="6BE7E746" w14:textId="77777777" w:rsidR="002D58E4" w:rsidRDefault="00F721D4">
            <w:pPr>
              <w:rPr>
                <w:sz w:val="20"/>
                <w:szCs w:val="20"/>
              </w:rPr>
            </w:pPr>
            <w:r>
              <w:rPr>
                <w:sz w:val="20"/>
                <w:szCs w:val="20"/>
              </w:rPr>
              <w:t>Spray vs. no intervention for 2 wks→ crossover →another 2 wks</w:t>
            </w:r>
          </w:p>
        </w:tc>
        <w:tc>
          <w:tcPr>
            <w:tcW w:w="2250" w:type="dxa"/>
          </w:tcPr>
          <w:p w14:paraId="3AA04CAF" w14:textId="77777777" w:rsidR="002D58E4" w:rsidRDefault="00F721D4">
            <w:pPr>
              <w:rPr>
                <w:sz w:val="20"/>
                <w:szCs w:val="20"/>
              </w:rPr>
            </w:pPr>
            <w:r>
              <w:rPr>
                <w:b/>
                <w:sz w:val="20"/>
                <w:szCs w:val="20"/>
              </w:rPr>
              <w:t>N of observed, attached, or not yet attached ticks</w:t>
            </w:r>
            <w:r>
              <w:rPr>
                <w:sz w:val="20"/>
                <w:szCs w:val="20"/>
              </w:rPr>
              <w:t xml:space="preserve"> + anatomical location of ticks found (daily diary records)</w:t>
            </w:r>
          </w:p>
        </w:tc>
        <w:tc>
          <w:tcPr>
            <w:tcW w:w="3870" w:type="dxa"/>
          </w:tcPr>
          <w:p w14:paraId="32AAB0EA" w14:textId="77777777" w:rsidR="002D58E4" w:rsidRDefault="00F721D4">
            <w:pPr>
              <w:rPr>
                <w:sz w:val="20"/>
                <w:szCs w:val="20"/>
              </w:rPr>
            </w:pPr>
            <w:r>
              <w:rPr>
                <w:sz w:val="20"/>
                <w:szCs w:val="20"/>
              </w:rPr>
              <w:t>42 attached ticks were reported during the weeks when the Citriodiol spray was used, and 112 were reported when it was not. The number of ticks below the waist was 13/42 (31%) during the period when the spray was used and 73/112 (65%) when no spray was used (</w:t>
            </w:r>
            <w:r>
              <w:rPr>
                <w:i/>
                <w:sz w:val="20"/>
                <w:szCs w:val="20"/>
              </w:rPr>
              <w:t xml:space="preserve">P </w:t>
            </w:r>
            <w:r>
              <w:rPr>
                <w:sz w:val="20"/>
                <w:szCs w:val="20"/>
              </w:rPr>
              <w:t>&lt;0.001).</w:t>
            </w:r>
          </w:p>
          <w:p w14:paraId="5951C498" w14:textId="77777777" w:rsidR="002D58E4" w:rsidRDefault="002D58E4">
            <w:pPr>
              <w:rPr>
                <w:sz w:val="20"/>
                <w:szCs w:val="20"/>
              </w:rPr>
            </w:pPr>
          </w:p>
          <w:p w14:paraId="30EFCEEA" w14:textId="77777777" w:rsidR="002D58E4" w:rsidRDefault="00F721D4">
            <w:pPr>
              <w:rPr>
                <w:sz w:val="20"/>
                <w:szCs w:val="20"/>
              </w:rPr>
            </w:pPr>
            <w:r>
              <w:rPr>
                <w:sz w:val="20"/>
                <w:szCs w:val="20"/>
              </w:rPr>
              <w:t xml:space="preserve">The </w:t>
            </w:r>
            <w:r>
              <w:rPr>
                <w:b/>
                <w:sz w:val="20"/>
                <w:szCs w:val="20"/>
              </w:rPr>
              <w:t>median number of reported attached ticks per person</w:t>
            </w:r>
            <w:r>
              <w:rPr>
                <w:sz w:val="20"/>
                <w:szCs w:val="20"/>
              </w:rPr>
              <w:t xml:space="preserve"> </w:t>
            </w:r>
            <w:r>
              <w:rPr>
                <w:b/>
                <w:sz w:val="20"/>
                <w:szCs w:val="20"/>
              </w:rPr>
              <w:t xml:space="preserve">decreased from 1.5 (range, 0-9) to 0.5 (range, 0-2; </w:t>
            </w:r>
            <w:r>
              <w:rPr>
                <w:b/>
                <w:i/>
                <w:sz w:val="20"/>
                <w:szCs w:val="20"/>
              </w:rPr>
              <w:t xml:space="preserve">P </w:t>
            </w:r>
            <w:r>
              <w:rPr>
                <w:b/>
                <w:sz w:val="20"/>
                <w:szCs w:val="20"/>
              </w:rPr>
              <w:t>&lt; 0.05) during the weeks when Citriodiol was used.</w:t>
            </w:r>
          </w:p>
        </w:tc>
      </w:tr>
      <w:tr w:rsidR="002D58E4" w14:paraId="5BE3A688" w14:textId="77777777" w:rsidTr="00E70FE5">
        <w:trPr>
          <w:trHeight w:val="3083"/>
        </w:trPr>
        <w:tc>
          <w:tcPr>
            <w:tcW w:w="1080" w:type="dxa"/>
          </w:tcPr>
          <w:p w14:paraId="4111FD9E" w14:textId="77777777" w:rsidR="002D58E4" w:rsidRDefault="00F721D4">
            <w:pPr>
              <w:rPr>
                <w:sz w:val="20"/>
                <w:szCs w:val="20"/>
              </w:rPr>
            </w:pPr>
            <w:r>
              <w:rPr>
                <w:sz w:val="20"/>
                <w:szCs w:val="20"/>
              </w:rPr>
              <w:t>Carroll, 2008</w:t>
            </w:r>
          </w:p>
          <w:p w14:paraId="6A3B6C57" w14:textId="77777777" w:rsidR="002D58E4" w:rsidRDefault="002D58E4">
            <w:pPr>
              <w:rPr>
                <w:sz w:val="20"/>
                <w:szCs w:val="20"/>
              </w:rPr>
            </w:pPr>
          </w:p>
          <w:p w14:paraId="04B82C90" w14:textId="77777777" w:rsidR="002D58E4" w:rsidRDefault="00F721D4">
            <w:pPr>
              <w:rPr>
                <w:sz w:val="20"/>
                <w:szCs w:val="20"/>
              </w:rPr>
            </w:pPr>
            <w:r>
              <w:rPr>
                <w:sz w:val="20"/>
                <w:szCs w:val="20"/>
              </w:rPr>
              <w:t>USA</w:t>
            </w:r>
          </w:p>
        </w:tc>
        <w:tc>
          <w:tcPr>
            <w:tcW w:w="1080" w:type="dxa"/>
          </w:tcPr>
          <w:p w14:paraId="28923375" w14:textId="77777777" w:rsidR="002D58E4" w:rsidRDefault="00F721D4">
            <w:pPr>
              <w:rPr>
                <w:sz w:val="20"/>
                <w:szCs w:val="20"/>
              </w:rPr>
            </w:pPr>
            <w:r>
              <w:rPr>
                <w:sz w:val="20"/>
                <w:szCs w:val="20"/>
              </w:rPr>
              <w:t>Laboratory tests on human skin</w:t>
            </w:r>
          </w:p>
        </w:tc>
        <w:tc>
          <w:tcPr>
            <w:tcW w:w="810" w:type="dxa"/>
          </w:tcPr>
          <w:p w14:paraId="0BCCCA40" w14:textId="77777777" w:rsidR="002D58E4" w:rsidRDefault="00F721D4">
            <w:pPr>
              <w:rPr>
                <w:sz w:val="20"/>
                <w:szCs w:val="20"/>
              </w:rPr>
            </w:pPr>
            <w:r>
              <w:rPr>
                <w:sz w:val="20"/>
                <w:szCs w:val="20"/>
              </w:rPr>
              <w:t>Unclear risk of bias</w:t>
            </w:r>
          </w:p>
        </w:tc>
        <w:tc>
          <w:tcPr>
            <w:tcW w:w="1170" w:type="dxa"/>
          </w:tcPr>
          <w:p w14:paraId="4A77BC4F" w14:textId="77777777" w:rsidR="002D58E4" w:rsidRDefault="00F721D4">
            <w:pPr>
              <w:rPr>
                <w:i/>
                <w:sz w:val="20"/>
                <w:szCs w:val="20"/>
                <w:u w:val="single"/>
              </w:rPr>
            </w:pPr>
            <w:r>
              <w:rPr>
                <w:i/>
                <w:sz w:val="20"/>
                <w:szCs w:val="20"/>
              </w:rPr>
              <w:t>I. scapularis</w:t>
            </w:r>
          </w:p>
        </w:tc>
        <w:tc>
          <w:tcPr>
            <w:tcW w:w="2268" w:type="dxa"/>
          </w:tcPr>
          <w:p w14:paraId="6E801257" w14:textId="5E4AD20F" w:rsidR="002D58E4" w:rsidRDefault="00F721D4">
            <w:pPr>
              <w:rPr>
                <w:sz w:val="20"/>
                <w:szCs w:val="20"/>
              </w:rPr>
            </w:pPr>
            <w:r>
              <w:rPr>
                <w:sz w:val="20"/>
                <w:szCs w:val="20"/>
              </w:rPr>
              <w:t>Nymphal, laboratory raised, disease-free ticks were used for the study. For the purposes of testing, 50 unused nymp</w:t>
            </w:r>
            <w:r w:rsidR="009715F3">
              <w:rPr>
                <w:sz w:val="20"/>
                <w:szCs w:val="20"/>
              </w:rPr>
              <w:t>h</w:t>
            </w:r>
            <w:r>
              <w:rPr>
                <w:sz w:val="20"/>
                <w:szCs w:val="20"/>
              </w:rPr>
              <w:t xml:space="preserve">s were placed in small, water-filled trays that prevented easy escape for each test. </w:t>
            </w:r>
          </w:p>
          <w:p w14:paraId="424C862C" w14:textId="77777777" w:rsidR="002D58E4" w:rsidRDefault="002D58E4">
            <w:pPr>
              <w:rPr>
                <w:sz w:val="20"/>
                <w:szCs w:val="20"/>
              </w:rPr>
            </w:pPr>
          </w:p>
          <w:p w14:paraId="0CC4157D" w14:textId="77777777" w:rsidR="002D58E4" w:rsidRDefault="00F721D4">
            <w:pPr>
              <w:rPr>
                <w:sz w:val="20"/>
                <w:szCs w:val="20"/>
              </w:rPr>
            </w:pPr>
            <w:r>
              <w:rPr>
                <w:sz w:val="20"/>
                <w:szCs w:val="20"/>
              </w:rPr>
              <w:t>10 human subjects participated in efficacy tests of repellency of IR3535 on human skin. Ticks were first tested on untreated arms, then on treated arms.</w:t>
            </w:r>
          </w:p>
        </w:tc>
        <w:tc>
          <w:tcPr>
            <w:tcW w:w="1890" w:type="dxa"/>
          </w:tcPr>
          <w:p w14:paraId="5979052C" w14:textId="77777777" w:rsidR="002D58E4" w:rsidRDefault="00F721D4">
            <w:pPr>
              <w:numPr>
                <w:ilvl w:val="0"/>
                <w:numId w:val="31"/>
              </w:numPr>
              <w:pBdr>
                <w:top w:val="nil"/>
                <w:left w:val="nil"/>
                <w:bottom w:val="nil"/>
                <w:right w:val="nil"/>
                <w:between w:val="nil"/>
              </w:pBdr>
              <w:spacing w:line="276" w:lineRule="auto"/>
              <w:ind w:left="167" w:hanging="167"/>
              <w:rPr>
                <w:b/>
                <w:color w:val="000000"/>
                <w:sz w:val="20"/>
                <w:szCs w:val="20"/>
              </w:rPr>
            </w:pPr>
            <w:r>
              <w:rPr>
                <w:b/>
                <w:color w:val="000000"/>
                <w:sz w:val="20"/>
                <w:szCs w:val="20"/>
              </w:rPr>
              <w:t>0.001 mL IR3535</w:t>
            </w:r>
            <w:r>
              <w:rPr>
                <w:color w:val="000000"/>
                <w:sz w:val="20"/>
                <w:szCs w:val="20"/>
              </w:rPr>
              <w:t xml:space="preserve"> </w:t>
            </w:r>
            <w:r>
              <w:rPr>
                <w:b/>
                <w:color w:val="000000"/>
                <w:sz w:val="20"/>
                <w:szCs w:val="20"/>
              </w:rPr>
              <w:t xml:space="preserve">lotion </w:t>
            </w:r>
            <w:r>
              <w:rPr>
                <w:color w:val="000000"/>
                <w:sz w:val="20"/>
                <w:szCs w:val="20"/>
              </w:rPr>
              <w:t xml:space="preserve">(0.99 g/mL, 10% IR3535) </w:t>
            </w:r>
          </w:p>
          <w:p w14:paraId="12C83BA2" w14:textId="77777777" w:rsidR="002D58E4" w:rsidRDefault="00F721D4">
            <w:pPr>
              <w:numPr>
                <w:ilvl w:val="0"/>
                <w:numId w:val="31"/>
              </w:numPr>
              <w:pBdr>
                <w:top w:val="nil"/>
                <w:left w:val="nil"/>
                <w:bottom w:val="nil"/>
                <w:right w:val="nil"/>
                <w:between w:val="nil"/>
              </w:pBdr>
              <w:spacing w:line="276" w:lineRule="auto"/>
              <w:ind w:left="167" w:hanging="167"/>
              <w:rPr>
                <w:b/>
                <w:color w:val="000000"/>
                <w:sz w:val="20"/>
                <w:szCs w:val="20"/>
              </w:rPr>
            </w:pPr>
            <w:r>
              <w:rPr>
                <w:b/>
                <w:color w:val="000000"/>
                <w:sz w:val="20"/>
                <w:szCs w:val="20"/>
              </w:rPr>
              <w:t>0.0006 mL IR3535</w:t>
            </w:r>
            <w:r>
              <w:rPr>
                <w:color w:val="000000"/>
                <w:sz w:val="20"/>
                <w:szCs w:val="20"/>
              </w:rPr>
              <w:t xml:space="preserve"> </w:t>
            </w:r>
            <w:r>
              <w:rPr>
                <w:b/>
                <w:color w:val="000000"/>
                <w:sz w:val="20"/>
                <w:szCs w:val="20"/>
              </w:rPr>
              <w:t xml:space="preserve">pump spray </w:t>
            </w:r>
            <w:r>
              <w:rPr>
                <w:color w:val="000000"/>
                <w:sz w:val="20"/>
                <w:szCs w:val="20"/>
              </w:rPr>
              <w:t xml:space="preserve">(0.95 g/mL, 20% IR3535) </w:t>
            </w:r>
          </w:p>
          <w:p w14:paraId="26A476BE" w14:textId="77777777" w:rsidR="002D58E4" w:rsidRDefault="00F721D4">
            <w:pPr>
              <w:numPr>
                <w:ilvl w:val="0"/>
                <w:numId w:val="31"/>
              </w:numPr>
              <w:pBdr>
                <w:top w:val="nil"/>
                <w:left w:val="nil"/>
                <w:bottom w:val="nil"/>
                <w:right w:val="nil"/>
                <w:between w:val="nil"/>
              </w:pBdr>
              <w:spacing w:after="200" w:line="276" w:lineRule="auto"/>
              <w:ind w:left="167" w:hanging="167"/>
              <w:rPr>
                <w:b/>
                <w:color w:val="000000"/>
                <w:sz w:val="20"/>
                <w:szCs w:val="20"/>
              </w:rPr>
            </w:pPr>
            <w:r>
              <w:rPr>
                <w:b/>
                <w:color w:val="000000"/>
                <w:sz w:val="20"/>
                <w:szCs w:val="20"/>
              </w:rPr>
              <w:t>0.001 mL IR3535</w:t>
            </w:r>
            <w:r>
              <w:rPr>
                <w:color w:val="000000"/>
                <w:sz w:val="20"/>
                <w:szCs w:val="20"/>
              </w:rPr>
              <w:t xml:space="preserve"> </w:t>
            </w:r>
            <w:r>
              <w:rPr>
                <w:b/>
                <w:color w:val="000000"/>
                <w:sz w:val="20"/>
                <w:szCs w:val="20"/>
              </w:rPr>
              <w:t xml:space="preserve">aerosol </w:t>
            </w:r>
            <w:r>
              <w:rPr>
                <w:color w:val="000000"/>
                <w:sz w:val="20"/>
                <w:szCs w:val="20"/>
              </w:rPr>
              <w:t xml:space="preserve">(0.94 g/mL, 20% IR3535) </w:t>
            </w:r>
          </w:p>
        </w:tc>
        <w:tc>
          <w:tcPr>
            <w:tcW w:w="2250" w:type="dxa"/>
          </w:tcPr>
          <w:p w14:paraId="0E6C160B" w14:textId="77777777" w:rsidR="002D58E4" w:rsidRDefault="00F721D4">
            <w:pPr>
              <w:rPr>
                <w:sz w:val="20"/>
                <w:szCs w:val="20"/>
              </w:rPr>
            </w:pPr>
            <w:r>
              <w:rPr>
                <w:sz w:val="20"/>
                <w:szCs w:val="20"/>
              </w:rPr>
              <w:t>Repellency was predicated on the ability of a formulation to prevent ticks from walking 3 cm into the treated region of a forearm. Exposures began 15 min after the application of a test material. Subjects were withdrawn when they experienced the first confirmed crossing of the 3 cm limit.</w:t>
            </w:r>
          </w:p>
        </w:tc>
        <w:tc>
          <w:tcPr>
            <w:tcW w:w="3870" w:type="dxa"/>
          </w:tcPr>
          <w:p w14:paraId="63964E41" w14:textId="77777777" w:rsidR="002D58E4" w:rsidRDefault="00F721D4">
            <w:pPr>
              <w:rPr>
                <w:sz w:val="20"/>
                <w:szCs w:val="20"/>
              </w:rPr>
            </w:pPr>
            <w:r>
              <w:rPr>
                <w:sz w:val="20"/>
                <w:szCs w:val="20"/>
              </w:rPr>
              <w:t>Complete protection time was defined as the time until the first confirmed crossing, or if none occurred, until 15 min after the conclusion of data collection.</w:t>
            </w:r>
          </w:p>
          <w:p w14:paraId="1844FE8A" w14:textId="77777777" w:rsidR="002D58E4" w:rsidRDefault="002D58E4">
            <w:pPr>
              <w:rPr>
                <w:sz w:val="20"/>
                <w:szCs w:val="20"/>
              </w:rPr>
            </w:pPr>
          </w:p>
          <w:p w14:paraId="29E5AF54" w14:textId="77777777" w:rsidR="002D58E4" w:rsidRDefault="00F721D4">
            <w:pPr>
              <w:rPr>
                <w:sz w:val="20"/>
                <w:szCs w:val="20"/>
              </w:rPr>
            </w:pPr>
            <w:r>
              <w:rPr>
                <w:sz w:val="20"/>
                <w:szCs w:val="20"/>
              </w:rPr>
              <w:t xml:space="preserve">The use of IR3535 resulted in complete protection times of 9.1 hours (SD: 2.5 hours) for lotion, 12.2 hours (2.8) for pump spray, and 11 hours (2.8) for aerosol against confirmed crossings from </w:t>
            </w:r>
            <w:r>
              <w:rPr>
                <w:i/>
                <w:sz w:val="20"/>
                <w:szCs w:val="20"/>
              </w:rPr>
              <w:t>I. scapularis</w:t>
            </w:r>
            <w:r>
              <w:rPr>
                <w:sz w:val="20"/>
                <w:szCs w:val="20"/>
              </w:rPr>
              <w:t xml:space="preserve"> in laboratory tests.</w:t>
            </w:r>
            <w:r>
              <w:t xml:space="preserve"> </w:t>
            </w:r>
            <w:r>
              <w:rPr>
                <w:sz w:val="20"/>
                <w:szCs w:val="20"/>
              </w:rPr>
              <w:t>The average subject experienced two or fewer crossings over an average exposure period of approximately 11 hours.</w:t>
            </w:r>
          </w:p>
          <w:p w14:paraId="6B83F005" w14:textId="77777777" w:rsidR="002D58E4" w:rsidRDefault="002D58E4">
            <w:pPr>
              <w:rPr>
                <w:sz w:val="20"/>
                <w:szCs w:val="20"/>
              </w:rPr>
            </w:pPr>
          </w:p>
          <w:p w14:paraId="3F9BED19" w14:textId="77777777" w:rsidR="002D58E4" w:rsidRDefault="002D58E4">
            <w:pPr>
              <w:rPr>
                <w:sz w:val="20"/>
                <w:szCs w:val="20"/>
              </w:rPr>
            </w:pPr>
          </w:p>
        </w:tc>
      </w:tr>
      <w:tr w:rsidR="002D58E4" w14:paraId="6DE21493" w14:textId="77777777" w:rsidTr="00E70FE5">
        <w:trPr>
          <w:trHeight w:val="3083"/>
        </w:trPr>
        <w:tc>
          <w:tcPr>
            <w:tcW w:w="1080" w:type="dxa"/>
          </w:tcPr>
          <w:p w14:paraId="47789010" w14:textId="77777777" w:rsidR="002D58E4" w:rsidRDefault="00F721D4">
            <w:pPr>
              <w:rPr>
                <w:sz w:val="20"/>
                <w:szCs w:val="20"/>
              </w:rPr>
            </w:pPr>
            <w:r>
              <w:rPr>
                <w:sz w:val="20"/>
                <w:szCs w:val="20"/>
              </w:rPr>
              <w:lastRenderedPageBreak/>
              <w:t>Witting-Bissinger, 2008</w:t>
            </w:r>
          </w:p>
          <w:p w14:paraId="773B9BC9" w14:textId="77777777" w:rsidR="002D58E4" w:rsidRDefault="002D58E4">
            <w:pPr>
              <w:rPr>
                <w:sz w:val="20"/>
                <w:szCs w:val="20"/>
              </w:rPr>
            </w:pPr>
          </w:p>
          <w:p w14:paraId="44D47664" w14:textId="77777777" w:rsidR="002D58E4" w:rsidRDefault="00F721D4">
            <w:pPr>
              <w:rPr>
                <w:sz w:val="20"/>
                <w:szCs w:val="20"/>
              </w:rPr>
            </w:pPr>
            <w:r>
              <w:rPr>
                <w:sz w:val="20"/>
                <w:szCs w:val="20"/>
              </w:rPr>
              <w:t>NC, USA</w:t>
            </w:r>
          </w:p>
        </w:tc>
        <w:tc>
          <w:tcPr>
            <w:tcW w:w="1080" w:type="dxa"/>
          </w:tcPr>
          <w:p w14:paraId="25CEA449" w14:textId="77777777" w:rsidR="002D58E4" w:rsidRDefault="00F721D4">
            <w:pPr>
              <w:rPr>
                <w:sz w:val="20"/>
                <w:szCs w:val="20"/>
              </w:rPr>
            </w:pPr>
            <w:r>
              <w:rPr>
                <w:sz w:val="20"/>
                <w:szCs w:val="20"/>
              </w:rPr>
              <w:t>Laboratory tests on human skin</w:t>
            </w:r>
          </w:p>
        </w:tc>
        <w:tc>
          <w:tcPr>
            <w:tcW w:w="810" w:type="dxa"/>
          </w:tcPr>
          <w:p w14:paraId="038142B7" w14:textId="77777777" w:rsidR="002D58E4" w:rsidRDefault="00F721D4">
            <w:pPr>
              <w:rPr>
                <w:sz w:val="20"/>
                <w:szCs w:val="20"/>
              </w:rPr>
            </w:pPr>
            <w:r>
              <w:rPr>
                <w:sz w:val="20"/>
                <w:szCs w:val="20"/>
              </w:rPr>
              <w:t>Unclear risk of bias</w:t>
            </w:r>
          </w:p>
        </w:tc>
        <w:tc>
          <w:tcPr>
            <w:tcW w:w="1170" w:type="dxa"/>
          </w:tcPr>
          <w:p w14:paraId="10E910D1" w14:textId="77777777" w:rsidR="002D58E4" w:rsidRPr="009715F3" w:rsidRDefault="00F721D4">
            <w:pPr>
              <w:rPr>
                <w:i/>
                <w:sz w:val="20"/>
                <w:szCs w:val="20"/>
              </w:rPr>
            </w:pPr>
            <w:r w:rsidRPr="009715F3">
              <w:rPr>
                <w:i/>
                <w:sz w:val="20"/>
                <w:szCs w:val="20"/>
              </w:rPr>
              <w:t>Dermacentor variabilis</w:t>
            </w:r>
          </w:p>
        </w:tc>
        <w:tc>
          <w:tcPr>
            <w:tcW w:w="2268" w:type="dxa"/>
          </w:tcPr>
          <w:p w14:paraId="5836ED74" w14:textId="77777777" w:rsidR="002D58E4" w:rsidRDefault="00F721D4">
            <w:pPr>
              <w:rPr>
                <w:sz w:val="20"/>
                <w:szCs w:val="20"/>
              </w:rPr>
            </w:pPr>
            <w:r>
              <w:rPr>
                <w:sz w:val="20"/>
                <w:szCs w:val="20"/>
              </w:rPr>
              <w:t>6 ticks were enclosed in a 12.6-cm</w:t>
            </w:r>
            <w:r>
              <w:rPr>
                <w:sz w:val="20"/>
                <w:szCs w:val="20"/>
                <w:vertAlign w:val="superscript"/>
              </w:rPr>
              <w:t>2</w:t>
            </w:r>
            <w:r>
              <w:rPr>
                <w:sz w:val="20"/>
                <w:szCs w:val="20"/>
              </w:rPr>
              <w:t xml:space="preserve"> arena covered with a</w:t>
            </w:r>
            <w:r>
              <w:t xml:space="preserve"> </w:t>
            </w:r>
            <w:r>
              <w:rPr>
                <w:sz w:val="20"/>
                <w:szCs w:val="20"/>
              </w:rPr>
              <w:t>lid lined with two layers of cheesecloth with the open-end covered with aluminum screening to prevent the ticks from biting the subject but permitting the ticks to make direct contact with the skin.</w:t>
            </w:r>
          </w:p>
          <w:p w14:paraId="4E405893" w14:textId="77777777" w:rsidR="002D58E4" w:rsidRDefault="002D58E4">
            <w:pPr>
              <w:rPr>
                <w:sz w:val="20"/>
                <w:szCs w:val="20"/>
              </w:rPr>
            </w:pPr>
          </w:p>
          <w:p w14:paraId="1592ECA7" w14:textId="77777777" w:rsidR="002D58E4" w:rsidRDefault="00F721D4">
            <w:pPr>
              <w:rPr>
                <w:sz w:val="20"/>
                <w:szCs w:val="20"/>
              </w:rPr>
            </w:pPr>
            <w:r>
              <w:rPr>
                <w:sz w:val="20"/>
                <w:szCs w:val="20"/>
              </w:rPr>
              <w:t>Repellent trials were replicated six times using 3 volunteers. Controls were replicated four times using the same 3 volunteers.</w:t>
            </w:r>
          </w:p>
        </w:tc>
        <w:tc>
          <w:tcPr>
            <w:tcW w:w="1890" w:type="dxa"/>
          </w:tcPr>
          <w:p w14:paraId="408D6FB3" w14:textId="77777777" w:rsidR="002D58E4" w:rsidRDefault="00F721D4">
            <w:pPr>
              <w:numPr>
                <w:ilvl w:val="0"/>
                <w:numId w:val="31"/>
              </w:numPr>
              <w:pBdr>
                <w:top w:val="nil"/>
                <w:left w:val="nil"/>
                <w:bottom w:val="nil"/>
                <w:right w:val="nil"/>
                <w:between w:val="nil"/>
              </w:pBdr>
              <w:spacing w:line="276" w:lineRule="auto"/>
              <w:ind w:left="167" w:hanging="167"/>
              <w:rPr>
                <w:b/>
                <w:color w:val="000000"/>
                <w:sz w:val="20"/>
                <w:szCs w:val="20"/>
              </w:rPr>
            </w:pPr>
            <w:r>
              <w:rPr>
                <w:b/>
                <w:color w:val="000000"/>
                <w:sz w:val="20"/>
                <w:szCs w:val="20"/>
              </w:rPr>
              <w:t xml:space="preserve">20 </w:t>
            </w:r>
            <w:r>
              <w:rPr>
                <w:rFonts w:ascii="Arial" w:eastAsia="Arial" w:hAnsi="Arial" w:cs="Arial"/>
                <w:b/>
                <w:color w:val="000000"/>
                <w:sz w:val="20"/>
                <w:szCs w:val="20"/>
              </w:rPr>
              <w:t>μ</w:t>
            </w:r>
            <w:r>
              <w:rPr>
                <w:b/>
                <w:color w:val="000000"/>
                <w:sz w:val="20"/>
                <w:szCs w:val="20"/>
              </w:rPr>
              <w:t>L BioUD</w:t>
            </w:r>
            <w:r>
              <w:rPr>
                <w:color w:val="000000"/>
                <w:sz w:val="20"/>
                <w:szCs w:val="20"/>
              </w:rPr>
              <w:t xml:space="preserve"> </w:t>
            </w:r>
            <w:r>
              <w:rPr>
                <w:b/>
                <w:color w:val="000000"/>
                <w:sz w:val="20"/>
                <w:szCs w:val="20"/>
              </w:rPr>
              <w:t xml:space="preserve">lotion </w:t>
            </w:r>
            <w:r>
              <w:rPr>
                <w:color w:val="000000"/>
                <w:sz w:val="20"/>
                <w:szCs w:val="20"/>
              </w:rPr>
              <w:t xml:space="preserve">(7.75% 2-undecanone) </w:t>
            </w:r>
          </w:p>
          <w:p w14:paraId="0D03063D" w14:textId="77777777" w:rsidR="002D58E4" w:rsidRDefault="00F721D4">
            <w:pPr>
              <w:numPr>
                <w:ilvl w:val="0"/>
                <w:numId w:val="31"/>
              </w:numPr>
              <w:pBdr>
                <w:top w:val="nil"/>
                <w:left w:val="nil"/>
                <w:bottom w:val="nil"/>
                <w:right w:val="nil"/>
                <w:between w:val="nil"/>
              </w:pBdr>
              <w:spacing w:after="200" w:line="276" w:lineRule="auto"/>
              <w:ind w:left="167" w:hanging="167"/>
              <w:rPr>
                <w:b/>
                <w:color w:val="000000"/>
                <w:sz w:val="20"/>
                <w:szCs w:val="20"/>
              </w:rPr>
            </w:pPr>
            <w:r>
              <w:rPr>
                <w:b/>
                <w:color w:val="000000"/>
                <w:sz w:val="20"/>
                <w:szCs w:val="20"/>
              </w:rPr>
              <w:t xml:space="preserve">Control </w:t>
            </w:r>
            <w:r>
              <w:rPr>
                <w:color w:val="000000"/>
                <w:sz w:val="20"/>
                <w:szCs w:val="20"/>
              </w:rPr>
              <w:t>(no treatment)</w:t>
            </w:r>
          </w:p>
        </w:tc>
        <w:tc>
          <w:tcPr>
            <w:tcW w:w="2250" w:type="dxa"/>
          </w:tcPr>
          <w:p w14:paraId="48130E54" w14:textId="69EDCC0C" w:rsidR="002D58E4" w:rsidRDefault="00F721D4">
            <w:pPr>
              <w:rPr>
                <w:sz w:val="20"/>
                <w:szCs w:val="20"/>
              </w:rPr>
            </w:pPr>
            <w:r>
              <w:rPr>
                <w:sz w:val="20"/>
                <w:szCs w:val="20"/>
              </w:rPr>
              <w:t xml:space="preserve">Tick distribution was converted to repellency indices (RI) calculated as follows: (# ticks on untreated surface </w:t>
            </w:r>
            <w:r w:rsidR="007957CB">
              <w:rPr>
                <w:sz w:val="20"/>
                <w:szCs w:val="20"/>
              </w:rPr>
              <w:t xml:space="preserve">- </w:t>
            </w:r>
            <w:r>
              <w:rPr>
                <w:sz w:val="20"/>
                <w:szCs w:val="20"/>
              </w:rPr>
              <w:t># ticks on treated surface)/ (# ticks on untreated surface + # ticks on treated surface). -1 designated repellency, +1 indicated attraction, and 0 indicated a neutral response.</w:t>
            </w:r>
          </w:p>
        </w:tc>
        <w:tc>
          <w:tcPr>
            <w:tcW w:w="3870" w:type="dxa"/>
          </w:tcPr>
          <w:p w14:paraId="1E1980E3" w14:textId="77777777" w:rsidR="002D58E4" w:rsidRDefault="00F721D4">
            <w:pPr>
              <w:rPr>
                <w:sz w:val="20"/>
                <w:szCs w:val="20"/>
              </w:rPr>
            </w:pPr>
            <w:r>
              <w:rPr>
                <w:sz w:val="20"/>
                <w:szCs w:val="20"/>
              </w:rPr>
              <w:t xml:space="preserve">BioUD with 7.75% 2-undecanone showed statistically signiÞcant repellency (p=0.003; chi square test) compared with untreated controls against </w:t>
            </w:r>
            <w:r>
              <w:rPr>
                <w:i/>
                <w:sz w:val="20"/>
                <w:szCs w:val="20"/>
              </w:rPr>
              <w:t>D. variabilis</w:t>
            </w:r>
            <w:r>
              <w:rPr>
                <w:sz w:val="20"/>
                <w:szCs w:val="20"/>
              </w:rPr>
              <w:t xml:space="preserve"> 30 min after application. </w:t>
            </w:r>
          </w:p>
          <w:p w14:paraId="53724C2C" w14:textId="77777777" w:rsidR="002D58E4" w:rsidRDefault="002D58E4">
            <w:pPr>
              <w:rPr>
                <w:sz w:val="20"/>
                <w:szCs w:val="20"/>
              </w:rPr>
            </w:pPr>
          </w:p>
          <w:p w14:paraId="62E1074E" w14:textId="77777777" w:rsidR="002D58E4" w:rsidRDefault="00F721D4">
            <w:pPr>
              <w:rPr>
                <w:sz w:val="20"/>
                <w:szCs w:val="20"/>
              </w:rPr>
            </w:pPr>
            <w:r>
              <w:rPr>
                <w:sz w:val="20"/>
                <w:szCs w:val="20"/>
              </w:rPr>
              <w:t>BioUD repelled ticks at least 2.5 hours after application to human skin.</w:t>
            </w:r>
            <w:r>
              <w:rPr>
                <w:rFonts w:ascii="Highland-Roman" w:eastAsia="Highland-Roman" w:hAnsi="Highland-Roman" w:cs="Highland-Roman"/>
                <w:sz w:val="18"/>
                <w:szCs w:val="18"/>
              </w:rPr>
              <w:t xml:space="preserve"> </w:t>
            </w:r>
          </w:p>
        </w:tc>
      </w:tr>
      <w:tr w:rsidR="002D58E4" w14:paraId="77DAAC97" w14:textId="77777777" w:rsidTr="00E70FE5">
        <w:trPr>
          <w:trHeight w:val="3083"/>
        </w:trPr>
        <w:tc>
          <w:tcPr>
            <w:tcW w:w="1080" w:type="dxa"/>
          </w:tcPr>
          <w:p w14:paraId="153C320F" w14:textId="77777777" w:rsidR="002D58E4" w:rsidRDefault="00F721D4">
            <w:pPr>
              <w:rPr>
                <w:sz w:val="20"/>
                <w:szCs w:val="20"/>
              </w:rPr>
            </w:pPr>
            <w:r>
              <w:rPr>
                <w:sz w:val="20"/>
                <w:szCs w:val="20"/>
              </w:rPr>
              <w:t>Carroll, 2010</w:t>
            </w:r>
          </w:p>
          <w:p w14:paraId="4159173B" w14:textId="77777777" w:rsidR="002D58E4" w:rsidRDefault="002D58E4">
            <w:pPr>
              <w:rPr>
                <w:sz w:val="20"/>
                <w:szCs w:val="20"/>
              </w:rPr>
            </w:pPr>
          </w:p>
          <w:p w14:paraId="11DD0B9A" w14:textId="77777777" w:rsidR="002D58E4" w:rsidRDefault="00F721D4">
            <w:pPr>
              <w:rPr>
                <w:sz w:val="20"/>
                <w:szCs w:val="20"/>
              </w:rPr>
            </w:pPr>
            <w:r>
              <w:rPr>
                <w:sz w:val="20"/>
                <w:szCs w:val="20"/>
              </w:rPr>
              <w:t>USA</w:t>
            </w:r>
          </w:p>
        </w:tc>
        <w:tc>
          <w:tcPr>
            <w:tcW w:w="1080" w:type="dxa"/>
          </w:tcPr>
          <w:p w14:paraId="6812CC43" w14:textId="77777777" w:rsidR="002D58E4" w:rsidRDefault="00F721D4">
            <w:pPr>
              <w:rPr>
                <w:sz w:val="20"/>
                <w:szCs w:val="20"/>
              </w:rPr>
            </w:pPr>
            <w:r>
              <w:rPr>
                <w:sz w:val="20"/>
                <w:szCs w:val="20"/>
              </w:rPr>
              <w:t>Randomized laboratory study in humans</w:t>
            </w:r>
          </w:p>
        </w:tc>
        <w:tc>
          <w:tcPr>
            <w:tcW w:w="810" w:type="dxa"/>
          </w:tcPr>
          <w:p w14:paraId="343324D2" w14:textId="77777777" w:rsidR="002D58E4" w:rsidRDefault="00F721D4">
            <w:pPr>
              <w:rPr>
                <w:sz w:val="20"/>
                <w:szCs w:val="20"/>
              </w:rPr>
            </w:pPr>
            <w:r>
              <w:rPr>
                <w:sz w:val="20"/>
                <w:szCs w:val="20"/>
              </w:rPr>
              <w:t>Unclear risk of bias</w:t>
            </w:r>
          </w:p>
        </w:tc>
        <w:tc>
          <w:tcPr>
            <w:tcW w:w="1170" w:type="dxa"/>
          </w:tcPr>
          <w:p w14:paraId="29185725" w14:textId="77777777" w:rsidR="002D58E4" w:rsidRDefault="00F721D4">
            <w:pPr>
              <w:rPr>
                <w:i/>
                <w:sz w:val="20"/>
                <w:szCs w:val="20"/>
              </w:rPr>
            </w:pPr>
            <w:r>
              <w:rPr>
                <w:i/>
                <w:sz w:val="20"/>
                <w:szCs w:val="20"/>
              </w:rPr>
              <w:t>A. americanum</w:t>
            </w:r>
          </w:p>
          <w:p w14:paraId="25D3EB87" w14:textId="77777777" w:rsidR="002D58E4" w:rsidRDefault="002D58E4">
            <w:pPr>
              <w:rPr>
                <w:i/>
                <w:sz w:val="20"/>
                <w:szCs w:val="20"/>
                <w:u w:val="single"/>
              </w:rPr>
            </w:pPr>
          </w:p>
        </w:tc>
        <w:tc>
          <w:tcPr>
            <w:tcW w:w="2268" w:type="dxa"/>
          </w:tcPr>
          <w:p w14:paraId="4DFF5FA7" w14:textId="77777777" w:rsidR="002D58E4" w:rsidRDefault="00F721D4">
            <w:pPr>
              <w:rPr>
                <w:sz w:val="20"/>
                <w:szCs w:val="20"/>
              </w:rPr>
            </w:pPr>
            <w:r>
              <w:rPr>
                <w:sz w:val="20"/>
                <w:szCs w:val="20"/>
              </w:rPr>
              <w:t>17 volunteers (70 ticks per leg)</w:t>
            </w:r>
            <w:r>
              <w:t xml:space="preserve"> </w:t>
            </w:r>
            <w:r>
              <w:rPr>
                <w:sz w:val="20"/>
                <w:szCs w:val="20"/>
              </w:rPr>
              <w:t>were randomized to treatments; repellent was applied in a 5-cm-wide band encircling a volunteer’s lower leg. Nymphs were released on each volunteer’s ankle, and tick locations were recorded 10 min afterwards. Volunteers were challenged with ticks at each post-application time point (2, 4, 6, 8, 10, and 12 h).</w:t>
            </w:r>
          </w:p>
        </w:tc>
        <w:tc>
          <w:tcPr>
            <w:tcW w:w="1890" w:type="dxa"/>
          </w:tcPr>
          <w:p w14:paraId="590559B1" w14:textId="77777777" w:rsidR="002D58E4" w:rsidRDefault="00F721D4">
            <w:pPr>
              <w:rPr>
                <w:sz w:val="20"/>
                <w:szCs w:val="20"/>
              </w:rPr>
            </w:pPr>
            <w:r>
              <w:rPr>
                <w:sz w:val="20"/>
                <w:szCs w:val="20"/>
              </w:rPr>
              <w:t xml:space="preserve">• </w:t>
            </w:r>
            <w:r>
              <w:rPr>
                <w:b/>
                <w:sz w:val="20"/>
                <w:szCs w:val="20"/>
              </w:rPr>
              <w:t>DEET 33%</w:t>
            </w:r>
            <w:r>
              <w:rPr>
                <w:sz w:val="20"/>
                <w:szCs w:val="20"/>
              </w:rPr>
              <w:t xml:space="preserve"> cream, </w:t>
            </w:r>
          </w:p>
          <w:p w14:paraId="3D4EB4D7" w14:textId="77777777" w:rsidR="002D58E4" w:rsidRDefault="00F721D4">
            <w:pPr>
              <w:rPr>
                <w:sz w:val="20"/>
                <w:szCs w:val="20"/>
              </w:rPr>
            </w:pPr>
            <w:r>
              <w:rPr>
                <w:sz w:val="20"/>
                <w:szCs w:val="20"/>
              </w:rPr>
              <w:t xml:space="preserve">• </w:t>
            </w:r>
            <w:r>
              <w:rPr>
                <w:b/>
                <w:sz w:val="20"/>
                <w:szCs w:val="20"/>
              </w:rPr>
              <w:t>Picaridin 20%</w:t>
            </w:r>
            <w:r>
              <w:rPr>
                <w:sz w:val="20"/>
                <w:szCs w:val="20"/>
              </w:rPr>
              <w:t xml:space="preserve"> (lotion and spray), and </w:t>
            </w:r>
          </w:p>
          <w:p w14:paraId="0F7C7845" w14:textId="77777777" w:rsidR="002D58E4" w:rsidRDefault="00F721D4">
            <w:pPr>
              <w:rPr>
                <w:sz w:val="20"/>
                <w:szCs w:val="20"/>
              </w:rPr>
            </w:pPr>
            <w:r>
              <w:rPr>
                <w:sz w:val="20"/>
                <w:szCs w:val="20"/>
              </w:rPr>
              <w:t xml:space="preserve">• </w:t>
            </w:r>
            <w:r>
              <w:rPr>
                <w:b/>
                <w:sz w:val="20"/>
                <w:szCs w:val="20"/>
              </w:rPr>
              <w:t>IR3535</w:t>
            </w:r>
            <w:r>
              <w:rPr>
                <w:sz w:val="20"/>
                <w:szCs w:val="20"/>
              </w:rPr>
              <w:t xml:space="preserve"> </w:t>
            </w:r>
            <w:r>
              <w:rPr>
                <w:b/>
                <w:sz w:val="20"/>
                <w:szCs w:val="20"/>
              </w:rPr>
              <w:t>10%</w:t>
            </w:r>
            <w:r>
              <w:rPr>
                <w:sz w:val="20"/>
                <w:szCs w:val="20"/>
              </w:rPr>
              <w:t xml:space="preserve"> (lotion) and </w:t>
            </w:r>
            <w:r>
              <w:rPr>
                <w:b/>
                <w:sz w:val="20"/>
                <w:szCs w:val="20"/>
              </w:rPr>
              <w:t>20%</w:t>
            </w:r>
            <w:r>
              <w:rPr>
                <w:sz w:val="20"/>
                <w:szCs w:val="20"/>
              </w:rPr>
              <w:t xml:space="preserve"> (spray)</w:t>
            </w:r>
          </w:p>
          <w:p w14:paraId="351EB294" w14:textId="77777777" w:rsidR="002D58E4" w:rsidRDefault="002D58E4">
            <w:pPr>
              <w:rPr>
                <w:sz w:val="20"/>
                <w:szCs w:val="20"/>
              </w:rPr>
            </w:pPr>
          </w:p>
          <w:p w14:paraId="75B5A47D" w14:textId="77777777" w:rsidR="002D58E4" w:rsidRDefault="00F721D4">
            <w:pPr>
              <w:numPr>
                <w:ilvl w:val="0"/>
                <w:numId w:val="31"/>
              </w:numPr>
              <w:pBdr>
                <w:top w:val="nil"/>
                <w:left w:val="nil"/>
                <w:bottom w:val="nil"/>
                <w:right w:val="nil"/>
                <w:between w:val="nil"/>
              </w:pBdr>
              <w:tabs>
                <w:tab w:val="left" w:pos="326"/>
              </w:tabs>
              <w:spacing w:after="200" w:line="276" w:lineRule="auto"/>
              <w:ind w:left="167" w:hanging="167"/>
              <w:rPr>
                <w:b/>
                <w:color w:val="000000"/>
                <w:sz w:val="20"/>
                <w:szCs w:val="20"/>
              </w:rPr>
            </w:pPr>
            <w:r>
              <w:rPr>
                <w:color w:val="000000"/>
                <w:sz w:val="20"/>
                <w:szCs w:val="20"/>
              </w:rPr>
              <w:t>Because there was no carrier common to all the repellent formulations, the control was bare skin</w:t>
            </w:r>
          </w:p>
        </w:tc>
        <w:tc>
          <w:tcPr>
            <w:tcW w:w="2250" w:type="dxa"/>
          </w:tcPr>
          <w:p w14:paraId="54744F9D" w14:textId="77777777" w:rsidR="002D58E4" w:rsidRDefault="00F721D4">
            <w:pPr>
              <w:rPr>
                <w:sz w:val="20"/>
                <w:szCs w:val="20"/>
              </w:rPr>
            </w:pPr>
            <w:r>
              <w:rPr>
                <w:b/>
                <w:sz w:val="20"/>
                <w:szCs w:val="20"/>
              </w:rPr>
              <w:t xml:space="preserve">Proportion of ticks </w:t>
            </w:r>
            <w:r>
              <w:rPr>
                <w:b/>
                <w:sz w:val="20"/>
                <w:szCs w:val="20"/>
                <w:u w:val="single"/>
              </w:rPr>
              <w:t xml:space="preserve">not </w:t>
            </w:r>
            <w:r>
              <w:rPr>
                <w:b/>
                <w:sz w:val="20"/>
                <w:szCs w:val="20"/>
              </w:rPr>
              <w:t>repelled</w:t>
            </w:r>
            <w:r>
              <w:rPr>
                <w:sz w:val="20"/>
                <w:szCs w:val="20"/>
              </w:rPr>
              <w:t xml:space="preserve"> (i.e., those that completely crossed the 5-cm-wide band) and the proportion of ticks that dropped off the subject.</w:t>
            </w:r>
          </w:p>
        </w:tc>
        <w:tc>
          <w:tcPr>
            <w:tcW w:w="3870" w:type="dxa"/>
          </w:tcPr>
          <w:p w14:paraId="0D1F0BC9" w14:textId="77777777" w:rsidR="002D58E4" w:rsidRDefault="00F721D4">
            <w:pPr>
              <w:rPr>
                <w:sz w:val="20"/>
                <w:szCs w:val="20"/>
              </w:rPr>
            </w:pPr>
            <w:r>
              <w:rPr>
                <w:sz w:val="20"/>
                <w:szCs w:val="20"/>
              </w:rPr>
              <w:t xml:space="preserve">For </w:t>
            </w:r>
            <w:r>
              <w:rPr>
                <w:b/>
                <w:sz w:val="20"/>
                <w:szCs w:val="20"/>
              </w:rPr>
              <w:t>all formulations</w:t>
            </w:r>
            <w:r>
              <w:rPr>
                <w:sz w:val="20"/>
                <w:szCs w:val="20"/>
              </w:rPr>
              <w:t xml:space="preserve"> and time points, </w:t>
            </w:r>
            <w:r>
              <w:rPr>
                <w:b/>
                <w:sz w:val="20"/>
                <w:szCs w:val="20"/>
              </w:rPr>
              <w:t xml:space="preserve">significantly fewer (all </w:t>
            </w:r>
            <w:r>
              <w:rPr>
                <w:b/>
                <w:i/>
                <w:sz w:val="20"/>
                <w:szCs w:val="20"/>
              </w:rPr>
              <w:t xml:space="preserve">P </w:t>
            </w:r>
            <w:r>
              <w:rPr>
                <w:b/>
                <w:sz w:val="20"/>
                <w:szCs w:val="20"/>
              </w:rPr>
              <w:t>&lt;0.0001) nymphs crossed the treatment bands</w:t>
            </w:r>
            <w:r>
              <w:rPr>
                <w:sz w:val="20"/>
                <w:szCs w:val="20"/>
              </w:rPr>
              <w:t xml:space="preserve"> than the untreated control.  </w:t>
            </w:r>
          </w:p>
          <w:p w14:paraId="7B13D803" w14:textId="77777777" w:rsidR="002D58E4" w:rsidRDefault="00F721D4">
            <w:pPr>
              <w:rPr>
                <w:sz w:val="20"/>
                <w:szCs w:val="20"/>
              </w:rPr>
            </w:pPr>
            <w:r>
              <w:rPr>
                <w:b/>
                <w:sz w:val="20"/>
                <w:szCs w:val="20"/>
              </w:rPr>
              <w:t>Formulations containing ≥20% active ingredient were highly effective</w:t>
            </w:r>
            <w:r>
              <w:rPr>
                <w:sz w:val="20"/>
                <w:szCs w:val="20"/>
              </w:rPr>
              <w:t xml:space="preserve">, with &lt;6% of the ticks crossing through the treatment bands during the 12 h (for 20% picaridin lotion and 33% DEET it was ~1%). There was no significant difference in effectiveness between the 20% spray and 20% lotion formulations of picaridin. </w:t>
            </w:r>
          </w:p>
          <w:p w14:paraId="4352DB8F" w14:textId="77777777" w:rsidR="002D58E4" w:rsidRDefault="00F721D4">
            <w:pPr>
              <w:rPr>
                <w:sz w:val="20"/>
                <w:szCs w:val="20"/>
              </w:rPr>
            </w:pPr>
            <w:r>
              <w:rPr>
                <w:sz w:val="20"/>
                <w:szCs w:val="20"/>
              </w:rPr>
              <w:t xml:space="preserve">The proportions of ticks not repelled by 20% picaridin lotion and 33% DEET were significantly lower than that of 20% IR3535 spray. </w:t>
            </w:r>
          </w:p>
          <w:p w14:paraId="5CBDC926" w14:textId="77777777" w:rsidR="002D58E4" w:rsidRDefault="00F721D4">
            <w:pPr>
              <w:rPr>
                <w:sz w:val="20"/>
                <w:szCs w:val="20"/>
              </w:rPr>
            </w:pPr>
            <w:r>
              <w:rPr>
                <w:sz w:val="20"/>
                <w:szCs w:val="20"/>
              </w:rPr>
              <w:t>The 10% IR3535 lotion was significantly less effective than the formulations with higher concentrations of repellent.</w:t>
            </w:r>
          </w:p>
        </w:tc>
      </w:tr>
      <w:tr w:rsidR="002D58E4" w14:paraId="75F0AF16" w14:textId="77777777" w:rsidTr="00E70FE5">
        <w:trPr>
          <w:trHeight w:val="3083"/>
        </w:trPr>
        <w:tc>
          <w:tcPr>
            <w:tcW w:w="1080" w:type="dxa"/>
          </w:tcPr>
          <w:p w14:paraId="1B1C0B61" w14:textId="77777777" w:rsidR="002D58E4" w:rsidRDefault="00F721D4">
            <w:pPr>
              <w:rPr>
                <w:sz w:val="20"/>
                <w:szCs w:val="20"/>
              </w:rPr>
            </w:pPr>
            <w:r>
              <w:rPr>
                <w:sz w:val="20"/>
                <w:szCs w:val="20"/>
              </w:rPr>
              <w:lastRenderedPageBreak/>
              <w:t>Bissinger, 2011</w:t>
            </w:r>
          </w:p>
          <w:p w14:paraId="1DED38B8" w14:textId="77777777" w:rsidR="002D58E4" w:rsidRDefault="002D58E4">
            <w:pPr>
              <w:rPr>
                <w:sz w:val="20"/>
                <w:szCs w:val="20"/>
              </w:rPr>
            </w:pPr>
          </w:p>
          <w:p w14:paraId="30A5B254" w14:textId="77777777" w:rsidR="002D58E4" w:rsidRDefault="00F721D4">
            <w:pPr>
              <w:rPr>
                <w:sz w:val="20"/>
                <w:szCs w:val="20"/>
              </w:rPr>
            </w:pPr>
            <w:r>
              <w:rPr>
                <w:sz w:val="20"/>
                <w:szCs w:val="20"/>
              </w:rPr>
              <w:t>NC, USA</w:t>
            </w:r>
          </w:p>
        </w:tc>
        <w:tc>
          <w:tcPr>
            <w:tcW w:w="1080" w:type="dxa"/>
          </w:tcPr>
          <w:p w14:paraId="5FB6FEEE" w14:textId="77777777" w:rsidR="002D58E4" w:rsidRDefault="00F721D4">
            <w:pPr>
              <w:rPr>
                <w:sz w:val="20"/>
                <w:szCs w:val="20"/>
              </w:rPr>
            </w:pPr>
            <w:r>
              <w:rPr>
                <w:sz w:val="20"/>
                <w:szCs w:val="20"/>
              </w:rPr>
              <w:t>Randomized field tests in humans (sock test)</w:t>
            </w:r>
          </w:p>
        </w:tc>
        <w:tc>
          <w:tcPr>
            <w:tcW w:w="810" w:type="dxa"/>
          </w:tcPr>
          <w:p w14:paraId="0A5ED611" w14:textId="77777777" w:rsidR="002D58E4" w:rsidRDefault="00F721D4">
            <w:pPr>
              <w:rPr>
                <w:sz w:val="20"/>
                <w:szCs w:val="20"/>
              </w:rPr>
            </w:pPr>
            <w:r>
              <w:rPr>
                <w:sz w:val="20"/>
                <w:szCs w:val="20"/>
              </w:rPr>
              <w:t>Unclear risk of bias</w:t>
            </w:r>
          </w:p>
        </w:tc>
        <w:tc>
          <w:tcPr>
            <w:tcW w:w="1170" w:type="dxa"/>
          </w:tcPr>
          <w:p w14:paraId="73470956" w14:textId="77777777" w:rsidR="002D58E4" w:rsidRDefault="00F721D4">
            <w:pPr>
              <w:rPr>
                <w:i/>
                <w:sz w:val="20"/>
                <w:szCs w:val="20"/>
                <w:u w:val="single"/>
              </w:rPr>
            </w:pPr>
            <w:r>
              <w:rPr>
                <w:i/>
                <w:sz w:val="20"/>
                <w:szCs w:val="20"/>
                <w:u w:val="single"/>
              </w:rPr>
              <w:t>A. americanum</w:t>
            </w:r>
          </w:p>
        </w:tc>
        <w:tc>
          <w:tcPr>
            <w:tcW w:w="2268" w:type="dxa"/>
          </w:tcPr>
          <w:p w14:paraId="073E2D2B" w14:textId="77777777" w:rsidR="002D58E4" w:rsidRDefault="00F721D4">
            <w:pPr>
              <w:rPr>
                <w:sz w:val="20"/>
                <w:szCs w:val="20"/>
              </w:rPr>
            </w:pPr>
            <w:r>
              <w:rPr>
                <w:sz w:val="20"/>
                <w:szCs w:val="20"/>
              </w:rPr>
              <w:t>4 volunteers walked randomly over a 4000 m</w:t>
            </w:r>
            <w:r>
              <w:rPr>
                <w:sz w:val="20"/>
                <w:szCs w:val="20"/>
                <w:vertAlign w:val="superscript"/>
              </w:rPr>
              <w:t>2</w:t>
            </w:r>
            <w:r>
              <w:rPr>
                <w:sz w:val="20"/>
                <w:szCs w:val="20"/>
              </w:rPr>
              <w:t xml:space="preserve"> area at a slow pace for 15 min. Experiment was repeated 3-4x per day, with each repellent being assessed in 3 particpants per day. Treatments were randomized, then reassigned each day; untreated sock on the other leg served as control.</w:t>
            </w:r>
          </w:p>
        </w:tc>
        <w:tc>
          <w:tcPr>
            <w:tcW w:w="1890" w:type="dxa"/>
          </w:tcPr>
          <w:p w14:paraId="77578716" w14:textId="77777777" w:rsidR="002D58E4" w:rsidRDefault="00F721D4">
            <w:pPr>
              <w:numPr>
                <w:ilvl w:val="0"/>
                <w:numId w:val="31"/>
              </w:numPr>
              <w:pBdr>
                <w:top w:val="nil"/>
                <w:left w:val="nil"/>
                <w:bottom w:val="nil"/>
                <w:right w:val="nil"/>
                <w:between w:val="nil"/>
              </w:pBdr>
              <w:tabs>
                <w:tab w:val="left" w:pos="326"/>
              </w:tabs>
              <w:spacing w:line="276" w:lineRule="auto"/>
              <w:ind w:left="167" w:hanging="167"/>
              <w:rPr>
                <w:color w:val="000000"/>
                <w:sz w:val="20"/>
                <w:szCs w:val="20"/>
              </w:rPr>
            </w:pPr>
            <w:r>
              <w:rPr>
                <w:b/>
                <w:color w:val="000000"/>
                <w:sz w:val="20"/>
                <w:szCs w:val="20"/>
              </w:rPr>
              <w:t xml:space="preserve">BioUD </w:t>
            </w:r>
            <w:r>
              <w:rPr>
                <w:color w:val="000000"/>
                <w:sz w:val="20"/>
                <w:szCs w:val="20"/>
              </w:rPr>
              <w:t>(7.75% 2-undecanone)</w:t>
            </w:r>
          </w:p>
          <w:p w14:paraId="73E6473B" w14:textId="77777777" w:rsidR="002D58E4" w:rsidRDefault="00F721D4">
            <w:pPr>
              <w:numPr>
                <w:ilvl w:val="0"/>
                <w:numId w:val="31"/>
              </w:numPr>
              <w:pBdr>
                <w:top w:val="nil"/>
                <w:left w:val="nil"/>
                <w:bottom w:val="nil"/>
                <w:right w:val="nil"/>
                <w:between w:val="nil"/>
              </w:pBdr>
              <w:spacing w:line="276" w:lineRule="auto"/>
              <w:ind w:left="167" w:hanging="167"/>
              <w:rPr>
                <w:color w:val="000000"/>
                <w:sz w:val="20"/>
                <w:szCs w:val="20"/>
              </w:rPr>
            </w:pPr>
            <w:r>
              <w:rPr>
                <w:b/>
                <w:color w:val="000000"/>
                <w:sz w:val="20"/>
                <w:szCs w:val="20"/>
              </w:rPr>
              <w:t>DEET</w:t>
            </w:r>
            <w:r>
              <w:rPr>
                <w:color w:val="000000"/>
                <w:sz w:val="20"/>
                <w:szCs w:val="20"/>
              </w:rPr>
              <w:t xml:space="preserve"> (98.1%)</w:t>
            </w:r>
          </w:p>
          <w:p w14:paraId="6447A688" w14:textId="77777777" w:rsidR="002D58E4" w:rsidRDefault="00F721D4">
            <w:pPr>
              <w:numPr>
                <w:ilvl w:val="0"/>
                <w:numId w:val="31"/>
              </w:numPr>
              <w:pBdr>
                <w:top w:val="nil"/>
                <w:left w:val="nil"/>
                <w:bottom w:val="nil"/>
                <w:right w:val="nil"/>
                <w:between w:val="nil"/>
              </w:pBdr>
              <w:spacing w:line="276" w:lineRule="auto"/>
              <w:ind w:left="167" w:hanging="167"/>
              <w:rPr>
                <w:color w:val="000000"/>
                <w:sz w:val="20"/>
                <w:szCs w:val="20"/>
              </w:rPr>
            </w:pPr>
            <w:r>
              <w:rPr>
                <w:b/>
                <w:color w:val="000000"/>
                <w:sz w:val="20"/>
                <w:szCs w:val="20"/>
              </w:rPr>
              <w:t>Permethrin</w:t>
            </w:r>
            <w:r>
              <w:rPr>
                <w:color w:val="000000"/>
                <w:sz w:val="20"/>
                <w:szCs w:val="20"/>
              </w:rPr>
              <w:t xml:space="preserve"> (0.5%)</w:t>
            </w:r>
          </w:p>
          <w:p w14:paraId="2BCC923D" w14:textId="77777777" w:rsidR="002D58E4" w:rsidRDefault="00F721D4">
            <w:pPr>
              <w:numPr>
                <w:ilvl w:val="0"/>
                <w:numId w:val="31"/>
              </w:numPr>
              <w:pBdr>
                <w:top w:val="nil"/>
                <w:left w:val="nil"/>
                <w:bottom w:val="nil"/>
                <w:right w:val="nil"/>
                <w:between w:val="nil"/>
              </w:pBdr>
              <w:spacing w:after="200" w:line="276" w:lineRule="auto"/>
              <w:ind w:left="167" w:hanging="167"/>
              <w:rPr>
                <w:color w:val="000000"/>
                <w:sz w:val="20"/>
                <w:szCs w:val="20"/>
              </w:rPr>
            </w:pPr>
            <w:r>
              <w:rPr>
                <w:b/>
                <w:color w:val="000000"/>
                <w:sz w:val="20"/>
                <w:szCs w:val="20"/>
              </w:rPr>
              <w:t xml:space="preserve">“Carrier” </w:t>
            </w:r>
            <w:r>
              <w:rPr>
                <w:color w:val="000000"/>
                <w:sz w:val="20"/>
                <w:szCs w:val="20"/>
              </w:rPr>
              <w:t>(control solvent) on the other leg</w:t>
            </w:r>
          </w:p>
        </w:tc>
        <w:tc>
          <w:tcPr>
            <w:tcW w:w="2250" w:type="dxa"/>
          </w:tcPr>
          <w:p w14:paraId="6212F80A" w14:textId="77777777" w:rsidR="002D58E4" w:rsidRDefault="00F721D4">
            <w:pPr>
              <w:rPr>
                <w:sz w:val="20"/>
                <w:szCs w:val="20"/>
              </w:rPr>
            </w:pPr>
            <w:r>
              <w:rPr>
                <w:sz w:val="20"/>
                <w:szCs w:val="20"/>
              </w:rPr>
              <w:t>N of ticks crossing the upper sock barrier and N of ticks on socks;</w:t>
            </w:r>
          </w:p>
          <w:p w14:paraId="0CC27539" w14:textId="77777777" w:rsidR="002D58E4" w:rsidRDefault="002D58E4">
            <w:pPr>
              <w:rPr>
                <w:sz w:val="20"/>
                <w:szCs w:val="20"/>
              </w:rPr>
            </w:pPr>
          </w:p>
          <w:p w14:paraId="1B17BA2A" w14:textId="77777777" w:rsidR="002D58E4" w:rsidRDefault="00F721D4">
            <w:pPr>
              <w:rPr>
                <w:sz w:val="20"/>
                <w:szCs w:val="20"/>
              </w:rPr>
            </w:pPr>
            <w:r>
              <w:rPr>
                <w:b/>
                <w:sz w:val="20"/>
                <w:szCs w:val="20"/>
              </w:rPr>
              <w:t>Repellency (%)</w:t>
            </w:r>
            <w:r>
              <w:rPr>
                <w:i/>
                <w:sz w:val="20"/>
                <w:szCs w:val="20"/>
              </w:rPr>
              <w:t xml:space="preserve"> </w:t>
            </w:r>
            <w:r>
              <w:rPr>
                <w:sz w:val="20"/>
                <w:szCs w:val="20"/>
              </w:rPr>
              <w:t>was calculated as: [(control count -treatment count)/ control count] * 100.</w:t>
            </w:r>
          </w:p>
        </w:tc>
        <w:tc>
          <w:tcPr>
            <w:tcW w:w="3870" w:type="dxa"/>
          </w:tcPr>
          <w:p w14:paraId="784DA868" w14:textId="77777777" w:rsidR="002D58E4" w:rsidRDefault="00F721D4">
            <w:pPr>
              <w:rPr>
                <w:b/>
                <w:sz w:val="20"/>
                <w:szCs w:val="20"/>
              </w:rPr>
            </w:pPr>
            <w:r>
              <w:rPr>
                <w:sz w:val="20"/>
                <w:szCs w:val="20"/>
              </w:rPr>
              <w:t xml:space="preserve">Significantly fewer ticks were collected from socks treated with BioUD® or DEET than from socks treated with the carrier and </w:t>
            </w:r>
            <w:r>
              <w:rPr>
                <w:b/>
                <w:sz w:val="20"/>
                <w:szCs w:val="20"/>
              </w:rPr>
              <w:t xml:space="preserve">there was no significant difference in repellency between these two agents. </w:t>
            </w:r>
          </w:p>
          <w:p w14:paraId="5642A51A" w14:textId="77777777" w:rsidR="002D58E4" w:rsidRDefault="002D58E4">
            <w:pPr>
              <w:rPr>
                <w:sz w:val="20"/>
                <w:szCs w:val="20"/>
              </w:rPr>
            </w:pPr>
          </w:p>
          <w:p w14:paraId="55C4B215" w14:textId="77777777" w:rsidR="002D58E4" w:rsidRDefault="00F721D4">
            <w:pPr>
              <w:rPr>
                <w:sz w:val="20"/>
                <w:szCs w:val="20"/>
              </w:rPr>
            </w:pPr>
            <w:r>
              <w:rPr>
                <w:sz w:val="20"/>
                <w:szCs w:val="20"/>
              </w:rPr>
              <w:t>No difference in the mean number of ticks collected was found between permethrin-treated and corresponding carrier-treated socks.</w:t>
            </w:r>
          </w:p>
        </w:tc>
      </w:tr>
      <w:tr w:rsidR="002D58E4" w14:paraId="0BE157C7" w14:textId="77777777" w:rsidTr="00E70FE5">
        <w:tc>
          <w:tcPr>
            <w:tcW w:w="1080" w:type="dxa"/>
          </w:tcPr>
          <w:p w14:paraId="2D79C891" w14:textId="77777777" w:rsidR="002D58E4" w:rsidRDefault="00F721D4">
            <w:pPr>
              <w:rPr>
                <w:sz w:val="20"/>
                <w:szCs w:val="20"/>
              </w:rPr>
            </w:pPr>
            <w:r>
              <w:rPr>
                <w:sz w:val="20"/>
                <w:szCs w:val="20"/>
              </w:rPr>
              <w:t>Jordan, 2012</w:t>
            </w:r>
          </w:p>
          <w:p w14:paraId="341039F8" w14:textId="77777777" w:rsidR="002D58E4" w:rsidRDefault="002D58E4">
            <w:pPr>
              <w:rPr>
                <w:sz w:val="20"/>
                <w:szCs w:val="20"/>
              </w:rPr>
            </w:pPr>
          </w:p>
          <w:p w14:paraId="6D8CAA05" w14:textId="77777777" w:rsidR="002D58E4" w:rsidRDefault="00F721D4">
            <w:pPr>
              <w:rPr>
                <w:sz w:val="20"/>
                <w:szCs w:val="20"/>
              </w:rPr>
            </w:pPr>
            <w:r>
              <w:rPr>
                <w:sz w:val="20"/>
                <w:szCs w:val="20"/>
              </w:rPr>
              <w:t>NJ, USA</w:t>
            </w:r>
          </w:p>
        </w:tc>
        <w:tc>
          <w:tcPr>
            <w:tcW w:w="1080" w:type="dxa"/>
          </w:tcPr>
          <w:p w14:paraId="4863743B" w14:textId="77777777" w:rsidR="002D58E4" w:rsidRDefault="00F721D4">
            <w:pPr>
              <w:rPr>
                <w:sz w:val="20"/>
                <w:szCs w:val="20"/>
              </w:rPr>
            </w:pPr>
            <w:r>
              <w:rPr>
                <w:sz w:val="20"/>
                <w:szCs w:val="20"/>
              </w:rPr>
              <w:t>Randomized field tests in humans</w:t>
            </w:r>
          </w:p>
        </w:tc>
        <w:tc>
          <w:tcPr>
            <w:tcW w:w="810" w:type="dxa"/>
          </w:tcPr>
          <w:p w14:paraId="2A6EE35C" w14:textId="77777777" w:rsidR="002D58E4" w:rsidRDefault="00F721D4">
            <w:pPr>
              <w:rPr>
                <w:sz w:val="20"/>
                <w:szCs w:val="20"/>
              </w:rPr>
            </w:pPr>
            <w:r>
              <w:rPr>
                <w:sz w:val="20"/>
                <w:szCs w:val="20"/>
              </w:rPr>
              <w:t>High risk of bias</w:t>
            </w:r>
          </w:p>
        </w:tc>
        <w:tc>
          <w:tcPr>
            <w:tcW w:w="1170" w:type="dxa"/>
          </w:tcPr>
          <w:p w14:paraId="7B1517C9" w14:textId="77777777" w:rsidR="002D58E4" w:rsidRDefault="00F721D4">
            <w:pPr>
              <w:rPr>
                <w:i/>
                <w:sz w:val="20"/>
                <w:szCs w:val="20"/>
              </w:rPr>
            </w:pPr>
            <w:r>
              <w:rPr>
                <w:i/>
                <w:sz w:val="20"/>
                <w:szCs w:val="20"/>
              </w:rPr>
              <w:t>I. scapularis,  A. americanum</w:t>
            </w:r>
          </w:p>
          <w:p w14:paraId="733E7247" w14:textId="77777777" w:rsidR="002D58E4" w:rsidRDefault="002D58E4">
            <w:pPr>
              <w:rPr>
                <w:i/>
                <w:sz w:val="20"/>
                <w:szCs w:val="20"/>
              </w:rPr>
            </w:pPr>
          </w:p>
        </w:tc>
        <w:tc>
          <w:tcPr>
            <w:tcW w:w="2268" w:type="dxa"/>
          </w:tcPr>
          <w:p w14:paraId="3DB2FC2A" w14:textId="77777777" w:rsidR="002D58E4" w:rsidRDefault="00F721D4">
            <w:pPr>
              <w:rPr>
                <w:sz w:val="20"/>
                <w:szCs w:val="20"/>
              </w:rPr>
            </w:pPr>
            <w:r>
              <w:rPr>
                <w:sz w:val="20"/>
                <w:szCs w:val="20"/>
              </w:rPr>
              <w:t>“Observers” (3 study authors) with randomly assigned coveralls were slowly walking through forested areas and counting ticks encountered and dropped</w:t>
            </w:r>
          </w:p>
        </w:tc>
        <w:tc>
          <w:tcPr>
            <w:tcW w:w="1890" w:type="dxa"/>
          </w:tcPr>
          <w:p w14:paraId="1680A02A" w14:textId="77777777" w:rsidR="002D58E4" w:rsidRDefault="00F721D4">
            <w:pPr>
              <w:rPr>
                <w:sz w:val="20"/>
                <w:szCs w:val="20"/>
              </w:rPr>
            </w:pPr>
            <w:r>
              <w:rPr>
                <w:sz w:val="20"/>
                <w:szCs w:val="20"/>
              </w:rPr>
              <w:t>Coveralls treated with:</w:t>
            </w:r>
          </w:p>
          <w:p w14:paraId="5F8D3AFB" w14:textId="77777777" w:rsidR="002D58E4" w:rsidRDefault="00F721D4">
            <w:pPr>
              <w:rPr>
                <w:sz w:val="20"/>
                <w:szCs w:val="20"/>
              </w:rPr>
            </w:pPr>
            <w:r>
              <w:rPr>
                <w:sz w:val="20"/>
                <w:szCs w:val="20"/>
              </w:rPr>
              <w:t xml:space="preserve">• </w:t>
            </w:r>
            <w:r>
              <w:rPr>
                <w:b/>
                <w:sz w:val="20"/>
                <w:szCs w:val="20"/>
              </w:rPr>
              <w:t>Nootkatone</w:t>
            </w:r>
            <w:r>
              <w:rPr>
                <w:sz w:val="20"/>
                <w:szCs w:val="20"/>
              </w:rPr>
              <w:t xml:space="preserve">, </w:t>
            </w:r>
          </w:p>
          <w:p w14:paraId="481C9336" w14:textId="77777777" w:rsidR="002D58E4" w:rsidRDefault="00F721D4">
            <w:pPr>
              <w:rPr>
                <w:sz w:val="20"/>
                <w:szCs w:val="20"/>
              </w:rPr>
            </w:pPr>
            <w:r>
              <w:rPr>
                <w:sz w:val="20"/>
                <w:szCs w:val="20"/>
              </w:rPr>
              <w:t xml:space="preserve">• </w:t>
            </w:r>
            <w:r>
              <w:rPr>
                <w:b/>
                <w:sz w:val="20"/>
                <w:szCs w:val="20"/>
              </w:rPr>
              <w:t>Carvacrol</w:t>
            </w:r>
            <w:r>
              <w:rPr>
                <w:sz w:val="20"/>
                <w:szCs w:val="20"/>
              </w:rPr>
              <w:t xml:space="preserve">, </w:t>
            </w:r>
          </w:p>
          <w:p w14:paraId="0B486B44" w14:textId="77777777" w:rsidR="002D58E4" w:rsidRDefault="00F721D4">
            <w:pPr>
              <w:rPr>
                <w:sz w:val="20"/>
                <w:szCs w:val="20"/>
              </w:rPr>
            </w:pPr>
            <w:r>
              <w:rPr>
                <w:sz w:val="20"/>
                <w:szCs w:val="20"/>
              </w:rPr>
              <w:t xml:space="preserve">• </w:t>
            </w:r>
            <w:r>
              <w:rPr>
                <w:b/>
                <w:sz w:val="20"/>
                <w:szCs w:val="20"/>
              </w:rPr>
              <w:t xml:space="preserve">EcoSMART organic insect repellent </w:t>
            </w:r>
            <w:r>
              <w:rPr>
                <w:sz w:val="20"/>
                <w:szCs w:val="20"/>
              </w:rPr>
              <w:t>(rosemary, cinnamon leaf, and lemongrass oils (all 0.5%) and geraniol (1.0%)) in solution with other ingredients (isopropyl alcohol, isopropyl myristate, and wintergreen oil),</w:t>
            </w:r>
          </w:p>
          <w:p w14:paraId="7447D1B6" w14:textId="77777777" w:rsidR="002D58E4" w:rsidRDefault="00F721D4">
            <w:pPr>
              <w:rPr>
                <w:sz w:val="20"/>
                <w:szCs w:val="20"/>
              </w:rPr>
            </w:pPr>
            <w:r>
              <w:rPr>
                <w:sz w:val="20"/>
                <w:szCs w:val="20"/>
              </w:rPr>
              <w:t xml:space="preserve">• Commercial </w:t>
            </w:r>
            <w:r>
              <w:rPr>
                <w:b/>
                <w:sz w:val="20"/>
                <w:szCs w:val="20"/>
              </w:rPr>
              <w:t>permethrin</w:t>
            </w:r>
            <w:r>
              <w:rPr>
                <w:sz w:val="20"/>
                <w:szCs w:val="20"/>
              </w:rPr>
              <w:t>-based clothing repellent (</w:t>
            </w:r>
            <w:r>
              <w:rPr>
                <w:b/>
                <w:sz w:val="20"/>
                <w:szCs w:val="20"/>
              </w:rPr>
              <w:t>Repel Permanone)</w:t>
            </w:r>
            <w:r>
              <w:rPr>
                <w:sz w:val="20"/>
                <w:szCs w:val="20"/>
              </w:rPr>
              <w:t>,</w:t>
            </w:r>
          </w:p>
          <w:p w14:paraId="0245344C" w14:textId="77777777" w:rsidR="002D58E4" w:rsidRDefault="00F721D4">
            <w:pPr>
              <w:rPr>
                <w:sz w:val="20"/>
                <w:szCs w:val="20"/>
              </w:rPr>
            </w:pPr>
            <w:r>
              <w:rPr>
                <w:sz w:val="20"/>
                <w:szCs w:val="20"/>
              </w:rPr>
              <w:t xml:space="preserve">• or left </w:t>
            </w:r>
            <w:r>
              <w:rPr>
                <w:b/>
                <w:sz w:val="20"/>
                <w:szCs w:val="20"/>
              </w:rPr>
              <w:t>UNTREATED.</w:t>
            </w:r>
          </w:p>
        </w:tc>
        <w:tc>
          <w:tcPr>
            <w:tcW w:w="2250" w:type="dxa"/>
          </w:tcPr>
          <w:p w14:paraId="33F400C8" w14:textId="77777777" w:rsidR="002D58E4" w:rsidRDefault="00F721D4">
            <w:pPr>
              <w:rPr>
                <w:sz w:val="20"/>
                <w:szCs w:val="20"/>
              </w:rPr>
            </w:pPr>
            <w:r>
              <w:rPr>
                <w:sz w:val="20"/>
                <w:szCs w:val="20"/>
              </w:rPr>
              <w:t xml:space="preserve">Tick count every 10 meters and timing of tick drop-off; </w:t>
            </w:r>
          </w:p>
          <w:p w14:paraId="32CEC2D7" w14:textId="77777777" w:rsidR="002D58E4" w:rsidRDefault="002D58E4">
            <w:pPr>
              <w:rPr>
                <w:sz w:val="20"/>
                <w:szCs w:val="20"/>
              </w:rPr>
            </w:pPr>
          </w:p>
          <w:p w14:paraId="411575D7" w14:textId="77777777" w:rsidR="002D58E4" w:rsidRDefault="00F721D4">
            <w:pPr>
              <w:rPr>
                <w:sz w:val="20"/>
                <w:szCs w:val="20"/>
              </w:rPr>
            </w:pPr>
            <w:r>
              <w:rPr>
                <w:sz w:val="20"/>
                <w:szCs w:val="20"/>
              </w:rPr>
              <w:t>Encounter rates = average N of ticks per 100 m per day</w:t>
            </w:r>
          </w:p>
          <w:p w14:paraId="6F569ABC" w14:textId="77777777" w:rsidR="002D58E4" w:rsidRDefault="002D58E4">
            <w:pPr>
              <w:rPr>
                <w:sz w:val="20"/>
                <w:szCs w:val="20"/>
              </w:rPr>
            </w:pPr>
          </w:p>
          <w:p w14:paraId="687B1222" w14:textId="77777777" w:rsidR="002D58E4" w:rsidRDefault="00F721D4">
            <w:pPr>
              <w:rPr>
                <w:sz w:val="20"/>
                <w:szCs w:val="20"/>
              </w:rPr>
            </w:pPr>
            <w:r>
              <w:rPr>
                <w:b/>
                <w:sz w:val="20"/>
                <w:szCs w:val="20"/>
              </w:rPr>
              <w:t>Repellency (%)</w:t>
            </w:r>
            <w:r>
              <w:rPr>
                <w:sz w:val="20"/>
                <w:szCs w:val="20"/>
              </w:rPr>
              <w:t xml:space="preserve"> = [(N of ticks counted on untreated sample - N of ticks counted on treated sample)/ (N of ticks on untreated sample) *100.</w:t>
            </w:r>
          </w:p>
          <w:p w14:paraId="54739BA9" w14:textId="77777777" w:rsidR="002D58E4" w:rsidRDefault="002D58E4">
            <w:pPr>
              <w:rPr>
                <w:sz w:val="20"/>
                <w:szCs w:val="20"/>
              </w:rPr>
            </w:pPr>
          </w:p>
        </w:tc>
        <w:tc>
          <w:tcPr>
            <w:tcW w:w="3870" w:type="dxa"/>
          </w:tcPr>
          <w:p w14:paraId="72277F27" w14:textId="77777777" w:rsidR="002D58E4" w:rsidRDefault="00F721D4">
            <w:pPr>
              <w:rPr>
                <w:sz w:val="20"/>
                <w:szCs w:val="20"/>
              </w:rPr>
            </w:pPr>
            <w:r>
              <w:rPr>
                <w:b/>
                <w:sz w:val="20"/>
                <w:szCs w:val="20"/>
              </w:rPr>
              <w:t>One day after</w:t>
            </w:r>
            <w:r>
              <w:rPr>
                <w:sz w:val="20"/>
                <w:szCs w:val="20"/>
              </w:rPr>
              <w:t xml:space="preserve"> treatment, </w:t>
            </w:r>
            <w:r>
              <w:rPr>
                <w:b/>
                <w:sz w:val="20"/>
                <w:szCs w:val="20"/>
              </w:rPr>
              <w:t>nootkatone and carvacrol provided 100% repellency</w:t>
            </w:r>
            <w:r>
              <w:rPr>
                <w:sz w:val="20"/>
                <w:szCs w:val="20"/>
              </w:rPr>
              <w:t xml:space="preserve"> </w:t>
            </w:r>
            <w:r>
              <w:rPr>
                <w:b/>
                <w:sz w:val="20"/>
                <w:szCs w:val="20"/>
              </w:rPr>
              <w:t xml:space="preserve">of </w:t>
            </w:r>
            <w:r>
              <w:rPr>
                <w:b/>
                <w:i/>
                <w:sz w:val="20"/>
                <w:szCs w:val="20"/>
              </w:rPr>
              <w:t>I</w:t>
            </w:r>
            <w:r>
              <w:rPr>
                <w:b/>
                <w:sz w:val="20"/>
                <w:szCs w:val="20"/>
              </w:rPr>
              <w:t xml:space="preserve">. </w:t>
            </w:r>
            <w:r>
              <w:rPr>
                <w:b/>
                <w:i/>
                <w:sz w:val="20"/>
                <w:szCs w:val="20"/>
              </w:rPr>
              <w:t>scapularis</w:t>
            </w:r>
            <w:r>
              <w:rPr>
                <w:i/>
                <w:sz w:val="20"/>
                <w:szCs w:val="20"/>
              </w:rPr>
              <w:t xml:space="preserve"> </w:t>
            </w:r>
            <w:r>
              <w:rPr>
                <w:sz w:val="20"/>
                <w:szCs w:val="20"/>
              </w:rPr>
              <w:t xml:space="preserve">adults, with nootkatone maintaining complete protection through 3 d, whereas carvacrol showed steadily declining repellency against </w:t>
            </w:r>
            <w:r>
              <w:rPr>
                <w:i/>
                <w:sz w:val="20"/>
                <w:szCs w:val="20"/>
              </w:rPr>
              <w:t>I</w:t>
            </w:r>
            <w:r>
              <w:rPr>
                <w:sz w:val="20"/>
                <w:szCs w:val="20"/>
              </w:rPr>
              <w:t xml:space="preserve">. </w:t>
            </w:r>
            <w:r>
              <w:rPr>
                <w:i/>
                <w:sz w:val="20"/>
                <w:szCs w:val="20"/>
              </w:rPr>
              <w:t xml:space="preserve">scapularis </w:t>
            </w:r>
            <w:r>
              <w:rPr>
                <w:sz w:val="20"/>
                <w:szCs w:val="20"/>
              </w:rPr>
              <w:t xml:space="preserve">during the 7-d course of the trials. </w:t>
            </w:r>
          </w:p>
          <w:p w14:paraId="7045F66C" w14:textId="77777777" w:rsidR="002D58E4" w:rsidRDefault="002D58E4">
            <w:pPr>
              <w:rPr>
                <w:sz w:val="20"/>
                <w:szCs w:val="20"/>
              </w:rPr>
            </w:pPr>
          </w:p>
          <w:p w14:paraId="470B85CB" w14:textId="77777777" w:rsidR="002D58E4" w:rsidRDefault="00F721D4">
            <w:pPr>
              <w:rPr>
                <w:sz w:val="20"/>
                <w:szCs w:val="20"/>
              </w:rPr>
            </w:pPr>
            <w:r>
              <w:rPr>
                <w:b/>
                <w:sz w:val="20"/>
                <w:szCs w:val="20"/>
              </w:rPr>
              <w:t xml:space="preserve">Nootkatone </w:t>
            </w:r>
            <w:r>
              <w:rPr>
                <w:sz w:val="20"/>
                <w:szCs w:val="20"/>
              </w:rPr>
              <w:t xml:space="preserve">was at least as effective against host-seeking </w:t>
            </w:r>
            <w:r>
              <w:rPr>
                <w:i/>
                <w:sz w:val="20"/>
                <w:szCs w:val="20"/>
              </w:rPr>
              <w:t>A</w:t>
            </w:r>
            <w:r>
              <w:rPr>
                <w:sz w:val="20"/>
                <w:szCs w:val="20"/>
              </w:rPr>
              <w:t>. a</w:t>
            </w:r>
            <w:r>
              <w:rPr>
                <w:i/>
                <w:sz w:val="20"/>
                <w:szCs w:val="20"/>
              </w:rPr>
              <w:t xml:space="preserve">mericanum </w:t>
            </w:r>
            <w:r>
              <w:rPr>
                <w:sz w:val="20"/>
                <w:szCs w:val="20"/>
              </w:rPr>
              <w:t xml:space="preserve">as against </w:t>
            </w:r>
            <w:r>
              <w:rPr>
                <w:i/>
                <w:sz w:val="20"/>
                <w:szCs w:val="20"/>
              </w:rPr>
              <w:t>I</w:t>
            </w:r>
            <w:r>
              <w:rPr>
                <w:sz w:val="20"/>
                <w:szCs w:val="20"/>
              </w:rPr>
              <w:t xml:space="preserve">. </w:t>
            </w:r>
            <w:r>
              <w:rPr>
                <w:i/>
                <w:sz w:val="20"/>
                <w:szCs w:val="20"/>
              </w:rPr>
              <w:t xml:space="preserve">scapularis </w:t>
            </w:r>
            <w:r>
              <w:rPr>
                <w:sz w:val="20"/>
                <w:szCs w:val="20"/>
              </w:rPr>
              <w:t xml:space="preserve">through 3 d. </w:t>
            </w:r>
            <w:r>
              <w:rPr>
                <w:b/>
                <w:sz w:val="20"/>
                <w:szCs w:val="20"/>
              </w:rPr>
              <w:t>Carvacrol p</w:t>
            </w:r>
            <w:r>
              <w:rPr>
                <w:sz w:val="20"/>
                <w:szCs w:val="20"/>
              </w:rPr>
              <w:t xml:space="preserve">rovided little protection against </w:t>
            </w:r>
            <w:r>
              <w:rPr>
                <w:i/>
                <w:sz w:val="20"/>
                <w:szCs w:val="20"/>
              </w:rPr>
              <w:t>A</w:t>
            </w:r>
            <w:r>
              <w:rPr>
                <w:sz w:val="20"/>
                <w:szCs w:val="20"/>
              </w:rPr>
              <w:t xml:space="preserve">. </w:t>
            </w:r>
            <w:r>
              <w:rPr>
                <w:i/>
                <w:sz w:val="20"/>
                <w:szCs w:val="20"/>
              </w:rPr>
              <w:t xml:space="preserve">americanum </w:t>
            </w:r>
            <w:r>
              <w:rPr>
                <w:sz w:val="20"/>
                <w:szCs w:val="20"/>
              </w:rPr>
              <w:t xml:space="preserve">adults. </w:t>
            </w:r>
          </w:p>
          <w:p w14:paraId="2018A0A1" w14:textId="77777777" w:rsidR="002D58E4" w:rsidRDefault="00F721D4">
            <w:pPr>
              <w:rPr>
                <w:sz w:val="20"/>
                <w:szCs w:val="20"/>
              </w:rPr>
            </w:pPr>
            <w:r>
              <w:rPr>
                <w:sz w:val="20"/>
                <w:szCs w:val="20"/>
              </w:rPr>
              <w:t xml:space="preserve">Both natural compounds performed well initially in comparison with the commercial products. </w:t>
            </w:r>
          </w:p>
          <w:p w14:paraId="6BD6F8D5" w14:textId="77777777" w:rsidR="002D58E4" w:rsidRDefault="002D58E4">
            <w:pPr>
              <w:rPr>
                <w:sz w:val="20"/>
                <w:szCs w:val="20"/>
              </w:rPr>
            </w:pPr>
          </w:p>
          <w:p w14:paraId="3114F3FF" w14:textId="77777777" w:rsidR="002D58E4" w:rsidRDefault="00F721D4">
            <w:pPr>
              <w:rPr>
                <w:sz w:val="20"/>
                <w:szCs w:val="20"/>
              </w:rPr>
            </w:pPr>
            <w:r>
              <w:rPr>
                <w:b/>
                <w:sz w:val="20"/>
                <w:szCs w:val="20"/>
              </w:rPr>
              <w:t>After 7 d, nootkatone was the most effective against both species followed in order of activity by Permanone, EcoSMART, and carvacrol.</w:t>
            </w:r>
          </w:p>
        </w:tc>
      </w:tr>
      <w:tr w:rsidR="002D58E4" w14:paraId="550A397B" w14:textId="77777777" w:rsidTr="00E70FE5">
        <w:tc>
          <w:tcPr>
            <w:tcW w:w="1080" w:type="dxa"/>
          </w:tcPr>
          <w:p w14:paraId="5EF13479" w14:textId="77777777" w:rsidR="002D58E4" w:rsidRDefault="00F721D4">
            <w:pPr>
              <w:rPr>
                <w:sz w:val="20"/>
                <w:szCs w:val="20"/>
              </w:rPr>
            </w:pPr>
            <w:r>
              <w:rPr>
                <w:sz w:val="20"/>
                <w:szCs w:val="20"/>
              </w:rPr>
              <w:t>Bissinger, 2014</w:t>
            </w:r>
          </w:p>
          <w:p w14:paraId="6676F539" w14:textId="77777777" w:rsidR="002D58E4" w:rsidRDefault="002D58E4">
            <w:pPr>
              <w:rPr>
                <w:sz w:val="20"/>
                <w:szCs w:val="20"/>
              </w:rPr>
            </w:pPr>
          </w:p>
          <w:p w14:paraId="7CAA81CA" w14:textId="77777777" w:rsidR="002D58E4" w:rsidRDefault="00F721D4">
            <w:pPr>
              <w:rPr>
                <w:sz w:val="20"/>
                <w:szCs w:val="20"/>
              </w:rPr>
            </w:pPr>
            <w:r>
              <w:rPr>
                <w:sz w:val="20"/>
                <w:szCs w:val="20"/>
              </w:rPr>
              <w:t>NC, USA</w:t>
            </w:r>
          </w:p>
        </w:tc>
        <w:tc>
          <w:tcPr>
            <w:tcW w:w="1080" w:type="dxa"/>
          </w:tcPr>
          <w:p w14:paraId="34422CC7" w14:textId="77777777" w:rsidR="002D58E4" w:rsidRDefault="00F721D4">
            <w:pPr>
              <w:rPr>
                <w:sz w:val="20"/>
                <w:szCs w:val="20"/>
              </w:rPr>
            </w:pPr>
            <w:r>
              <w:rPr>
                <w:sz w:val="20"/>
                <w:szCs w:val="20"/>
              </w:rPr>
              <w:t>Randomized field tests in humans (sock test)</w:t>
            </w:r>
          </w:p>
        </w:tc>
        <w:tc>
          <w:tcPr>
            <w:tcW w:w="810" w:type="dxa"/>
          </w:tcPr>
          <w:p w14:paraId="69BC94A6" w14:textId="77777777" w:rsidR="002D58E4" w:rsidRDefault="00F721D4">
            <w:pPr>
              <w:rPr>
                <w:sz w:val="20"/>
                <w:szCs w:val="20"/>
              </w:rPr>
            </w:pPr>
            <w:r>
              <w:rPr>
                <w:sz w:val="20"/>
                <w:szCs w:val="20"/>
              </w:rPr>
              <w:t>Unclear risk of bias</w:t>
            </w:r>
          </w:p>
        </w:tc>
        <w:tc>
          <w:tcPr>
            <w:tcW w:w="1170" w:type="dxa"/>
          </w:tcPr>
          <w:p w14:paraId="029F93A7" w14:textId="77777777" w:rsidR="002D58E4" w:rsidRDefault="00F721D4">
            <w:pPr>
              <w:rPr>
                <w:i/>
                <w:sz w:val="20"/>
                <w:szCs w:val="20"/>
              </w:rPr>
            </w:pPr>
            <w:r>
              <w:rPr>
                <w:i/>
                <w:sz w:val="20"/>
                <w:szCs w:val="20"/>
              </w:rPr>
              <w:t xml:space="preserve">A. americanum, D. variabilis, I. scapularis, </w:t>
            </w:r>
            <w:r>
              <w:rPr>
                <w:sz w:val="20"/>
                <w:szCs w:val="20"/>
              </w:rPr>
              <w:lastRenderedPageBreak/>
              <w:t>and</w:t>
            </w:r>
            <w:r>
              <w:rPr>
                <w:i/>
                <w:sz w:val="20"/>
                <w:szCs w:val="20"/>
              </w:rPr>
              <w:t xml:space="preserve"> R. sanguineus</w:t>
            </w:r>
          </w:p>
          <w:p w14:paraId="3EF01DFF" w14:textId="77777777" w:rsidR="002D58E4" w:rsidRDefault="002D58E4">
            <w:pPr>
              <w:rPr>
                <w:sz w:val="20"/>
                <w:szCs w:val="20"/>
              </w:rPr>
            </w:pPr>
          </w:p>
        </w:tc>
        <w:tc>
          <w:tcPr>
            <w:tcW w:w="2268" w:type="dxa"/>
          </w:tcPr>
          <w:p w14:paraId="1CBB9F8D" w14:textId="77777777" w:rsidR="002D58E4" w:rsidRDefault="00F721D4">
            <w:pPr>
              <w:rPr>
                <w:sz w:val="20"/>
                <w:szCs w:val="20"/>
              </w:rPr>
            </w:pPr>
            <w:r>
              <w:rPr>
                <w:sz w:val="20"/>
                <w:szCs w:val="20"/>
              </w:rPr>
              <w:lastRenderedPageBreak/>
              <w:t xml:space="preserve">5 volunteers who walked through the woods while wearing over-the-calf tube socks with repellent.  Treatments were </w:t>
            </w:r>
            <w:r>
              <w:rPr>
                <w:sz w:val="20"/>
                <w:szCs w:val="20"/>
              </w:rPr>
              <w:lastRenderedPageBreak/>
              <w:t>randomized; untreated sock on the other leg served as control</w:t>
            </w:r>
          </w:p>
        </w:tc>
        <w:tc>
          <w:tcPr>
            <w:tcW w:w="1890" w:type="dxa"/>
          </w:tcPr>
          <w:p w14:paraId="64E49B85" w14:textId="77777777" w:rsidR="002D58E4" w:rsidRDefault="00F721D4">
            <w:pPr>
              <w:rPr>
                <w:sz w:val="20"/>
                <w:szCs w:val="20"/>
              </w:rPr>
            </w:pPr>
            <w:r>
              <w:rPr>
                <w:sz w:val="20"/>
                <w:szCs w:val="20"/>
              </w:rPr>
              <w:lastRenderedPageBreak/>
              <w:t xml:space="preserve">• </w:t>
            </w:r>
            <w:r>
              <w:rPr>
                <w:b/>
                <w:sz w:val="20"/>
                <w:szCs w:val="20"/>
              </w:rPr>
              <w:t>DEET 15%</w:t>
            </w:r>
            <w:r>
              <w:rPr>
                <w:sz w:val="20"/>
                <w:szCs w:val="20"/>
              </w:rPr>
              <w:t xml:space="preserve"> and </w:t>
            </w:r>
          </w:p>
          <w:p w14:paraId="312F191B" w14:textId="77777777" w:rsidR="002D58E4" w:rsidRDefault="00F721D4">
            <w:pPr>
              <w:rPr>
                <w:b/>
                <w:sz w:val="20"/>
                <w:szCs w:val="20"/>
              </w:rPr>
            </w:pPr>
            <w:r>
              <w:rPr>
                <w:sz w:val="20"/>
                <w:szCs w:val="20"/>
              </w:rPr>
              <w:t xml:space="preserve">• </w:t>
            </w:r>
            <w:r>
              <w:rPr>
                <w:b/>
                <w:sz w:val="20"/>
                <w:szCs w:val="20"/>
              </w:rPr>
              <w:t>TT-4302</w:t>
            </w:r>
            <w:r>
              <w:rPr>
                <w:sz w:val="20"/>
                <w:szCs w:val="20"/>
              </w:rPr>
              <w:t xml:space="preserve"> (</w:t>
            </w:r>
            <w:r>
              <w:rPr>
                <w:b/>
                <w:sz w:val="20"/>
                <w:szCs w:val="20"/>
              </w:rPr>
              <w:t>5 % geranio</w:t>
            </w:r>
            <w:r>
              <w:rPr>
                <w:sz w:val="20"/>
                <w:szCs w:val="20"/>
              </w:rPr>
              <w:t xml:space="preserve">l) and its variant </w:t>
            </w:r>
            <w:r>
              <w:rPr>
                <w:b/>
                <w:sz w:val="20"/>
                <w:szCs w:val="20"/>
              </w:rPr>
              <w:t>TT-4228</w:t>
            </w:r>
          </w:p>
          <w:p w14:paraId="76E2E7D6" w14:textId="77777777" w:rsidR="002D58E4" w:rsidRDefault="00F721D4">
            <w:pPr>
              <w:rPr>
                <w:sz w:val="20"/>
                <w:szCs w:val="20"/>
              </w:rPr>
            </w:pPr>
            <w:r>
              <w:rPr>
                <w:sz w:val="20"/>
                <w:szCs w:val="20"/>
              </w:rPr>
              <w:lastRenderedPageBreak/>
              <w:t xml:space="preserve">• </w:t>
            </w:r>
            <w:r>
              <w:rPr>
                <w:b/>
                <w:sz w:val="20"/>
                <w:szCs w:val="20"/>
              </w:rPr>
              <w:t>control – untreated sock</w:t>
            </w:r>
            <w:r>
              <w:rPr>
                <w:sz w:val="20"/>
                <w:szCs w:val="20"/>
              </w:rPr>
              <w:t xml:space="preserve"> on the other leg</w:t>
            </w:r>
          </w:p>
          <w:p w14:paraId="79E5046F" w14:textId="77777777" w:rsidR="002D58E4" w:rsidRDefault="002D58E4">
            <w:pPr>
              <w:rPr>
                <w:sz w:val="20"/>
                <w:szCs w:val="20"/>
              </w:rPr>
            </w:pPr>
          </w:p>
          <w:p w14:paraId="61E814BA" w14:textId="77777777" w:rsidR="002D58E4" w:rsidRDefault="00F721D4">
            <w:pPr>
              <w:rPr>
                <w:sz w:val="20"/>
                <w:szCs w:val="20"/>
              </w:rPr>
            </w:pPr>
            <w:r>
              <w:rPr>
                <w:sz w:val="20"/>
                <w:szCs w:val="20"/>
              </w:rPr>
              <w:t>Each repellent was tested on four different subjects</w:t>
            </w:r>
          </w:p>
        </w:tc>
        <w:tc>
          <w:tcPr>
            <w:tcW w:w="2250" w:type="dxa"/>
          </w:tcPr>
          <w:p w14:paraId="1F700DE5" w14:textId="77777777" w:rsidR="002D58E4" w:rsidRDefault="00F721D4">
            <w:pPr>
              <w:rPr>
                <w:sz w:val="20"/>
                <w:szCs w:val="20"/>
              </w:rPr>
            </w:pPr>
            <w:r>
              <w:rPr>
                <w:sz w:val="20"/>
                <w:szCs w:val="20"/>
              </w:rPr>
              <w:lastRenderedPageBreak/>
              <w:t>N of ticks crossing the upper sock barrier and N of ticks on socks;</w:t>
            </w:r>
          </w:p>
          <w:p w14:paraId="28D1DA5E" w14:textId="77777777" w:rsidR="002D58E4" w:rsidRDefault="002D58E4">
            <w:pPr>
              <w:rPr>
                <w:sz w:val="20"/>
                <w:szCs w:val="20"/>
              </w:rPr>
            </w:pPr>
          </w:p>
          <w:p w14:paraId="15B30944" w14:textId="77777777" w:rsidR="002D58E4" w:rsidRDefault="00F721D4">
            <w:pPr>
              <w:rPr>
                <w:sz w:val="20"/>
                <w:szCs w:val="20"/>
              </w:rPr>
            </w:pPr>
            <w:r>
              <w:rPr>
                <w:b/>
                <w:sz w:val="20"/>
                <w:szCs w:val="20"/>
              </w:rPr>
              <w:lastRenderedPageBreak/>
              <w:t>Repellency (%)</w:t>
            </w:r>
            <w:r>
              <w:rPr>
                <w:i/>
                <w:sz w:val="20"/>
                <w:szCs w:val="20"/>
              </w:rPr>
              <w:t xml:space="preserve"> </w:t>
            </w:r>
            <w:r>
              <w:rPr>
                <w:sz w:val="20"/>
                <w:szCs w:val="20"/>
              </w:rPr>
              <w:t>was calculated as: [(control count -treatment count)/ control count] * 100.</w:t>
            </w:r>
          </w:p>
        </w:tc>
        <w:tc>
          <w:tcPr>
            <w:tcW w:w="3870" w:type="dxa"/>
          </w:tcPr>
          <w:p w14:paraId="10772343" w14:textId="77777777" w:rsidR="002D58E4" w:rsidRDefault="00F721D4">
            <w:pPr>
              <w:rPr>
                <w:b/>
                <w:sz w:val="20"/>
                <w:szCs w:val="20"/>
              </w:rPr>
            </w:pPr>
            <w:r>
              <w:rPr>
                <w:sz w:val="20"/>
                <w:szCs w:val="20"/>
              </w:rPr>
              <w:lastRenderedPageBreak/>
              <w:t>In the field (</w:t>
            </w:r>
            <w:r>
              <w:rPr>
                <w:sz w:val="20"/>
                <w:szCs w:val="20"/>
                <w:u w:val="single"/>
              </w:rPr>
              <w:t xml:space="preserve">predominant tick </w:t>
            </w:r>
            <w:r>
              <w:rPr>
                <w:i/>
                <w:sz w:val="20"/>
                <w:szCs w:val="20"/>
                <w:u w:val="single"/>
              </w:rPr>
              <w:t>A. americanum</w:t>
            </w:r>
            <w:r>
              <w:rPr>
                <w:sz w:val="20"/>
                <w:szCs w:val="20"/>
              </w:rPr>
              <w:t>), 2.5 or 3.5 h after treatment,</w:t>
            </w:r>
            <w:r>
              <w:rPr>
                <w:b/>
                <w:sz w:val="20"/>
                <w:szCs w:val="20"/>
              </w:rPr>
              <w:t xml:space="preserve"> mean </w:t>
            </w:r>
            <w:r>
              <w:rPr>
                <w:b/>
                <w:i/>
                <w:sz w:val="20"/>
                <w:szCs w:val="20"/>
              </w:rPr>
              <w:t>percentage repellency</w:t>
            </w:r>
            <w:r>
              <w:rPr>
                <w:b/>
                <w:sz w:val="20"/>
                <w:szCs w:val="20"/>
              </w:rPr>
              <w:t xml:space="preserve"> was significantly greater for socks treated with TT-4228 </w:t>
            </w:r>
            <w:r>
              <w:rPr>
                <w:sz w:val="20"/>
                <w:szCs w:val="20"/>
              </w:rPr>
              <w:t>(90% and 70%,</w:t>
            </w:r>
            <w:r>
              <w:rPr>
                <w:b/>
                <w:sz w:val="20"/>
                <w:szCs w:val="20"/>
              </w:rPr>
              <w:t xml:space="preserve"> </w:t>
            </w:r>
            <w:r>
              <w:rPr>
                <w:sz w:val="20"/>
                <w:szCs w:val="20"/>
              </w:rPr>
              <w:t>respectively)</w:t>
            </w:r>
            <w:r>
              <w:rPr>
                <w:b/>
                <w:sz w:val="20"/>
                <w:szCs w:val="20"/>
              </w:rPr>
              <w:t xml:space="preserve"> vs. DEET </w:t>
            </w:r>
            <w:r>
              <w:rPr>
                <w:sz w:val="20"/>
                <w:szCs w:val="20"/>
              </w:rPr>
              <w:t>(55% and 20%).</w:t>
            </w:r>
            <w:r>
              <w:rPr>
                <w:b/>
                <w:sz w:val="20"/>
                <w:szCs w:val="20"/>
              </w:rPr>
              <w:t xml:space="preserve"> </w:t>
            </w:r>
          </w:p>
          <w:p w14:paraId="45908599" w14:textId="77777777" w:rsidR="002D58E4" w:rsidRDefault="002D58E4">
            <w:pPr>
              <w:rPr>
                <w:b/>
                <w:sz w:val="20"/>
                <w:szCs w:val="20"/>
              </w:rPr>
            </w:pPr>
          </w:p>
          <w:p w14:paraId="54622AA1" w14:textId="77777777" w:rsidR="002D58E4" w:rsidRDefault="00F721D4">
            <w:pPr>
              <w:rPr>
                <w:sz w:val="20"/>
                <w:szCs w:val="20"/>
              </w:rPr>
            </w:pPr>
            <w:r>
              <w:rPr>
                <w:sz w:val="20"/>
                <w:szCs w:val="20"/>
              </w:rPr>
              <w:t>Significantly fewer ticks were recovered from socks treated with TT-4228 vs. their paired untreated controls 2.5 or 3.5 h after treatment; ditto for DEET vs. controls 2.5 h after application. However, no significant difference was found in the number of ticks collected from DEET-and untreated socks 3.5 h after treatment</w:t>
            </w:r>
          </w:p>
        </w:tc>
      </w:tr>
      <w:tr w:rsidR="002D58E4" w14:paraId="23363011" w14:textId="77777777" w:rsidTr="00E70FE5">
        <w:tc>
          <w:tcPr>
            <w:tcW w:w="1080" w:type="dxa"/>
          </w:tcPr>
          <w:p w14:paraId="044BF91B" w14:textId="77777777" w:rsidR="002D58E4" w:rsidRDefault="00F721D4">
            <w:pPr>
              <w:rPr>
                <w:sz w:val="20"/>
                <w:szCs w:val="20"/>
              </w:rPr>
            </w:pPr>
            <w:r>
              <w:rPr>
                <w:sz w:val="20"/>
                <w:szCs w:val="20"/>
              </w:rPr>
              <w:t>Buchel, 2015</w:t>
            </w:r>
          </w:p>
          <w:p w14:paraId="71A036FB" w14:textId="77777777" w:rsidR="002D58E4" w:rsidRDefault="002D58E4">
            <w:pPr>
              <w:rPr>
                <w:sz w:val="20"/>
                <w:szCs w:val="20"/>
              </w:rPr>
            </w:pPr>
          </w:p>
          <w:p w14:paraId="2A6A218A" w14:textId="77777777" w:rsidR="002D58E4" w:rsidRDefault="00F721D4">
            <w:pPr>
              <w:rPr>
                <w:sz w:val="20"/>
                <w:szCs w:val="20"/>
              </w:rPr>
            </w:pPr>
            <w:r>
              <w:rPr>
                <w:sz w:val="20"/>
                <w:szCs w:val="20"/>
              </w:rPr>
              <w:t>Germany</w:t>
            </w:r>
          </w:p>
        </w:tc>
        <w:tc>
          <w:tcPr>
            <w:tcW w:w="1080" w:type="dxa"/>
          </w:tcPr>
          <w:p w14:paraId="44956367" w14:textId="77777777" w:rsidR="002D58E4" w:rsidRDefault="00F721D4">
            <w:pPr>
              <w:rPr>
                <w:sz w:val="20"/>
                <w:szCs w:val="20"/>
              </w:rPr>
            </w:pPr>
            <w:r>
              <w:rPr>
                <w:sz w:val="20"/>
                <w:szCs w:val="20"/>
              </w:rPr>
              <w:t>Randomized laboratory study in humans</w:t>
            </w:r>
          </w:p>
        </w:tc>
        <w:tc>
          <w:tcPr>
            <w:tcW w:w="810" w:type="dxa"/>
          </w:tcPr>
          <w:p w14:paraId="32135011" w14:textId="77777777" w:rsidR="002D58E4" w:rsidRDefault="00F721D4">
            <w:pPr>
              <w:rPr>
                <w:sz w:val="20"/>
                <w:szCs w:val="20"/>
              </w:rPr>
            </w:pPr>
            <w:r>
              <w:rPr>
                <w:sz w:val="20"/>
                <w:szCs w:val="20"/>
              </w:rPr>
              <w:t>Unclear risk of bias</w:t>
            </w:r>
          </w:p>
        </w:tc>
        <w:tc>
          <w:tcPr>
            <w:tcW w:w="1170" w:type="dxa"/>
          </w:tcPr>
          <w:p w14:paraId="29F37A5D" w14:textId="77777777" w:rsidR="002D58E4" w:rsidRDefault="00F721D4">
            <w:pPr>
              <w:rPr>
                <w:sz w:val="20"/>
                <w:szCs w:val="20"/>
              </w:rPr>
            </w:pPr>
            <w:r>
              <w:rPr>
                <w:sz w:val="20"/>
                <w:szCs w:val="20"/>
              </w:rPr>
              <w:t xml:space="preserve">Nymphs of </w:t>
            </w:r>
            <w:r>
              <w:rPr>
                <w:i/>
                <w:sz w:val="20"/>
                <w:szCs w:val="20"/>
              </w:rPr>
              <w:t xml:space="preserve">I. ricinus </w:t>
            </w:r>
            <w:r>
              <w:rPr>
                <w:sz w:val="20"/>
                <w:szCs w:val="20"/>
              </w:rPr>
              <w:t xml:space="preserve">and </w:t>
            </w:r>
            <w:r>
              <w:rPr>
                <w:i/>
                <w:sz w:val="20"/>
                <w:szCs w:val="20"/>
              </w:rPr>
              <w:t>I. scapularis</w:t>
            </w:r>
          </w:p>
        </w:tc>
        <w:tc>
          <w:tcPr>
            <w:tcW w:w="2268" w:type="dxa"/>
          </w:tcPr>
          <w:p w14:paraId="7CAA019F" w14:textId="77777777" w:rsidR="002D58E4" w:rsidRDefault="00F721D4">
            <w:pPr>
              <w:rPr>
                <w:sz w:val="20"/>
                <w:szCs w:val="20"/>
              </w:rPr>
            </w:pPr>
            <w:r>
              <w:rPr>
                <w:sz w:val="20"/>
                <w:szCs w:val="20"/>
              </w:rPr>
              <w:t xml:space="preserve">Repellent and control treatments were randomly assigned to subjects on the first day. 10 volunteers were used for each repellent. </w:t>
            </w:r>
          </w:p>
          <w:p w14:paraId="210D27AD" w14:textId="77777777" w:rsidR="002D58E4" w:rsidRDefault="00F721D4">
            <w:pPr>
              <w:rPr>
                <w:sz w:val="20"/>
                <w:szCs w:val="20"/>
              </w:rPr>
            </w:pPr>
            <w:r>
              <w:rPr>
                <w:sz w:val="20"/>
                <w:szCs w:val="20"/>
              </w:rPr>
              <w:t>Repellents were applied to the forearm with the untreated arm served as control; then, the subjects cycled through each repellent and both Ixodes species.</w:t>
            </w:r>
          </w:p>
        </w:tc>
        <w:tc>
          <w:tcPr>
            <w:tcW w:w="1890" w:type="dxa"/>
          </w:tcPr>
          <w:p w14:paraId="10B7D584" w14:textId="77777777" w:rsidR="002D58E4" w:rsidRDefault="00F721D4">
            <w:pPr>
              <w:rPr>
                <w:sz w:val="20"/>
                <w:szCs w:val="20"/>
              </w:rPr>
            </w:pPr>
            <w:r>
              <w:rPr>
                <w:sz w:val="20"/>
                <w:szCs w:val="20"/>
              </w:rPr>
              <w:t xml:space="preserve">• </w:t>
            </w:r>
            <w:r>
              <w:rPr>
                <w:b/>
                <w:sz w:val="20"/>
                <w:szCs w:val="20"/>
              </w:rPr>
              <w:t>DEET 20%,</w:t>
            </w:r>
            <w:r>
              <w:rPr>
                <w:sz w:val="20"/>
                <w:szCs w:val="20"/>
              </w:rPr>
              <w:t xml:space="preserve"> or</w:t>
            </w:r>
          </w:p>
          <w:p w14:paraId="7786EF3C" w14:textId="77777777" w:rsidR="002D58E4" w:rsidRDefault="00F721D4">
            <w:pPr>
              <w:rPr>
                <w:sz w:val="20"/>
                <w:szCs w:val="20"/>
              </w:rPr>
            </w:pPr>
            <w:r>
              <w:rPr>
                <w:sz w:val="20"/>
                <w:szCs w:val="20"/>
              </w:rPr>
              <w:t xml:space="preserve">• </w:t>
            </w:r>
            <w:r>
              <w:rPr>
                <w:b/>
                <w:sz w:val="20"/>
                <w:szCs w:val="20"/>
              </w:rPr>
              <w:t>Icaridin 10% (=picaridin)</w:t>
            </w:r>
            <w:r>
              <w:rPr>
                <w:sz w:val="20"/>
                <w:szCs w:val="20"/>
              </w:rPr>
              <w:t>, or</w:t>
            </w:r>
          </w:p>
          <w:p w14:paraId="0E94B92D" w14:textId="77777777" w:rsidR="002D58E4" w:rsidRDefault="00F721D4">
            <w:pPr>
              <w:rPr>
                <w:b/>
                <w:sz w:val="20"/>
                <w:szCs w:val="20"/>
              </w:rPr>
            </w:pPr>
            <w:r>
              <w:rPr>
                <w:sz w:val="20"/>
                <w:szCs w:val="20"/>
              </w:rPr>
              <w:t xml:space="preserve">• </w:t>
            </w:r>
            <w:r>
              <w:rPr>
                <w:b/>
                <w:sz w:val="20"/>
                <w:szCs w:val="20"/>
              </w:rPr>
              <w:t>EBAAP 10%</w:t>
            </w:r>
          </w:p>
          <w:p w14:paraId="7A90A7DF" w14:textId="77777777" w:rsidR="002D58E4" w:rsidRDefault="002D58E4">
            <w:pPr>
              <w:rPr>
                <w:sz w:val="20"/>
                <w:szCs w:val="20"/>
              </w:rPr>
            </w:pPr>
          </w:p>
          <w:p w14:paraId="1A84FC84" w14:textId="77777777" w:rsidR="002D58E4" w:rsidRDefault="00F721D4">
            <w:pPr>
              <w:rPr>
                <w:sz w:val="20"/>
                <w:szCs w:val="20"/>
              </w:rPr>
            </w:pPr>
            <w:r>
              <w:rPr>
                <w:sz w:val="20"/>
                <w:szCs w:val="20"/>
              </w:rPr>
              <w:t xml:space="preserve">vs. </w:t>
            </w:r>
            <w:r>
              <w:rPr>
                <w:b/>
                <w:sz w:val="20"/>
                <w:szCs w:val="20"/>
              </w:rPr>
              <w:t xml:space="preserve">control </w:t>
            </w:r>
            <w:r>
              <w:rPr>
                <w:sz w:val="20"/>
                <w:szCs w:val="20"/>
              </w:rPr>
              <w:t>- the untreated arm</w:t>
            </w:r>
          </w:p>
        </w:tc>
        <w:tc>
          <w:tcPr>
            <w:tcW w:w="2250" w:type="dxa"/>
          </w:tcPr>
          <w:p w14:paraId="7AD81A02" w14:textId="77777777" w:rsidR="002D58E4" w:rsidRDefault="00F721D4">
            <w:pPr>
              <w:rPr>
                <w:sz w:val="20"/>
                <w:szCs w:val="20"/>
              </w:rPr>
            </w:pPr>
            <w:r>
              <w:rPr>
                <w:i/>
                <w:sz w:val="20"/>
                <w:szCs w:val="20"/>
              </w:rPr>
              <w:t>EPA protocol</w:t>
            </w:r>
            <w:r>
              <w:rPr>
                <w:sz w:val="20"/>
                <w:szCs w:val="20"/>
              </w:rPr>
              <w:t xml:space="preserve">: </w:t>
            </w:r>
            <w:r>
              <w:rPr>
                <w:b/>
                <w:sz w:val="20"/>
                <w:szCs w:val="20"/>
              </w:rPr>
              <w:t>N (%) of ticks</w:t>
            </w:r>
            <w:r>
              <w:rPr>
                <w:sz w:val="20"/>
                <w:szCs w:val="20"/>
              </w:rPr>
              <w:t xml:space="preserve"> walking onto or back from treated skin, falling off from treated skin, and remaining on treated skin. </w:t>
            </w:r>
          </w:p>
          <w:p w14:paraId="4F6AB88F" w14:textId="77777777" w:rsidR="002D58E4" w:rsidRDefault="002D58E4">
            <w:pPr>
              <w:rPr>
                <w:sz w:val="20"/>
                <w:szCs w:val="20"/>
              </w:rPr>
            </w:pPr>
          </w:p>
          <w:p w14:paraId="4C372D46" w14:textId="77777777" w:rsidR="002D58E4" w:rsidRDefault="00F721D4">
            <w:pPr>
              <w:rPr>
                <w:sz w:val="20"/>
                <w:szCs w:val="20"/>
              </w:rPr>
            </w:pPr>
            <w:r>
              <w:rPr>
                <w:b/>
                <w:sz w:val="20"/>
                <w:szCs w:val="20"/>
              </w:rPr>
              <w:t>The complete protection time (CPT)</w:t>
            </w:r>
            <w:r>
              <w:rPr>
                <w:sz w:val="20"/>
                <w:szCs w:val="20"/>
              </w:rPr>
              <w:t xml:space="preserve"> was defined as the time interval between the application of repellent and the 1</w:t>
            </w:r>
            <w:r>
              <w:rPr>
                <w:sz w:val="20"/>
                <w:szCs w:val="20"/>
                <w:vertAlign w:val="superscript"/>
              </w:rPr>
              <w:t>st</w:t>
            </w:r>
            <w:r>
              <w:rPr>
                <w:sz w:val="20"/>
                <w:szCs w:val="20"/>
              </w:rPr>
              <w:t xml:space="preserve"> confirmed crossing (Kaplan–Meier analysis).</w:t>
            </w:r>
          </w:p>
        </w:tc>
        <w:tc>
          <w:tcPr>
            <w:tcW w:w="3870" w:type="dxa"/>
          </w:tcPr>
          <w:p w14:paraId="7BD0C2C6" w14:textId="77777777" w:rsidR="002D58E4" w:rsidRDefault="00F721D4">
            <w:pPr>
              <w:rPr>
                <w:sz w:val="20"/>
                <w:szCs w:val="20"/>
              </w:rPr>
            </w:pPr>
            <w:r>
              <w:rPr>
                <w:sz w:val="20"/>
                <w:szCs w:val="20"/>
              </w:rPr>
              <w:t xml:space="preserve">20% DEET resulted in median complete protection times (CPT; Kaplan–Meier median) between 4 and 4.5 h, while 10% EBAAP yielded CPTs of 3.5–4 h. No significant differences were found between the efficacies of two repellents or between the two species tested. The median of the CPT of a 10% Icaridin was 5 h in nymphs of </w:t>
            </w:r>
            <w:r>
              <w:rPr>
                <w:i/>
                <w:sz w:val="20"/>
                <w:szCs w:val="20"/>
              </w:rPr>
              <w:t>I. scapularis</w:t>
            </w:r>
            <w:r>
              <w:rPr>
                <w:sz w:val="20"/>
                <w:szCs w:val="20"/>
              </w:rPr>
              <w:t xml:space="preserve">, but 8 h in those of </w:t>
            </w:r>
            <w:r>
              <w:rPr>
                <w:i/>
                <w:sz w:val="20"/>
                <w:szCs w:val="20"/>
              </w:rPr>
              <w:t>I. ricinus</w:t>
            </w:r>
            <w:r>
              <w:rPr>
                <w:sz w:val="20"/>
                <w:szCs w:val="20"/>
              </w:rPr>
              <w:t xml:space="preserve"> (P &lt; 0.01). </w:t>
            </w:r>
          </w:p>
          <w:p w14:paraId="12CD18CC" w14:textId="77777777" w:rsidR="002D58E4" w:rsidRDefault="002D58E4">
            <w:pPr>
              <w:rPr>
                <w:sz w:val="20"/>
                <w:szCs w:val="20"/>
              </w:rPr>
            </w:pPr>
          </w:p>
          <w:p w14:paraId="613D0F1E" w14:textId="77777777" w:rsidR="002D58E4" w:rsidRDefault="00F721D4">
            <w:pPr>
              <w:rPr>
                <w:sz w:val="20"/>
                <w:szCs w:val="20"/>
              </w:rPr>
            </w:pPr>
            <w:r>
              <w:rPr>
                <w:b/>
                <w:sz w:val="20"/>
                <w:szCs w:val="20"/>
              </w:rPr>
              <w:t>Based on these studies, EBAAP and Icaridin are efficacious alternatives to DEET</w:t>
            </w:r>
            <w:r>
              <w:rPr>
                <w:sz w:val="20"/>
                <w:szCs w:val="20"/>
              </w:rPr>
              <w:t>.</w:t>
            </w:r>
          </w:p>
          <w:p w14:paraId="7E79D6E6" w14:textId="77777777" w:rsidR="002D58E4" w:rsidRDefault="00F721D4">
            <w:pPr>
              <w:rPr>
                <w:sz w:val="20"/>
                <w:szCs w:val="20"/>
              </w:rPr>
            </w:pPr>
            <w:r>
              <w:rPr>
                <w:sz w:val="20"/>
                <w:szCs w:val="20"/>
              </w:rPr>
              <w:br/>
            </w:r>
            <w:r>
              <w:rPr>
                <w:b/>
                <w:sz w:val="20"/>
                <w:szCs w:val="20"/>
              </w:rPr>
              <w:t>No AEs</w:t>
            </w:r>
            <w:r>
              <w:rPr>
                <w:sz w:val="20"/>
                <w:szCs w:val="20"/>
              </w:rPr>
              <w:t>, i.e. cutaneous itching or flushing, were observed or reported.</w:t>
            </w:r>
          </w:p>
        </w:tc>
      </w:tr>
    </w:tbl>
    <w:p w14:paraId="4EBB372F" w14:textId="5A9A716E" w:rsidR="002D58E4" w:rsidRDefault="00F721D4">
      <w:pPr>
        <w:spacing w:line="240" w:lineRule="auto"/>
      </w:pPr>
      <w:r>
        <w:rPr>
          <w:b/>
          <w:sz w:val="20"/>
          <w:szCs w:val="20"/>
        </w:rPr>
        <w:t>*</w:t>
      </w:r>
      <w:r>
        <w:rPr>
          <w:sz w:val="20"/>
          <w:szCs w:val="20"/>
        </w:rPr>
        <w:t xml:space="preserve"> Risk of Bias of Randomized Controlled Trial Data was assessed using the Cochrane Risk of Bias Tool and assigned an overall rating of “High risk” “Unclear Risk” or “Low Risk”. </w:t>
      </w:r>
    </w:p>
    <w:p w14:paraId="7F40F5DD" w14:textId="77777777" w:rsidR="002D58E4" w:rsidRDefault="00F721D4">
      <w:pPr>
        <w:rPr>
          <w:b/>
          <w:sz w:val="28"/>
          <w:szCs w:val="28"/>
        </w:rPr>
      </w:pPr>
      <w:r>
        <w:br w:type="page"/>
      </w:r>
    </w:p>
    <w:p w14:paraId="7A251FC9" w14:textId="77777777" w:rsidR="002D58E4" w:rsidRDefault="00F721D4">
      <w:pPr>
        <w:spacing w:after="0"/>
        <w:ind w:left="360"/>
        <w:rPr>
          <w:b/>
          <w:sz w:val="28"/>
          <w:szCs w:val="28"/>
        </w:rPr>
      </w:pPr>
      <w:r>
        <w:rPr>
          <w:b/>
          <w:sz w:val="28"/>
          <w:szCs w:val="28"/>
        </w:rPr>
        <w:lastRenderedPageBreak/>
        <w:t xml:space="preserve">C) Removal of Attached Ticks </w:t>
      </w:r>
    </w:p>
    <w:p w14:paraId="7D414FA3" w14:textId="77777777" w:rsidR="002D58E4" w:rsidRDefault="00F721D4">
      <w:pPr>
        <w:spacing w:after="0"/>
        <w:ind w:left="360"/>
        <w:rPr>
          <w:b/>
          <w:sz w:val="28"/>
          <w:szCs w:val="28"/>
        </w:rPr>
      </w:pPr>
      <w:r>
        <w:rPr>
          <w:b/>
          <w:sz w:val="28"/>
          <w:szCs w:val="28"/>
        </w:rPr>
        <w:t xml:space="preserve">Tick removal – </w:t>
      </w:r>
      <w:r>
        <w:rPr>
          <w:b/>
          <w:sz w:val="24"/>
          <w:szCs w:val="24"/>
        </w:rPr>
        <w:t>only ani</w:t>
      </w:r>
      <w:bookmarkStart w:id="8" w:name="_GoBack"/>
      <w:bookmarkEnd w:id="8"/>
      <w:r>
        <w:rPr>
          <w:b/>
          <w:sz w:val="24"/>
          <w:szCs w:val="24"/>
        </w:rPr>
        <w:t>mal studies are available.</w:t>
      </w:r>
    </w:p>
    <w:p w14:paraId="4D991687" w14:textId="77777777" w:rsidR="002D58E4" w:rsidRDefault="00F721D4" w:rsidP="00C34495">
      <w:pPr>
        <w:ind w:left="142"/>
        <w:rPr>
          <w:b/>
          <w:sz w:val="32"/>
          <w:szCs w:val="32"/>
        </w:rPr>
      </w:pPr>
      <w:r>
        <w:rPr>
          <w:b/>
          <w:color w:val="000000"/>
          <w:sz w:val="18"/>
          <w:szCs w:val="18"/>
        </w:rPr>
        <w:t>Bibliography:</w:t>
      </w:r>
      <w:r>
        <w:rPr>
          <w:color w:val="000000"/>
          <w:sz w:val="18"/>
          <w:szCs w:val="18"/>
        </w:rPr>
        <w:t xml:space="preserve"> 1. Piesman, et al.</w:t>
      </w:r>
      <w:r>
        <w:rPr>
          <w:sz w:val="18"/>
          <w:szCs w:val="18"/>
        </w:rPr>
        <w:t xml:space="preserve"> </w:t>
      </w:r>
      <w:r>
        <w:rPr>
          <w:i/>
          <w:sz w:val="18"/>
          <w:szCs w:val="18"/>
        </w:rPr>
        <w:t>J Med Entomol</w:t>
      </w:r>
      <w:r>
        <w:rPr>
          <w:sz w:val="18"/>
          <w:szCs w:val="18"/>
        </w:rPr>
        <w:t xml:space="preserve">. 2002 May;39(3):509-12; 2. </w:t>
      </w:r>
      <w:r w:rsidRPr="00F721D4">
        <w:rPr>
          <w:sz w:val="18"/>
          <w:szCs w:val="18"/>
          <w:lang w:val="fr-CA"/>
        </w:rPr>
        <w:t xml:space="preserve">De Boer, et al. </w:t>
      </w:r>
      <w:r w:rsidRPr="00F721D4">
        <w:rPr>
          <w:i/>
          <w:sz w:val="18"/>
          <w:szCs w:val="18"/>
          <w:lang w:val="fr-CA"/>
        </w:rPr>
        <w:t>J Med Entomol.</w:t>
      </w:r>
      <w:r w:rsidRPr="00F721D4">
        <w:rPr>
          <w:sz w:val="18"/>
          <w:szCs w:val="18"/>
          <w:lang w:val="fr-CA"/>
        </w:rPr>
        <w:t xml:space="preserve"> 1993 Jul;30(4):748-52; 3. Duscher, et al. </w:t>
      </w:r>
      <w:r w:rsidRPr="00C10663">
        <w:rPr>
          <w:i/>
          <w:sz w:val="18"/>
          <w:szCs w:val="18"/>
          <w:lang w:val="en-CA"/>
        </w:rPr>
        <w:t>Parasitol Res.</w:t>
      </w:r>
      <w:r w:rsidRPr="00C10663">
        <w:rPr>
          <w:sz w:val="18"/>
          <w:szCs w:val="18"/>
          <w:lang w:val="en-CA"/>
        </w:rPr>
        <w:t xml:space="preserve"> 2012 Oct;111(4):1505-11; 4. </w:t>
      </w:r>
      <w:r>
        <w:rPr>
          <w:sz w:val="18"/>
          <w:szCs w:val="18"/>
        </w:rPr>
        <w:t xml:space="preserve">Needham. </w:t>
      </w:r>
      <w:r>
        <w:rPr>
          <w:i/>
          <w:sz w:val="18"/>
          <w:szCs w:val="18"/>
        </w:rPr>
        <w:t>Pediatrics.</w:t>
      </w:r>
      <w:r>
        <w:rPr>
          <w:sz w:val="18"/>
          <w:szCs w:val="18"/>
        </w:rPr>
        <w:t xml:space="preserve"> 1985 Jun;75(6):997-1002; 5. Stewart, et al. </w:t>
      </w:r>
      <w:r>
        <w:rPr>
          <w:i/>
          <w:sz w:val="18"/>
          <w:szCs w:val="18"/>
        </w:rPr>
        <w:t>Wilderness Environ Med.</w:t>
      </w:r>
      <w:r>
        <w:rPr>
          <w:sz w:val="18"/>
          <w:szCs w:val="18"/>
        </w:rPr>
        <w:t xml:space="preserve"> 1998 Fall;9(3):137-42; 6. Zenner, et al. </w:t>
      </w:r>
      <w:r>
        <w:rPr>
          <w:i/>
          <w:sz w:val="18"/>
          <w:szCs w:val="18"/>
        </w:rPr>
        <w:t>Vet Rec.</w:t>
      </w:r>
      <w:r>
        <w:rPr>
          <w:sz w:val="18"/>
          <w:szCs w:val="18"/>
        </w:rPr>
        <w:t xml:space="preserve"> 2006 Oct 14;159(16):526-9.</w:t>
      </w:r>
    </w:p>
    <w:tbl>
      <w:tblPr>
        <w:tblStyle w:val="a2"/>
        <w:tblW w:w="1437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3150"/>
        <w:gridCol w:w="810"/>
        <w:gridCol w:w="1260"/>
        <w:gridCol w:w="3574"/>
        <w:gridCol w:w="4590"/>
      </w:tblGrid>
      <w:tr w:rsidR="002D58E4" w14:paraId="1803515D" w14:textId="77777777" w:rsidTr="00E70FE5">
        <w:tc>
          <w:tcPr>
            <w:tcW w:w="990" w:type="dxa"/>
            <w:shd w:val="clear" w:color="auto" w:fill="D9D9D9"/>
          </w:tcPr>
          <w:p w14:paraId="05020BB1" w14:textId="77777777" w:rsidR="002D58E4" w:rsidRDefault="00F721D4">
            <w:pPr>
              <w:jc w:val="center"/>
              <w:rPr>
                <w:b/>
                <w:sz w:val="20"/>
                <w:szCs w:val="20"/>
              </w:rPr>
            </w:pPr>
            <w:r>
              <w:rPr>
                <w:b/>
                <w:sz w:val="20"/>
                <w:szCs w:val="20"/>
              </w:rPr>
              <w:t>Study</w:t>
            </w:r>
          </w:p>
        </w:tc>
        <w:tc>
          <w:tcPr>
            <w:tcW w:w="3150" w:type="dxa"/>
            <w:shd w:val="clear" w:color="auto" w:fill="D9D9D9"/>
          </w:tcPr>
          <w:p w14:paraId="3A874630" w14:textId="77777777" w:rsidR="002D58E4" w:rsidRDefault="00F721D4">
            <w:pPr>
              <w:jc w:val="center"/>
              <w:rPr>
                <w:b/>
                <w:sz w:val="20"/>
                <w:szCs w:val="20"/>
              </w:rPr>
            </w:pPr>
            <w:r>
              <w:rPr>
                <w:b/>
                <w:sz w:val="20"/>
                <w:szCs w:val="20"/>
              </w:rPr>
              <w:t>Study Design</w:t>
            </w:r>
          </w:p>
        </w:tc>
        <w:tc>
          <w:tcPr>
            <w:tcW w:w="810" w:type="dxa"/>
            <w:shd w:val="clear" w:color="auto" w:fill="D9D9D9"/>
          </w:tcPr>
          <w:p w14:paraId="729C84D0" w14:textId="77777777" w:rsidR="002D58E4" w:rsidRDefault="00F721D4">
            <w:pPr>
              <w:jc w:val="center"/>
              <w:rPr>
                <w:b/>
                <w:sz w:val="20"/>
                <w:szCs w:val="20"/>
              </w:rPr>
            </w:pPr>
            <w:r>
              <w:rPr>
                <w:b/>
                <w:color w:val="000000"/>
                <w:sz w:val="20"/>
                <w:szCs w:val="20"/>
              </w:rPr>
              <w:t>Risk of bias*</w:t>
            </w:r>
          </w:p>
        </w:tc>
        <w:tc>
          <w:tcPr>
            <w:tcW w:w="1260" w:type="dxa"/>
            <w:shd w:val="clear" w:color="auto" w:fill="D9D9D9"/>
          </w:tcPr>
          <w:p w14:paraId="79A0168C" w14:textId="77777777" w:rsidR="002D58E4" w:rsidRDefault="00F721D4">
            <w:pPr>
              <w:jc w:val="center"/>
              <w:rPr>
                <w:b/>
                <w:sz w:val="20"/>
                <w:szCs w:val="20"/>
              </w:rPr>
            </w:pPr>
            <w:r>
              <w:rPr>
                <w:b/>
                <w:sz w:val="20"/>
                <w:szCs w:val="20"/>
              </w:rPr>
              <w:t>Tick species/ pathogens under study</w:t>
            </w:r>
          </w:p>
        </w:tc>
        <w:tc>
          <w:tcPr>
            <w:tcW w:w="3574" w:type="dxa"/>
            <w:shd w:val="clear" w:color="auto" w:fill="D9D9D9"/>
          </w:tcPr>
          <w:p w14:paraId="0D8DE3C9" w14:textId="77777777" w:rsidR="002D58E4" w:rsidRDefault="00F721D4">
            <w:pPr>
              <w:jc w:val="center"/>
              <w:rPr>
                <w:b/>
                <w:sz w:val="20"/>
                <w:szCs w:val="20"/>
              </w:rPr>
            </w:pPr>
            <w:r>
              <w:rPr>
                <w:b/>
                <w:sz w:val="20"/>
                <w:szCs w:val="20"/>
              </w:rPr>
              <w:t>Interventions studied/ study question</w:t>
            </w:r>
          </w:p>
        </w:tc>
        <w:tc>
          <w:tcPr>
            <w:tcW w:w="4590" w:type="dxa"/>
            <w:shd w:val="clear" w:color="auto" w:fill="D9D9D9"/>
          </w:tcPr>
          <w:p w14:paraId="1768514A" w14:textId="77777777" w:rsidR="002D58E4" w:rsidRDefault="00F721D4">
            <w:pPr>
              <w:jc w:val="center"/>
              <w:rPr>
                <w:b/>
                <w:sz w:val="20"/>
                <w:szCs w:val="20"/>
              </w:rPr>
            </w:pPr>
            <w:r>
              <w:rPr>
                <w:b/>
                <w:sz w:val="20"/>
                <w:szCs w:val="20"/>
              </w:rPr>
              <w:t>Outcomes, Results and Conclusions</w:t>
            </w:r>
          </w:p>
        </w:tc>
      </w:tr>
      <w:tr w:rsidR="002D58E4" w14:paraId="281FCF84" w14:textId="77777777" w:rsidTr="00E70FE5">
        <w:tc>
          <w:tcPr>
            <w:tcW w:w="990" w:type="dxa"/>
          </w:tcPr>
          <w:p w14:paraId="52550938" w14:textId="77777777" w:rsidR="002D58E4" w:rsidRDefault="00F721D4">
            <w:pPr>
              <w:rPr>
                <w:sz w:val="20"/>
                <w:szCs w:val="20"/>
              </w:rPr>
            </w:pPr>
            <w:r>
              <w:rPr>
                <w:sz w:val="20"/>
                <w:szCs w:val="20"/>
              </w:rPr>
              <w:t>Piesman, 2002</w:t>
            </w:r>
          </w:p>
        </w:tc>
        <w:tc>
          <w:tcPr>
            <w:tcW w:w="3150" w:type="dxa"/>
          </w:tcPr>
          <w:p w14:paraId="234F782C" w14:textId="77777777" w:rsidR="002D58E4" w:rsidRDefault="00F721D4">
            <w:pPr>
              <w:rPr>
                <w:sz w:val="20"/>
                <w:szCs w:val="20"/>
              </w:rPr>
            </w:pPr>
            <w:r>
              <w:rPr>
                <w:b/>
                <w:sz w:val="20"/>
                <w:szCs w:val="20"/>
              </w:rPr>
              <w:t>Lab. animal study (ticks attached to mice or rabbit ears)</w:t>
            </w:r>
            <w:r>
              <w:rPr>
                <w:sz w:val="20"/>
                <w:szCs w:val="20"/>
              </w:rPr>
              <w:t xml:space="preserve">:  Studied whether crushing the tick during removal with forceps increased the risk of </w:t>
            </w:r>
            <w:r>
              <w:rPr>
                <w:i/>
                <w:sz w:val="20"/>
                <w:szCs w:val="20"/>
              </w:rPr>
              <w:t xml:space="preserve">B. burgdorferi </w:t>
            </w:r>
            <w:r>
              <w:rPr>
                <w:sz w:val="20"/>
                <w:szCs w:val="20"/>
              </w:rPr>
              <w:t xml:space="preserve">transmission; what degree of protection from transmission was provided by removal of nymphal </w:t>
            </w:r>
            <w:r>
              <w:rPr>
                <w:i/>
                <w:sz w:val="20"/>
                <w:szCs w:val="20"/>
              </w:rPr>
              <w:t xml:space="preserve">I. scapularis </w:t>
            </w:r>
            <w:r>
              <w:rPr>
                <w:sz w:val="20"/>
                <w:szCs w:val="20"/>
              </w:rPr>
              <w:t>at specific intervals; and whether commercial devices marketed for tick removal worked on the nymphs.</w:t>
            </w:r>
          </w:p>
        </w:tc>
        <w:tc>
          <w:tcPr>
            <w:tcW w:w="810" w:type="dxa"/>
          </w:tcPr>
          <w:p w14:paraId="3AC1E6C2" w14:textId="77777777" w:rsidR="002D58E4" w:rsidRDefault="00F721D4">
            <w:pPr>
              <w:jc w:val="center"/>
              <w:rPr>
                <w:sz w:val="20"/>
                <w:szCs w:val="20"/>
              </w:rPr>
            </w:pPr>
            <w:r>
              <w:rPr>
                <w:sz w:val="20"/>
                <w:szCs w:val="20"/>
              </w:rPr>
              <w:t>NA</w:t>
            </w:r>
          </w:p>
        </w:tc>
        <w:tc>
          <w:tcPr>
            <w:tcW w:w="1260" w:type="dxa"/>
          </w:tcPr>
          <w:p w14:paraId="3BBE71D9" w14:textId="77777777" w:rsidR="002D58E4" w:rsidRDefault="00F721D4">
            <w:pPr>
              <w:rPr>
                <w:sz w:val="20"/>
                <w:szCs w:val="20"/>
              </w:rPr>
            </w:pPr>
            <w:r>
              <w:rPr>
                <w:i/>
                <w:sz w:val="20"/>
                <w:szCs w:val="20"/>
              </w:rPr>
              <w:t>Ixodes scapularis/</w:t>
            </w:r>
          </w:p>
          <w:p w14:paraId="142275B7" w14:textId="77777777" w:rsidR="002D58E4" w:rsidRDefault="00F721D4">
            <w:pPr>
              <w:rPr>
                <w:sz w:val="20"/>
                <w:szCs w:val="20"/>
              </w:rPr>
            </w:pPr>
            <w:r>
              <w:rPr>
                <w:i/>
                <w:sz w:val="20"/>
                <w:szCs w:val="20"/>
              </w:rPr>
              <w:t>Borrelia burgdorferi</w:t>
            </w:r>
          </w:p>
        </w:tc>
        <w:tc>
          <w:tcPr>
            <w:tcW w:w="3574" w:type="dxa"/>
          </w:tcPr>
          <w:p w14:paraId="090AA5D5" w14:textId="77777777" w:rsidR="002D58E4" w:rsidRDefault="00F721D4">
            <w:pPr>
              <w:rPr>
                <w:b/>
                <w:sz w:val="20"/>
                <w:szCs w:val="20"/>
              </w:rPr>
            </w:pPr>
            <w:r>
              <w:rPr>
                <w:b/>
                <w:sz w:val="20"/>
                <w:szCs w:val="20"/>
              </w:rPr>
              <w:t>Tick removal methods:</w:t>
            </w:r>
          </w:p>
          <w:p w14:paraId="78888044" w14:textId="77777777" w:rsidR="002D58E4" w:rsidRDefault="00F721D4">
            <w:pPr>
              <w:numPr>
                <w:ilvl w:val="0"/>
                <w:numId w:val="52"/>
              </w:numPr>
              <w:rPr>
                <w:sz w:val="20"/>
                <w:szCs w:val="20"/>
              </w:rPr>
            </w:pPr>
            <w:r>
              <w:rPr>
                <w:sz w:val="20"/>
                <w:szCs w:val="20"/>
              </w:rPr>
              <w:t>Grasping near mouthparts and pulling with forceps using steady gentle pressure;</w:t>
            </w:r>
          </w:p>
          <w:p w14:paraId="27ADB122" w14:textId="77777777" w:rsidR="002D58E4" w:rsidRDefault="00F721D4">
            <w:pPr>
              <w:numPr>
                <w:ilvl w:val="0"/>
                <w:numId w:val="52"/>
              </w:numPr>
              <w:rPr>
                <w:sz w:val="20"/>
                <w:szCs w:val="20"/>
              </w:rPr>
            </w:pPr>
            <w:r>
              <w:rPr>
                <w:sz w:val="20"/>
                <w:szCs w:val="20"/>
              </w:rPr>
              <w:t>Grasping throughout the length of the body with the opisthosoma of the tick crushed or pierced during removal</w:t>
            </w:r>
          </w:p>
          <w:p w14:paraId="4D7125B7" w14:textId="77777777" w:rsidR="002D58E4" w:rsidRDefault="00F721D4">
            <w:pPr>
              <w:numPr>
                <w:ilvl w:val="0"/>
                <w:numId w:val="52"/>
              </w:numPr>
              <w:rPr>
                <w:sz w:val="20"/>
                <w:szCs w:val="20"/>
              </w:rPr>
            </w:pPr>
            <w:r>
              <w:rPr>
                <w:sz w:val="20"/>
                <w:szCs w:val="20"/>
              </w:rPr>
              <w:t>“Sham procedure”: placing the forceps on the tick but then withdrawing the forceps without effecting tick removal.</w:t>
            </w:r>
          </w:p>
        </w:tc>
        <w:tc>
          <w:tcPr>
            <w:tcW w:w="4590" w:type="dxa"/>
          </w:tcPr>
          <w:p w14:paraId="08C0B872" w14:textId="77777777" w:rsidR="002D58E4" w:rsidRDefault="00F721D4">
            <w:pPr>
              <w:rPr>
                <w:sz w:val="20"/>
                <w:szCs w:val="20"/>
              </w:rPr>
            </w:pPr>
            <w:r>
              <w:rPr>
                <w:sz w:val="20"/>
                <w:szCs w:val="20"/>
              </w:rPr>
              <w:t xml:space="preserve">Both </w:t>
            </w:r>
            <w:r>
              <w:rPr>
                <w:b/>
                <w:sz w:val="20"/>
                <w:szCs w:val="20"/>
              </w:rPr>
              <w:t>remova</w:t>
            </w:r>
            <w:r>
              <w:rPr>
                <w:sz w:val="20"/>
                <w:szCs w:val="20"/>
              </w:rPr>
              <w:t xml:space="preserve">l via gentle pressure or crushing the tick </w:t>
            </w:r>
            <w:r>
              <w:rPr>
                <w:b/>
                <w:sz w:val="20"/>
                <w:szCs w:val="20"/>
              </w:rPr>
              <w:t>caused a significant decrease in transmission vs. the sham control</w:t>
            </w:r>
            <w:r>
              <w:rPr>
                <w:sz w:val="20"/>
                <w:szCs w:val="20"/>
              </w:rPr>
              <w:t xml:space="preserve">. There was </w:t>
            </w:r>
            <w:r>
              <w:rPr>
                <w:b/>
                <w:sz w:val="20"/>
                <w:szCs w:val="20"/>
              </w:rPr>
              <w:t>no significant difference between the gentle and crushing methods regarding transmission risk</w:t>
            </w:r>
            <w:r>
              <w:rPr>
                <w:sz w:val="20"/>
                <w:szCs w:val="20"/>
              </w:rPr>
              <w:t xml:space="preserve">. </w:t>
            </w:r>
          </w:p>
          <w:p w14:paraId="6470B485" w14:textId="77777777" w:rsidR="002D58E4" w:rsidRDefault="002D58E4">
            <w:pPr>
              <w:rPr>
                <w:sz w:val="20"/>
                <w:szCs w:val="20"/>
              </w:rPr>
            </w:pPr>
          </w:p>
          <w:p w14:paraId="52CA3A9E" w14:textId="77777777" w:rsidR="002D58E4" w:rsidRDefault="00F721D4">
            <w:pPr>
              <w:rPr>
                <w:sz w:val="20"/>
                <w:szCs w:val="20"/>
              </w:rPr>
            </w:pPr>
            <w:r>
              <w:rPr>
                <w:sz w:val="20"/>
                <w:szCs w:val="20"/>
              </w:rPr>
              <w:t xml:space="preserve">Transmission of </w:t>
            </w:r>
            <w:r>
              <w:rPr>
                <w:i/>
                <w:sz w:val="20"/>
                <w:szCs w:val="20"/>
              </w:rPr>
              <w:t xml:space="preserve">B. burgdorferi </w:t>
            </w:r>
            <w:r>
              <w:rPr>
                <w:sz w:val="20"/>
                <w:szCs w:val="20"/>
              </w:rPr>
              <w:t xml:space="preserve">was significantly impacted by tick removal at 24, 48, 54, and 60 h. </w:t>
            </w:r>
            <w:r>
              <w:rPr>
                <w:b/>
                <w:sz w:val="20"/>
                <w:szCs w:val="20"/>
              </w:rPr>
              <w:t>At 66 hours, tick removal offered no protection against transmission.</w:t>
            </w:r>
            <w:r>
              <w:rPr>
                <w:sz w:val="20"/>
                <w:szCs w:val="20"/>
              </w:rPr>
              <w:t xml:space="preserve"> </w:t>
            </w:r>
          </w:p>
          <w:p w14:paraId="3337933F" w14:textId="77777777" w:rsidR="002D58E4" w:rsidRDefault="002D58E4">
            <w:pPr>
              <w:rPr>
                <w:sz w:val="20"/>
                <w:szCs w:val="20"/>
              </w:rPr>
            </w:pPr>
          </w:p>
          <w:p w14:paraId="7618952D" w14:textId="77777777" w:rsidR="002D58E4" w:rsidRDefault="00F721D4">
            <w:pPr>
              <w:rPr>
                <w:sz w:val="20"/>
                <w:szCs w:val="20"/>
              </w:rPr>
            </w:pPr>
            <w:r>
              <w:rPr>
                <w:sz w:val="20"/>
                <w:szCs w:val="20"/>
              </w:rPr>
              <w:t xml:space="preserve">The commercially available devices (N=12; see table in the article) varied widely in their efficacy for removing nymphal </w:t>
            </w:r>
            <w:r>
              <w:rPr>
                <w:i/>
                <w:sz w:val="20"/>
                <w:szCs w:val="20"/>
              </w:rPr>
              <w:t xml:space="preserve">I. scapularis </w:t>
            </w:r>
            <w:r>
              <w:rPr>
                <w:sz w:val="20"/>
                <w:szCs w:val="20"/>
              </w:rPr>
              <w:t>(counted as N of successful removals out of 5 attempts each).</w:t>
            </w:r>
          </w:p>
        </w:tc>
      </w:tr>
      <w:tr w:rsidR="002D58E4" w14:paraId="789037D4" w14:textId="77777777" w:rsidTr="00E70FE5">
        <w:tc>
          <w:tcPr>
            <w:tcW w:w="990" w:type="dxa"/>
          </w:tcPr>
          <w:p w14:paraId="6768D1A5" w14:textId="77777777" w:rsidR="002D58E4" w:rsidRDefault="00F721D4">
            <w:pPr>
              <w:rPr>
                <w:sz w:val="20"/>
                <w:szCs w:val="20"/>
              </w:rPr>
            </w:pPr>
            <w:r>
              <w:rPr>
                <w:sz w:val="20"/>
                <w:szCs w:val="20"/>
              </w:rPr>
              <w:t>De Boer, 1993</w:t>
            </w:r>
          </w:p>
        </w:tc>
        <w:tc>
          <w:tcPr>
            <w:tcW w:w="3150" w:type="dxa"/>
          </w:tcPr>
          <w:p w14:paraId="3B3F86DA" w14:textId="77777777" w:rsidR="002D58E4" w:rsidRDefault="00F721D4">
            <w:pPr>
              <w:rPr>
                <w:sz w:val="20"/>
                <w:szCs w:val="20"/>
              </w:rPr>
            </w:pPr>
            <w:r>
              <w:rPr>
                <w:sz w:val="20"/>
                <w:szCs w:val="20"/>
              </w:rPr>
              <w:t xml:space="preserve">Chemical and mechanical methods of removing I. ricinus attached to the skin of </w:t>
            </w:r>
            <w:r>
              <w:rPr>
                <w:b/>
                <w:sz w:val="20"/>
                <w:szCs w:val="20"/>
              </w:rPr>
              <w:t>pigs and sheep</w:t>
            </w:r>
            <w:r>
              <w:rPr>
                <w:sz w:val="20"/>
                <w:szCs w:val="20"/>
              </w:rPr>
              <w:t xml:space="preserve"> were tested experimentally.</w:t>
            </w:r>
          </w:p>
        </w:tc>
        <w:tc>
          <w:tcPr>
            <w:tcW w:w="810" w:type="dxa"/>
          </w:tcPr>
          <w:p w14:paraId="0F251FDB" w14:textId="77777777" w:rsidR="002D58E4" w:rsidRDefault="00F721D4">
            <w:pPr>
              <w:jc w:val="center"/>
              <w:rPr>
                <w:sz w:val="20"/>
                <w:szCs w:val="20"/>
              </w:rPr>
            </w:pPr>
            <w:r>
              <w:rPr>
                <w:sz w:val="20"/>
                <w:szCs w:val="20"/>
              </w:rPr>
              <w:t>NA</w:t>
            </w:r>
          </w:p>
        </w:tc>
        <w:tc>
          <w:tcPr>
            <w:tcW w:w="1260" w:type="dxa"/>
          </w:tcPr>
          <w:p w14:paraId="1E43D30D" w14:textId="77777777" w:rsidR="002D58E4" w:rsidRDefault="00F721D4">
            <w:pPr>
              <w:rPr>
                <w:i/>
                <w:sz w:val="20"/>
                <w:szCs w:val="20"/>
              </w:rPr>
            </w:pPr>
            <w:r>
              <w:rPr>
                <w:i/>
                <w:sz w:val="20"/>
                <w:szCs w:val="20"/>
              </w:rPr>
              <w:t>Ixodes ricinus</w:t>
            </w:r>
          </w:p>
        </w:tc>
        <w:tc>
          <w:tcPr>
            <w:tcW w:w="3574" w:type="dxa"/>
          </w:tcPr>
          <w:p w14:paraId="2B045FEF" w14:textId="77777777" w:rsidR="002D58E4" w:rsidRDefault="00F721D4">
            <w:pPr>
              <w:numPr>
                <w:ilvl w:val="0"/>
                <w:numId w:val="43"/>
              </w:numPr>
              <w:rPr>
                <w:sz w:val="20"/>
                <w:szCs w:val="20"/>
              </w:rPr>
            </w:pPr>
            <w:r>
              <w:rPr>
                <w:b/>
                <w:sz w:val="20"/>
                <w:szCs w:val="20"/>
              </w:rPr>
              <w:t>chemical treatments (gasoline, fingernail polish</w:t>
            </w:r>
            <w:r>
              <w:rPr>
                <w:sz w:val="20"/>
                <w:szCs w:val="20"/>
              </w:rPr>
              <w:t xml:space="preserve">, and </w:t>
            </w:r>
            <w:r>
              <w:rPr>
                <w:b/>
                <w:sz w:val="20"/>
                <w:szCs w:val="20"/>
              </w:rPr>
              <w:t>methylated spirit</w:t>
            </w:r>
            <w:r>
              <w:rPr>
                <w:sz w:val="20"/>
                <w:szCs w:val="20"/>
              </w:rPr>
              <w:t>)</w:t>
            </w:r>
          </w:p>
          <w:p w14:paraId="61E10EDE" w14:textId="77777777" w:rsidR="002D58E4" w:rsidRDefault="00F721D4">
            <w:pPr>
              <w:numPr>
                <w:ilvl w:val="0"/>
                <w:numId w:val="43"/>
              </w:numPr>
              <w:rPr>
                <w:sz w:val="20"/>
                <w:szCs w:val="20"/>
              </w:rPr>
            </w:pPr>
            <w:r>
              <w:rPr>
                <w:b/>
                <w:sz w:val="20"/>
                <w:szCs w:val="20"/>
              </w:rPr>
              <w:t>mechanical removal</w:t>
            </w:r>
            <w:r>
              <w:rPr>
                <w:sz w:val="20"/>
                <w:szCs w:val="20"/>
              </w:rPr>
              <w:t xml:space="preserve"> of the tick: </w:t>
            </w:r>
            <w:r>
              <w:rPr>
                <w:b/>
                <w:sz w:val="20"/>
                <w:szCs w:val="20"/>
              </w:rPr>
              <w:t>(1)</w:t>
            </w:r>
            <w:r>
              <w:rPr>
                <w:sz w:val="20"/>
                <w:szCs w:val="20"/>
              </w:rPr>
              <w:t xml:space="preserve"> </w:t>
            </w:r>
            <w:r>
              <w:rPr>
                <w:b/>
                <w:sz w:val="20"/>
                <w:szCs w:val="20"/>
              </w:rPr>
              <w:t>pulling straight out</w:t>
            </w:r>
            <w:r>
              <w:rPr>
                <w:sz w:val="20"/>
                <w:szCs w:val="20"/>
              </w:rPr>
              <w:t xml:space="preserve"> with blunt</w:t>
            </w:r>
            <w:r>
              <w:rPr>
                <w:b/>
                <w:sz w:val="20"/>
                <w:szCs w:val="20"/>
              </w:rPr>
              <w:t xml:space="preserve"> forceps </w:t>
            </w:r>
            <w:r>
              <w:rPr>
                <w:sz w:val="20"/>
                <w:szCs w:val="20"/>
              </w:rPr>
              <w:t xml:space="preserve">and </w:t>
            </w:r>
            <w:r>
              <w:rPr>
                <w:b/>
                <w:sz w:val="20"/>
                <w:szCs w:val="20"/>
              </w:rPr>
              <w:t>(2)</w:t>
            </w:r>
            <w:r>
              <w:rPr>
                <w:sz w:val="20"/>
                <w:szCs w:val="20"/>
              </w:rPr>
              <w:t xml:space="preserve"> </w:t>
            </w:r>
            <w:r>
              <w:rPr>
                <w:b/>
                <w:sz w:val="20"/>
                <w:szCs w:val="20"/>
              </w:rPr>
              <w:t>rotation of the tick</w:t>
            </w:r>
            <w:r>
              <w:rPr>
                <w:sz w:val="20"/>
                <w:szCs w:val="20"/>
              </w:rPr>
              <w:t xml:space="preserve"> around its body axis, using a </w:t>
            </w:r>
            <w:r>
              <w:rPr>
                <w:b/>
                <w:sz w:val="20"/>
                <w:szCs w:val="20"/>
              </w:rPr>
              <w:t>"Tick Solution" forceps</w:t>
            </w:r>
            <w:r>
              <w:rPr>
                <w:sz w:val="20"/>
                <w:szCs w:val="20"/>
              </w:rPr>
              <w:t xml:space="preserve"> device</w:t>
            </w:r>
          </w:p>
        </w:tc>
        <w:tc>
          <w:tcPr>
            <w:tcW w:w="4590" w:type="dxa"/>
          </w:tcPr>
          <w:p w14:paraId="12043996" w14:textId="77777777" w:rsidR="002D58E4" w:rsidRDefault="00F721D4">
            <w:pPr>
              <w:rPr>
                <w:sz w:val="20"/>
                <w:szCs w:val="20"/>
              </w:rPr>
            </w:pPr>
            <w:r>
              <w:rPr>
                <w:b/>
                <w:sz w:val="20"/>
                <w:szCs w:val="20"/>
              </w:rPr>
              <w:t>Chemical treatments failed</w:t>
            </w:r>
            <w:r>
              <w:rPr>
                <w:sz w:val="20"/>
                <w:szCs w:val="20"/>
              </w:rPr>
              <w:t xml:space="preserve"> to induce self-detachment of the ticks.</w:t>
            </w:r>
          </w:p>
          <w:p w14:paraId="4721E84A" w14:textId="77777777" w:rsidR="002D58E4" w:rsidRDefault="002D58E4">
            <w:pPr>
              <w:rPr>
                <w:sz w:val="20"/>
                <w:szCs w:val="20"/>
              </w:rPr>
            </w:pPr>
          </w:p>
          <w:p w14:paraId="7AD92C95" w14:textId="77777777" w:rsidR="002D58E4" w:rsidRDefault="00F721D4">
            <w:pPr>
              <w:rPr>
                <w:sz w:val="20"/>
                <w:szCs w:val="20"/>
              </w:rPr>
            </w:pPr>
            <w:r>
              <w:rPr>
                <w:b/>
                <w:sz w:val="20"/>
                <w:szCs w:val="20"/>
              </w:rPr>
              <w:t>Pulling</w:t>
            </w:r>
            <w:r>
              <w:rPr>
                <w:sz w:val="20"/>
                <w:szCs w:val="20"/>
              </w:rPr>
              <w:t xml:space="preserve"> frequently resulted in the complete removal of the tick, but fragments of the mouthparts that remained in the skin were often quite large.  In contrast, if the tick was removed by </w:t>
            </w:r>
            <w:r>
              <w:rPr>
                <w:b/>
                <w:sz w:val="20"/>
                <w:szCs w:val="20"/>
              </w:rPr>
              <w:t xml:space="preserve">rotation </w:t>
            </w:r>
            <w:r>
              <w:rPr>
                <w:sz w:val="20"/>
                <w:szCs w:val="20"/>
              </w:rPr>
              <w:t xml:space="preserve">without pulling, the tip of the hypostome usually broke off and remained in the skin, but the remaining parts were small. </w:t>
            </w:r>
          </w:p>
        </w:tc>
      </w:tr>
      <w:tr w:rsidR="002D58E4" w14:paraId="3575CD6F" w14:textId="77777777" w:rsidTr="00E70FE5">
        <w:tc>
          <w:tcPr>
            <w:tcW w:w="990" w:type="dxa"/>
          </w:tcPr>
          <w:p w14:paraId="4FBAA8D7" w14:textId="77777777" w:rsidR="002D58E4" w:rsidRDefault="00F721D4">
            <w:pPr>
              <w:rPr>
                <w:sz w:val="20"/>
                <w:szCs w:val="20"/>
              </w:rPr>
            </w:pPr>
            <w:r>
              <w:rPr>
                <w:sz w:val="20"/>
                <w:szCs w:val="20"/>
              </w:rPr>
              <w:t>Duscher, 2012</w:t>
            </w:r>
          </w:p>
        </w:tc>
        <w:tc>
          <w:tcPr>
            <w:tcW w:w="3150" w:type="dxa"/>
          </w:tcPr>
          <w:p w14:paraId="46EC1E71" w14:textId="77777777" w:rsidR="002D58E4" w:rsidRDefault="00F721D4">
            <w:pPr>
              <w:rPr>
                <w:sz w:val="20"/>
                <w:szCs w:val="20"/>
              </w:rPr>
            </w:pPr>
            <w:r>
              <w:rPr>
                <w:b/>
                <w:sz w:val="20"/>
                <w:szCs w:val="20"/>
              </w:rPr>
              <w:t>Field study of tick removal devices</w:t>
            </w:r>
            <w:r>
              <w:rPr>
                <w:sz w:val="20"/>
                <w:szCs w:val="20"/>
              </w:rPr>
              <w:t xml:space="preserve"> with different mechanisms that were </w:t>
            </w:r>
            <w:r>
              <w:rPr>
                <w:b/>
                <w:sz w:val="20"/>
                <w:szCs w:val="20"/>
              </w:rPr>
              <w:t>tested on pets</w:t>
            </w:r>
            <w:r>
              <w:rPr>
                <w:sz w:val="20"/>
                <w:szCs w:val="20"/>
              </w:rPr>
              <w:t xml:space="preserve">.  </w:t>
            </w:r>
          </w:p>
          <w:p w14:paraId="6B58A2D3" w14:textId="77777777" w:rsidR="002D58E4" w:rsidRDefault="00F721D4">
            <w:pPr>
              <w:rPr>
                <w:sz w:val="20"/>
                <w:szCs w:val="20"/>
              </w:rPr>
            </w:pPr>
            <w:r>
              <w:rPr>
                <w:sz w:val="20"/>
                <w:szCs w:val="20"/>
              </w:rPr>
              <w:lastRenderedPageBreak/>
              <w:t>Veterinarians and pet owners removed ticks from various animals by using the different devices and filled in a questionnaire for each case.</w:t>
            </w:r>
          </w:p>
        </w:tc>
        <w:tc>
          <w:tcPr>
            <w:tcW w:w="810" w:type="dxa"/>
          </w:tcPr>
          <w:p w14:paraId="426B6752" w14:textId="77777777" w:rsidR="002D58E4" w:rsidRDefault="00F721D4">
            <w:pPr>
              <w:jc w:val="center"/>
              <w:rPr>
                <w:sz w:val="20"/>
                <w:szCs w:val="20"/>
              </w:rPr>
            </w:pPr>
            <w:r>
              <w:rPr>
                <w:sz w:val="20"/>
                <w:szCs w:val="20"/>
              </w:rPr>
              <w:lastRenderedPageBreak/>
              <w:t>NA</w:t>
            </w:r>
          </w:p>
        </w:tc>
        <w:tc>
          <w:tcPr>
            <w:tcW w:w="1260" w:type="dxa"/>
          </w:tcPr>
          <w:p w14:paraId="2D679992" w14:textId="77777777" w:rsidR="002D58E4" w:rsidRDefault="00F721D4">
            <w:pPr>
              <w:rPr>
                <w:i/>
                <w:sz w:val="20"/>
                <w:szCs w:val="20"/>
              </w:rPr>
            </w:pPr>
            <w:r>
              <w:rPr>
                <w:i/>
                <w:sz w:val="20"/>
                <w:szCs w:val="20"/>
              </w:rPr>
              <w:t>Ixodes ricinus</w:t>
            </w:r>
          </w:p>
        </w:tc>
        <w:tc>
          <w:tcPr>
            <w:tcW w:w="3574" w:type="dxa"/>
          </w:tcPr>
          <w:p w14:paraId="7A7B3546" w14:textId="77777777" w:rsidR="002D58E4" w:rsidRDefault="00F721D4">
            <w:pPr>
              <w:rPr>
                <w:b/>
                <w:sz w:val="20"/>
                <w:szCs w:val="20"/>
              </w:rPr>
            </w:pPr>
            <w:r>
              <w:rPr>
                <w:b/>
                <w:sz w:val="20"/>
                <w:szCs w:val="20"/>
              </w:rPr>
              <w:t xml:space="preserve">Five commercial devices: </w:t>
            </w:r>
          </w:p>
          <w:p w14:paraId="63B7CA52" w14:textId="77777777" w:rsidR="002D58E4" w:rsidRDefault="00F721D4">
            <w:pPr>
              <w:numPr>
                <w:ilvl w:val="0"/>
                <w:numId w:val="27"/>
              </w:numPr>
              <w:rPr>
                <w:sz w:val="20"/>
                <w:szCs w:val="20"/>
              </w:rPr>
            </w:pPr>
            <w:r>
              <w:rPr>
                <w:sz w:val="20"/>
                <w:szCs w:val="20"/>
              </w:rPr>
              <w:t>“forceps”, i. e. Adson forceps (pulling);</w:t>
            </w:r>
          </w:p>
          <w:p w14:paraId="1CD98A6D" w14:textId="77777777" w:rsidR="002D58E4" w:rsidRDefault="00F721D4">
            <w:pPr>
              <w:numPr>
                <w:ilvl w:val="0"/>
                <w:numId w:val="27"/>
              </w:numPr>
              <w:rPr>
                <w:sz w:val="20"/>
                <w:szCs w:val="20"/>
              </w:rPr>
            </w:pPr>
            <w:r>
              <w:rPr>
                <w:sz w:val="20"/>
                <w:szCs w:val="20"/>
              </w:rPr>
              <w:t>“card”, i. e.TickPic (pulling);</w:t>
            </w:r>
          </w:p>
          <w:p w14:paraId="60A03AE2" w14:textId="77777777" w:rsidR="002D58E4" w:rsidRDefault="00F721D4">
            <w:pPr>
              <w:numPr>
                <w:ilvl w:val="0"/>
                <w:numId w:val="27"/>
              </w:numPr>
              <w:rPr>
                <w:sz w:val="20"/>
                <w:szCs w:val="20"/>
              </w:rPr>
            </w:pPr>
            <w:r>
              <w:rPr>
                <w:sz w:val="20"/>
                <w:szCs w:val="20"/>
              </w:rPr>
              <w:lastRenderedPageBreak/>
              <w:t xml:space="preserve">“lasso”, i. e. Trix® tick remover (rotation); </w:t>
            </w:r>
          </w:p>
          <w:p w14:paraId="7DFFCE48" w14:textId="77777777" w:rsidR="002D58E4" w:rsidRDefault="00F721D4">
            <w:pPr>
              <w:numPr>
                <w:ilvl w:val="0"/>
                <w:numId w:val="27"/>
              </w:numPr>
              <w:rPr>
                <w:sz w:val="20"/>
                <w:szCs w:val="20"/>
              </w:rPr>
            </w:pPr>
            <w:r>
              <w:rPr>
                <w:sz w:val="20"/>
                <w:szCs w:val="20"/>
              </w:rPr>
              <w:t>the Tick Twister® (V-shaped slot, twisting); and</w:t>
            </w:r>
          </w:p>
          <w:p w14:paraId="5999ACB8" w14:textId="77777777" w:rsidR="002D58E4" w:rsidRDefault="00F721D4">
            <w:pPr>
              <w:numPr>
                <w:ilvl w:val="0"/>
                <w:numId w:val="27"/>
              </w:numPr>
              <w:rPr>
                <w:sz w:val="20"/>
                <w:szCs w:val="20"/>
              </w:rPr>
            </w:pPr>
            <w:r>
              <w:rPr>
                <w:sz w:val="20"/>
                <w:szCs w:val="20"/>
              </w:rPr>
              <w:t>pen-tweezers (twisting)</w:t>
            </w:r>
          </w:p>
        </w:tc>
        <w:tc>
          <w:tcPr>
            <w:tcW w:w="4590" w:type="dxa"/>
          </w:tcPr>
          <w:p w14:paraId="778405C0" w14:textId="77777777" w:rsidR="002D58E4" w:rsidRDefault="00F721D4">
            <w:pPr>
              <w:rPr>
                <w:sz w:val="20"/>
                <w:szCs w:val="20"/>
              </w:rPr>
            </w:pPr>
            <w:r>
              <w:rPr>
                <w:sz w:val="20"/>
                <w:szCs w:val="20"/>
              </w:rPr>
              <w:lastRenderedPageBreak/>
              <w:t xml:space="preserve">The devices were rated according to force required for extraction, the ease of handling, the adverse reaction of the animal, the time needed for removal, and the </w:t>
            </w:r>
            <w:r>
              <w:rPr>
                <w:sz w:val="20"/>
                <w:szCs w:val="20"/>
              </w:rPr>
              <w:lastRenderedPageBreak/>
              <w:t xml:space="preserve">quality of removal as evaluated by the female </w:t>
            </w:r>
            <w:r>
              <w:rPr>
                <w:i/>
                <w:sz w:val="20"/>
                <w:szCs w:val="20"/>
              </w:rPr>
              <w:t>I. ricinus</w:t>
            </w:r>
            <w:r>
              <w:rPr>
                <w:sz w:val="20"/>
                <w:szCs w:val="20"/>
              </w:rPr>
              <w:t xml:space="preserve"> tick’s mouthparts and body injury (amount of squeezing).</w:t>
            </w:r>
          </w:p>
          <w:p w14:paraId="1EDDA112" w14:textId="77777777" w:rsidR="002D58E4" w:rsidRDefault="00F721D4">
            <w:pPr>
              <w:rPr>
                <w:sz w:val="20"/>
                <w:szCs w:val="20"/>
              </w:rPr>
            </w:pPr>
            <w:r>
              <w:rPr>
                <w:b/>
                <w:sz w:val="20"/>
                <w:szCs w:val="20"/>
              </w:rPr>
              <w:t>Twisting (i.e. rotation as opposed to pulling) of the ticks reduced the force required for extraction, the adverse reaction of the animal and the time needed for removal</w:t>
            </w:r>
            <w:r>
              <w:rPr>
                <w:sz w:val="20"/>
                <w:szCs w:val="20"/>
              </w:rPr>
              <w:t>.  The device with a “</w:t>
            </w:r>
            <w:r>
              <w:rPr>
                <w:b/>
                <w:sz w:val="20"/>
                <w:szCs w:val="20"/>
              </w:rPr>
              <w:t>V”-shaped slot</w:t>
            </w:r>
            <w:r>
              <w:rPr>
                <w:sz w:val="20"/>
                <w:szCs w:val="20"/>
              </w:rPr>
              <w:t>, which allows a grabbing of the mouthparts (</w:t>
            </w:r>
            <w:r>
              <w:rPr>
                <w:i/>
                <w:sz w:val="20"/>
                <w:szCs w:val="20"/>
              </w:rPr>
              <w:t>Tick Twister</w:t>
            </w:r>
            <w:r>
              <w:rPr>
                <w:sz w:val="20"/>
                <w:szCs w:val="20"/>
              </w:rPr>
              <w:t>), delivered the best results according to the condition of the mouthparts and the intactness of tick’s body.</w:t>
            </w:r>
          </w:p>
          <w:p w14:paraId="3778EF01" w14:textId="77777777" w:rsidR="002D58E4" w:rsidRDefault="002D58E4">
            <w:pPr>
              <w:rPr>
                <w:sz w:val="20"/>
                <w:szCs w:val="20"/>
              </w:rPr>
            </w:pPr>
          </w:p>
        </w:tc>
      </w:tr>
      <w:tr w:rsidR="002D58E4" w14:paraId="7AF1E713" w14:textId="77777777" w:rsidTr="00E70FE5">
        <w:tc>
          <w:tcPr>
            <w:tcW w:w="990" w:type="dxa"/>
          </w:tcPr>
          <w:p w14:paraId="0356ED86" w14:textId="77777777" w:rsidR="002D58E4" w:rsidRDefault="00F721D4">
            <w:pPr>
              <w:rPr>
                <w:sz w:val="20"/>
                <w:szCs w:val="20"/>
              </w:rPr>
            </w:pPr>
            <w:r>
              <w:rPr>
                <w:sz w:val="20"/>
                <w:szCs w:val="20"/>
              </w:rPr>
              <w:t>Needham, 1985</w:t>
            </w:r>
          </w:p>
        </w:tc>
        <w:tc>
          <w:tcPr>
            <w:tcW w:w="3150" w:type="dxa"/>
          </w:tcPr>
          <w:p w14:paraId="38E2EB1F" w14:textId="77777777" w:rsidR="002D58E4" w:rsidRDefault="00F721D4">
            <w:pPr>
              <w:rPr>
                <w:sz w:val="20"/>
                <w:szCs w:val="20"/>
              </w:rPr>
            </w:pPr>
            <w:r>
              <w:rPr>
                <w:b/>
                <w:sz w:val="20"/>
                <w:szCs w:val="20"/>
              </w:rPr>
              <w:t>Lab. animal study</w:t>
            </w:r>
            <w:r>
              <w:rPr>
                <w:sz w:val="20"/>
                <w:szCs w:val="20"/>
              </w:rPr>
              <w:t xml:space="preserve">: American dog ticks or Lone Star ticks were placed on shaven compartments on a back of a female Dorset sheep.  For dog ticks, two groups of ticks were used; attached for 72-96 hours, and for 12-15 hours. </w:t>
            </w:r>
          </w:p>
          <w:p w14:paraId="7462DC00" w14:textId="77777777" w:rsidR="002D58E4" w:rsidRDefault="002D58E4">
            <w:pPr>
              <w:rPr>
                <w:sz w:val="20"/>
                <w:szCs w:val="20"/>
              </w:rPr>
            </w:pPr>
          </w:p>
          <w:p w14:paraId="0F9EE0BE" w14:textId="77777777" w:rsidR="002D58E4" w:rsidRDefault="00F721D4">
            <w:pPr>
              <w:rPr>
                <w:sz w:val="20"/>
                <w:szCs w:val="20"/>
              </w:rPr>
            </w:pPr>
            <w:r>
              <w:rPr>
                <w:sz w:val="20"/>
                <w:szCs w:val="20"/>
              </w:rPr>
              <w:t xml:space="preserve">Common folk methods of tick removal were tested: passive and mechanical/active in </w:t>
            </w:r>
            <w:r>
              <w:rPr>
                <w:i/>
                <w:sz w:val="20"/>
                <w:szCs w:val="20"/>
              </w:rPr>
              <w:t xml:space="preserve">D. variabilis </w:t>
            </w:r>
            <w:r>
              <w:rPr>
                <w:sz w:val="20"/>
                <w:szCs w:val="20"/>
              </w:rPr>
              <w:t xml:space="preserve">and only mechanical in </w:t>
            </w:r>
            <w:r>
              <w:rPr>
                <w:i/>
                <w:sz w:val="20"/>
                <w:szCs w:val="20"/>
              </w:rPr>
              <w:t>A. americanum</w:t>
            </w:r>
          </w:p>
        </w:tc>
        <w:tc>
          <w:tcPr>
            <w:tcW w:w="810" w:type="dxa"/>
          </w:tcPr>
          <w:p w14:paraId="5D208C7F" w14:textId="77777777" w:rsidR="002D58E4" w:rsidRDefault="00F721D4">
            <w:pPr>
              <w:jc w:val="center"/>
              <w:rPr>
                <w:sz w:val="20"/>
                <w:szCs w:val="20"/>
              </w:rPr>
            </w:pPr>
            <w:r>
              <w:rPr>
                <w:sz w:val="20"/>
                <w:szCs w:val="20"/>
              </w:rPr>
              <w:t>NA</w:t>
            </w:r>
          </w:p>
        </w:tc>
        <w:tc>
          <w:tcPr>
            <w:tcW w:w="1260" w:type="dxa"/>
          </w:tcPr>
          <w:p w14:paraId="44BADC2C" w14:textId="77777777" w:rsidR="002D58E4" w:rsidRDefault="00F721D4">
            <w:pPr>
              <w:rPr>
                <w:sz w:val="20"/>
                <w:szCs w:val="20"/>
              </w:rPr>
            </w:pPr>
            <w:r>
              <w:rPr>
                <w:i/>
                <w:sz w:val="20"/>
                <w:szCs w:val="20"/>
              </w:rPr>
              <w:t>Dermacentor variabilis; Amblyomma americanum</w:t>
            </w:r>
          </w:p>
        </w:tc>
        <w:tc>
          <w:tcPr>
            <w:tcW w:w="3574" w:type="dxa"/>
          </w:tcPr>
          <w:p w14:paraId="4F9D5D60" w14:textId="77777777" w:rsidR="002D58E4" w:rsidRDefault="00F721D4">
            <w:pPr>
              <w:rPr>
                <w:b/>
                <w:sz w:val="20"/>
                <w:szCs w:val="20"/>
              </w:rPr>
            </w:pPr>
            <w:r>
              <w:rPr>
                <w:b/>
                <w:i/>
                <w:sz w:val="20"/>
                <w:szCs w:val="20"/>
              </w:rPr>
              <w:t>Dermacentor</w:t>
            </w:r>
            <w:r>
              <w:rPr>
                <w:b/>
                <w:sz w:val="20"/>
                <w:szCs w:val="20"/>
              </w:rPr>
              <w:t xml:space="preserve">: five common methods of tick removal: </w:t>
            </w:r>
          </w:p>
          <w:p w14:paraId="6313FA19" w14:textId="77777777" w:rsidR="002D58E4" w:rsidRDefault="00F721D4">
            <w:pPr>
              <w:numPr>
                <w:ilvl w:val="0"/>
                <w:numId w:val="44"/>
              </w:numPr>
              <w:rPr>
                <w:sz w:val="20"/>
                <w:szCs w:val="20"/>
              </w:rPr>
            </w:pPr>
            <w:r>
              <w:rPr>
                <w:sz w:val="20"/>
                <w:szCs w:val="20"/>
              </w:rPr>
              <w:t>Petroleum jelly;</w:t>
            </w:r>
          </w:p>
          <w:p w14:paraId="106E8333" w14:textId="77777777" w:rsidR="002D58E4" w:rsidRDefault="00F721D4">
            <w:pPr>
              <w:numPr>
                <w:ilvl w:val="0"/>
                <w:numId w:val="44"/>
              </w:numPr>
              <w:rPr>
                <w:sz w:val="20"/>
                <w:szCs w:val="20"/>
              </w:rPr>
            </w:pPr>
            <w:r>
              <w:rPr>
                <w:sz w:val="20"/>
                <w:szCs w:val="20"/>
              </w:rPr>
              <w:t>Fingernail polish;</w:t>
            </w:r>
          </w:p>
          <w:p w14:paraId="7AAC0780" w14:textId="77777777" w:rsidR="002D58E4" w:rsidRDefault="00F721D4">
            <w:pPr>
              <w:numPr>
                <w:ilvl w:val="0"/>
                <w:numId w:val="44"/>
              </w:numPr>
              <w:rPr>
                <w:sz w:val="20"/>
                <w:szCs w:val="20"/>
              </w:rPr>
            </w:pPr>
            <w:r>
              <w:rPr>
                <w:sz w:val="20"/>
                <w:szCs w:val="20"/>
              </w:rPr>
              <w:t>70% isopropyl alcohol;</w:t>
            </w:r>
          </w:p>
          <w:p w14:paraId="34A8C0BF" w14:textId="77777777" w:rsidR="002D58E4" w:rsidRDefault="00F721D4">
            <w:pPr>
              <w:numPr>
                <w:ilvl w:val="0"/>
                <w:numId w:val="44"/>
              </w:numPr>
              <w:rPr>
                <w:sz w:val="20"/>
                <w:szCs w:val="20"/>
              </w:rPr>
            </w:pPr>
            <w:r>
              <w:rPr>
                <w:sz w:val="20"/>
                <w:szCs w:val="20"/>
              </w:rPr>
              <w:t>Hot kitchen match; and</w:t>
            </w:r>
          </w:p>
          <w:p w14:paraId="48F733FB" w14:textId="77777777" w:rsidR="002D58E4" w:rsidRDefault="00F721D4">
            <w:pPr>
              <w:numPr>
                <w:ilvl w:val="0"/>
                <w:numId w:val="44"/>
              </w:numPr>
              <w:rPr>
                <w:sz w:val="20"/>
                <w:szCs w:val="20"/>
              </w:rPr>
            </w:pPr>
            <w:r>
              <w:rPr>
                <w:sz w:val="20"/>
                <w:szCs w:val="20"/>
              </w:rPr>
              <w:t xml:space="preserve">Forcible removal with protected fingers or forceps </w:t>
            </w:r>
          </w:p>
          <w:p w14:paraId="4E9200CB" w14:textId="77777777" w:rsidR="002D58E4" w:rsidRDefault="00F721D4">
            <w:pPr>
              <w:rPr>
                <w:sz w:val="20"/>
                <w:szCs w:val="20"/>
              </w:rPr>
            </w:pPr>
            <w:r>
              <w:rPr>
                <w:b/>
                <w:i/>
                <w:sz w:val="20"/>
                <w:szCs w:val="20"/>
              </w:rPr>
              <w:t>Amblyomma</w:t>
            </w:r>
            <w:r>
              <w:rPr>
                <w:b/>
                <w:sz w:val="20"/>
                <w:szCs w:val="20"/>
              </w:rPr>
              <w:t>: only mechanical removal methods w. forceps</w:t>
            </w:r>
            <w:r>
              <w:rPr>
                <w:sz w:val="20"/>
                <w:szCs w:val="20"/>
              </w:rPr>
              <w:t>:</w:t>
            </w:r>
          </w:p>
          <w:p w14:paraId="52355911" w14:textId="77777777" w:rsidR="002D58E4" w:rsidRDefault="00F721D4">
            <w:pPr>
              <w:numPr>
                <w:ilvl w:val="0"/>
                <w:numId w:val="40"/>
              </w:numPr>
              <w:rPr>
                <w:sz w:val="20"/>
                <w:szCs w:val="20"/>
              </w:rPr>
            </w:pPr>
            <w:r>
              <w:rPr>
                <w:sz w:val="20"/>
                <w:szCs w:val="20"/>
              </w:rPr>
              <w:t>Pulling steadily straight up;</w:t>
            </w:r>
          </w:p>
          <w:p w14:paraId="63A6BB8A" w14:textId="77777777" w:rsidR="002D58E4" w:rsidRDefault="00F721D4">
            <w:pPr>
              <w:numPr>
                <w:ilvl w:val="0"/>
                <w:numId w:val="40"/>
              </w:numPr>
              <w:rPr>
                <w:sz w:val="20"/>
                <w:szCs w:val="20"/>
              </w:rPr>
            </w:pPr>
            <w:r>
              <w:rPr>
                <w:sz w:val="20"/>
                <w:szCs w:val="20"/>
              </w:rPr>
              <w:t>Jerking straight up;</w:t>
            </w:r>
          </w:p>
          <w:p w14:paraId="0E757939" w14:textId="77777777" w:rsidR="002D58E4" w:rsidRDefault="00F721D4">
            <w:pPr>
              <w:numPr>
                <w:ilvl w:val="0"/>
                <w:numId w:val="40"/>
              </w:numPr>
              <w:rPr>
                <w:sz w:val="20"/>
                <w:szCs w:val="20"/>
              </w:rPr>
            </w:pPr>
            <w:r>
              <w:rPr>
                <w:sz w:val="20"/>
                <w:szCs w:val="20"/>
              </w:rPr>
              <w:t>Twisting clockwise;</w:t>
            </w:r>
          </w:p>
          <w:p w14:paraId="4BB83C40" w14:textId="77777777" w:rsidR="002D58E4" w:rsidRDefault="00F721D4">
            <w:pPr>
              <w:numPr>
                <w:ilvl w:val="0"/>
                <w:numId w:val="40"/>
              </w:numPr>
              <w:rPr>
                <w:sz w:val="20"/>
                <w:szCs w:val="20"/>
              </w:rPr>
            </w:pPr>
            <w:r>
              <w:rPr>
                <w:sz w:val="20"/>
                <w:szCs w:val="20"/>
              </w:rPr>
              <w:t xml:space="preserve">Pulling parallel to the skin </w:t>
            </w:r>
          </w:p>
        </w:tc>
        <w:tc>
          <w:tcPr>
            <w:tcW w:w="4590" w:type="dxa"/>
          </w:tcPr>
          <w:p w14:paraId="75EC3418" w14:textId="77777777" w:rsidR="002D58E4" w:rsidRDefault="00F721D4">
            <w:pPr>
              <w:rPr>
                <w:sz w:val="20"/>
                <w:szCs w:val="20"/>
              </w:rPr>
            </w:pPr>
            <w:r>
              <w:rPr>
                <w:sz w:val="20"/>
                <w:szCs w:val="20"/>
              </w:rPr>
              <w:t xml:space="preserve">Mechanical removal was satisfactory in all cases for </w:t>
            </w:r>
            <w:r>
              <w:rPr>
                <w:i/>
                <w:sz w:val="20"/>
                <w:szCs w:val="20"/>
              </w:rPr>
              <w:t>D. variabilis</w:t>
            </w:r>
            <w:r>
              <w:rPr>
                <w:sz w:val="20"/>
                <w:szCs w:val="20"/>
              </w:rPr>
              <w:t xml:space="preserve"> leaving no mouthparts or tick cement behind.  However, passive methods failed to induce tick detachment.</w:t>
            </w:r>
          </w:p>
          <w:p w14:paraId="01977C8D" w14:textId="77777777" w:rsidR="002D58E4" w:rsidRDefault="002D58E4">
            <w:pPr>
              <w:rPr>
                <w:sz w:val="20"/>
                <w:szCs w:val="20"/>
              </w:rPr>
            </w:pPr>
          </w:p>
          <w:p w14:paraId="2B91DC34" w14:textId="77777777" w:rsidR="002D58E4" w:rsidRDefault="00F721D4">
            <w:pPr>
              <w:rPr>
                <w:sz w:val="20"/>
                <w:szCs w:val="20"/>
              </w:rPr>
            </w:pPr>
            <w:r>
              <w:rPr>
                <w:sz w:val="20"/>
                <w:szCs w:val="20"/>
              </w:rPr>
              <w:t xml:space="preserve">For </w:t>
            </w:r>
            <w:r>
              <w:rPr>
                <w:i/>
                <w:sz w:val="20"/>
                <w:szCs w:val="20"/>
              </w:rPr>
              <w:t>A. americanum</w:t>
            </w:r>
            <w:r>
              <w:rPr>
                <w:sz w:val="20"/>
                <w:szCs w:val="20"/>
              </w:rPr>
              <w:t xml:space="preserve">, removal with forceps left no mouth parts behind, but cement remained in the skin in all cases. </w:t>
            </w:r>
          </w:p>
          <w:p w14:paraId="15B98C76" w14:textId="77777777" w:rsidR="002D58E4" w:rsidRDefault="002D58E4">
            <w:pPr>
              <w:rPr>
                <w:sz w:val="20"/>
                <w:szCs w:val="20"/>
              </w:rPr>
            </w:pPr>
          </w:p>
          <w:p w14:paraId="0A4E5A7B" w14:textId="77777777" w:rsidR="002D58E4" w:rsidRDefault="00F721D4">
            <w:pPr>
              <w:rPr>
                <w:sz w:val="20"/>
                <w:szCs w:val="20"/>
              </w:rPr>
            </w:pPr>
            <w:r>
              <w:rPr>
                <w:sz w:val="20"/>
                <w:szCs w:val="20"/>
              </w:rPr>
              <w:t xml:space="preserve">The authors suggested that the </w:t>
            </w:r>
            <w:r>
              <w:rPr>
                <w:b/>
                <w:sz w:val="20"/>
                <w:szCs w:val="20"/>
              </w:rPr>
              <w:t>point of grabbing the mouthpart (as close to skin as possible) is more important than the method of pulling the tick off.</w:t>
            </w:r>
            <w:r>
              <w:rPr>
                <w:sz w:val="20"/>
                <w:szCs w:val="20"/>
              </w:rPr>
              <w:t xml:space="preserve">  </w:t>
            </w:r>
            <w:r>
              <w:rPr>
                <w:b/>
                <w:sz w:val="20"/>
                <w:szCs w:val="20"/>
              </w:rPr>
              <w:t>Passive methods should not be used due to inefficacy.</w:t>
            </w:r>
          </w:p>
        </w:tc>
      </w:tr>
      <w:tr w:rsidR="002D58E4" w14:paraId="78A228EF" w14:textId="77777777" w:rsidTr="00E70FE5">
        <w:tc>
          <w:tcPr>
            <w:tcW w:w="990" w:type="dxa"/>
          </w:tcPr>
          <w:p w14:paraId="2D3AC9EA" w14:textId="77777777" w:rsidR="002D58E4" w:rsidRDefault="00F721D4">
            <w:pPr>
              <w:rPr>
                <w:sz w:val="20"/>
                <w:szCs w:val="20"/>
              </w:rPr>
            </w:pPr>
            <w:r>
              <w:rPr>
                <w:sz w:val="20"/>
                <w:szCs w:val="20"/>
              </w:rPr>
              <w:t>Stewart, 1998</w:t>
            </w:r>
          </w:p>
        </w:tc>
        <w:tc>
          <w:tcPr>
            <w:tcW w:w="3150" w:type="dxa"/>
          </w:tcPr>
          <w:p w14:paraId="4360D792" w14:textId="77777777" w:rsidR="002D58E4" w:rsidRDefault="00F721D4">
            <w:pPr>
              <w:rPr>
                <w:sz w:val="20"/>
                <w:szCs w:val="20"/>
              </w:rPr>
            </w:pPr>
            <w:r>
              <w:rPr>
                <w:b/>
                <w:sz w:val="20"/>
                <w:szCs w:val="20"/>
              </w:rPr>
              <w:t xml:space="preserve">Lab. animal study (ticks attached to rabbit ears) </w:t>
            </w:r>
            <w:r>
              <w:rPr>
                <w:sz w:val="20"/>
                <w:szCs w:val="20"/>
              </w:rPr>
              <w:t xml:space="preserve">evaluated three commercially available tick removal tools against medium-tipped tweezers when used by untrained volunteers. </w:t>
            </w:r>
          </w:p>
        </w:tc>
        <w:tc>
          <w:tcPr>
            <w:tcW w:w="810" w:type="dxa"/>
          </w:tcPr>
          <w:p w14:paraId="753AD367" w14:textId="77777777" w:rsidR="002D58E4" w:rsidRDefault="00F721D4">
            <w:pPr>
              <w:jc w:val="center"/>
              <w:rPr>
                <w:sz w:val="20"/>
                <w:szCs w:val="20"/>
              </w:rPr>
            </w:pPr>
            <w:r>
              <w:rPr>
                <w:sz w:val="20"/>
                <w:szCs w:val="20"/>
              </w:rPr>
              <w:t>NA</w:t>
            </w:r>
          </w:p>
        </w:tc>
        <w:tc>
          <w:tcPr>
            <w:tcW w:w="1260" w:type="dxa"/>
          </w:tcPr>
          <w:p w14:paraId="6CCD0EAD" w14:textId="77777777" w:rsidR="002D58E4" w:rsidRDefault="00F721D4">
            <w:pPr>
              <w:rPr>
                <w:sz w:val="20"/>
                <w:szCs w:val="20"/>
              </w:rPr>
            </w:pPr>
            <w:r>
              <w:rPr>
                <w:i/>
                <w:sz w:val="20"/>
                <w:szCs w:val="20"/>
              </w:rPr>
              <w:t>Dermacentor variabilis; Amblyomma americanum</w:t>
            </w:r>
          </w:p>
        </w:tc>
        <w:tc>
          <w:tcPr>
            <w:tcW w:w="3574" w:type="dxa"/>
          </w:tcPr>
          <w:p w14:paraId="11B8F138" w14:textId="77777777" w:rsidR="002D58E4" w:rsidRDefault="00F721D4">
            <w:pPr>
              <w:numPr>
                <w:ilvl w:val="0"/>
                <w:numId w:val="1"/>
              </w:numPr>
              <w:rPr>
                <w:sz w:val="20"/>
                <w:szCs w:val="20"/>
              </w:rPr>
            </w:pPr>
            <w:r>
              <w:rPr>
                <w:sz w:val="20"/>
                <w:szCs w:val="20"/>
              </w:rPr>
              <w:t>The Original Ticked Off™</w:t>
            </w:r>
          </w:p>
          <w:p w14:paraId="7F0ABA3F" w14:textId="77777777" w:rsidR="002D58E4" w:rsidRDefault="00F721D4">
            <w:pPr>
              <w:numPr>
                <w:ilvl w:val="0"/>
                <w:numId w:val="1"/>
              </w:numPr>
              <w:rPr>
                <w:sz w:val="20"/>
                <w:szCs w:val="20"/>
              </w:rPr>
            </w:pPr>
            <w:r>
              <w:rPr>
                <w:sz w:val="20"/>
                <w:szCs w:val="20"/>
              </w:rPr>
              <w:t>The Pro-Tick Remedy™</w:t>
            </w:r>
          </w:p>
          <w:p w14:paraId="5997F8F9" w14:textId="77777777" w:rsidR="002D58E4" w:rsidRDefault="00F721D4">
            <w:pPr>
              <w:numPr>
                <w:ilvl w:val="0"/>
                <w:numId w:val="1"/>
              </w:numPr>
              <w:rPr>
                <w:sz w:val="20"/>
                <w:szCs w:val="20"/>
              </w:rPr>
            </w:pPr>
            <w:r>
              <w:rPr>
                <w:sz w:val="20"/>
                <w:szCs w:val="20"/>
              </w:rPr>
              <w:t>The Tick Plier™</w:t>
            </w:r>
          </w:p>
          <w:p w14:paraId="36374C7D" w14:textId="77777777" w:rsidR="002D58E4" w:rsidRDefault="00F721D4">
            <w:pPr>
              <w:numPr>
                <w:ilvl w:val="0"/>
                <w:numId w:val="1"/>
              </w:numPr>
              <w:rPr>
                <w:sz w:val="20"/>
                <w:szCs w:val="20"/>
              </w:rPr>
            </w:pPr>
            <w:r>
              <w:rPr>
                <w:sz w:val="20"/>
                <w:szCs w:val="20"/>
              </w:rPr>
              <w:t xml:space="preserve">The Tick Nipper™ </w:t>
            </w:r>
          </w:p>
          <w:p w14:paraId="027E1DB2" w14:textId="77777777" w:rsidR="002D58E4" w:rsidRDefault="00F721D4">
            <w:pPr>
              <w:numPr>
                <w:ilvl w:val="0"/>
                <w:numId w:val="11"/>
              </w:numPr>
              <w:rPr>
                <w:sz w:val="20"/>
                <w:szCs w:val="20"/>
              </w:rPr>
            </w:pPr>
            <w:r>
              <w:rPr>
                <w:sz w:val="20"/>
                <w:szCs w:val="20"/>
              </w:rPr>
              <w:t>vs. medium-tipped non-tissue tweezers</w:t>
            </w:r>
          </w:p>
        </w:tc>
        <w:tc>
          <w:tcPr>
            <w:tcW w:w="4590" w:type="dxa"/>
          </w:tcPr>
          <w:p w14:paraId="3B45F7AD" w14:textId="77777777" w:rsidR="002D58E4" w:rsidRDefault="00F721D4">
            <w:pPr>
              <w:rPr>
                <w:sz w:val="20"/>
                <w:szCs w:val="20"/>
              </w:rPr>
            </w:pPr>
            <w:r>
              <w:rPr>
                <w:b/>
                <w:sz w:val="20"/>
                <w:szCs w:val="20"/>
              </w:rPr>
              <w:t>Tick damage occurring from removal and quantity of attachment cement</w:t>
            </w:r>
            <w:r>
              <w:rPr>
                <w:sz w:val="20"/>
                <w:szCs w:val="20"/>
              </w:rPr>
              <w:t xml:space="preserve"> were compared. </w:t>
            </w:r>
          </w:p>
          <w:p w14:paraId="063B82AB" w14:textId="77777777" w:rsidR="002D58E4" w:rsidRDefault="00F721D4">
            <w:pPr>
              <w:rPr>
                <w:sz w:val="20"/>
                <w:szCs w:val="20"/>
              </w:rPr>
            </w:pPr>
            <w:r>
              <w:rPr>
                <w:sz w:val="20"/>
                <w:szCs w:val="20"/>
              </w:rPr>
              <w:t xml:space="preserve">No tool removed nymphs without damage and </w:t>
            </w:r>
            <w:r>
              <w:rPr>
                <w:b/>
                <w:sz w:val="20"/>
                <w:szCs w:val="20"/>
              </w:rPr>
              <w:t>all tools removed adults of both species successfully.</w:t>
            </w:r>
            <w:r>
              <w:rPr>
                <w:sz w:val="20"/>
                <w:szCs w:val="20"/>
              </w:rPr>
              <w:t xml:space="preserve">  Nymphal ticks were consistently removed more successfully with commercial tools when compared with tweezers but with more difficulty than adult ticks. </w:t>
            </w:r>
          </w:p>
          <w:p w14:paraId="341083EF" w14:textId="77777777" w:rsidR="002D58E4" w:rsidRDefault="00F721D4">
            <w:pPr>
              <w:rPr>
                <w:sz w:val="20"/>
                <w:szCs w:val="20"/>
              </w:rPr>
            </w:pPr>
            <w:r>
              <w:rPr>
                <w:sz w:val="20"/>
                <w:szCs w:val="20"/>
              </w:rPr>
              <w:t xml:space="preserve">American dog ticks proved easier to remove than lone star ticks, whose mouthparts often remained in the skin. </w:t>
            </w:r>
          </w:p>
        </w:tc>
      </w:tr>
      <w:tr w:rsidR="002D58E4" w14:paraId="6977D432" w14:textId="77777777" w:rsidTr="00E70FE5">
        <w:trPr>
          <w:trHeight w:val="2340"/>
        </w:trPr>
        <w:tc>
          <w:tcPr>
            <w:tcW w:w="990" w:type="dxa"/>
          </w:tcPr>
          <w:p w14:paraId="0009531D" w14:textId="77777777" w:rsidR="002D58E4" w:rsidRDefault="00F721D4">
            <w:pPr>
              <w:rPr>
                <w:sz w:val="20"/>
                <w:szCs w:val="20"/>
              </w:rPr>
            </w:pPr>
            <w:r>
              <w:rPr>
                <w:sz w:val="20"/>
                <w:szCs w:val="20"/>
              </w:rPr>
              <w:lastRenderedPageBreak/>
              <w:t>Zenner, 2006</w:t>
            </w:r>
          </w:p>
        </w:tc>
        <w:tc>
          <w:tcPr>
            <w:tcW w:w="3150" w:type="dxa"/>
          </w:tcPr>
          <w:p w14:paraId="00C61D70" w14:textId="77777777" w:rsidR="002D58E4" w:rsidRDefault="00F721D4">
            <w:pPr>
              <w:rPr>
                <w:sz w:val="20"/>
                <w:szCs w:val="20"/>
              </w:rPr>
            </w:pPr>
            <w:r>
              <w:rPr>
                <w:b/>
                <w:sz w:val="20"/>
                <w:szCs w:val="20"/>
              </w:rPr>
              <w:t>Field animal study (ticks attached to cats and dogs who were brought to clinic)</w:t>
            </w:r>
            <w:r>
              <w:rPr>
                <w:sz w:val="20"/>
                <w:szCs w:val="20"/>
              </w:rPr>
              <w:t xml:space="preserve"> compared (1) a tick removal device (with a slit for tick prehension and rotation = SR) vs. surgical forceps, in the hands of a trained operator (veterinarian); and (2) three commercial tick-removal devices that use different methods of tick prehension and removal, in the hands of pet owners.</w:t>
            </w:r>
          </w:p>
        </w:tc>
        <w:tc>
          <w:tcPr>
            <w:tcW w:w="810" w:type="dxa"/>
          </w:tcPr>
          <w:p w14:paraId="4B63F102" w14:textId="77777777" w:rsidR="002D58E4" w:rsidRDefault="00F721D4">
            <w:pPr>
              <w:jc w:val="center"/>
              <w:rPr>
                <w:sz w:val="20"/>
                <w:szCs w:val="20"/>
              </w:rPr>
            </w:pPr>
            <w:r>
              <w:rPr>
                <w:sz w:val="20"/>
                <w:szCs w:val="20"/>
              </w:rPr>
              <w:t>NA</w:t>
            </w:r>
          </w:p>
        </w:tc>
        <w:tc>
          <w:tcPr>
            <w:tcW w:w="1260" w:type="dxa"/>
          </w:tcPr>
          <w:p w14:paraId="5421BE5F" w14:textId="77777777" w:rsidR="002D58E4" w:rsidRDefault="00F721D4">
            <w:pPr>
              <w:rPr>
                <w:sz w:val="20"/>
                <w:szCs w:val="20"/>
              </w:rPr>
            </w:pPr>
            <w:r>
              <w:rPr>
                <w:i/>
                <w:sz w:val="20"/>
                <w:szCs w:val="20"/>
              </w:rPr>
              <w:t>Ixodes ricinus</w:t>
            </w:r>
            <w:r>
              <w:rPr>
                <w:sz w:val="20"/>
                <w:szCs w:val="20"/>
              </w:rPr>
              <w:t>;</w:t>
            </w:r>
          </w:p>
          <w:p w14:paraId="2D9132FB" w14:textId="77777777" w:rsidR="002D58E4" w:rsidRDefault="00F721D4">
            <w:pPr>
              <w:rPr>
                <w:sz w:val="20"/>
                <w:szCs w:val="20"/>
              </w:rPr>
            </w:pPr>
            <w:r>
              <w:rPr>
                <w:i/>
                <w:sz w:val="20"/>
                <w:szCs w:val="20"/>
              </w:rPr>
              <w:t>Dermacentor reticulatus; Rhipicephalus sanguineus</w:t>
            </w:r>
          </w:p>
        </w:tc>
        <w:tc>
          <w:tcPr>
            <w:tcW w:w="3574" w:type="dxa"/>
          </w:tcPr>
          <w:p w14:paraId="365D9350" w14:textId="77777777" w:rsidR="002D58E4" w:rsidRDefault="00F721D4">
            <w:pPr>
              <w:rPr>
                <w:b/>
                <w:sz w:val="20"/>
                <w:szCs w:val="20"/>
              </w:rPr>
            </w:pPr>
            <w:r>
              <w:rPr>
                <w:b/>
                <w:sz w:val="20"/>
                <w:szCs w:val="20"/>
              </w:rPr>
              <w:t xml:space="preserve">Tick removal devices: </w:t>
            </w:r>
          </w:p>
          <w:p w14:paraId="3EE92C85" w14:textId="77777777" w:rsidR="002D58E4" w:rsidRDefault="00F721D4">
            <w:pPr>
              <w:numPr>
                <w:ilvl w:val="0"/>
                <w:numId w:val="11"/>
              </w:numPr>
              <w:rPr>
                <w:sz w:val="20"/>
                <w:szCs w:val="20"/>
              </w:rPr>
            </w:pPr>
            <w:r>
              <w:rPr>
                <w:sz w:val="20"/>
                <w:szCs w:val="20"/>
              </w:rPr>
              <w:t>Surgical forceps (Adson forceps) (use apposing jaws and traction (</w:t>
            </w:r>
            <w:r>
              <w:rPr>
                <w:b/>
                <w:sz w:val="20"/>
                <w:szCs w:val="20"/>
              </w:rPr>
              <w:t>AT</w:t>
            </w:r>
            <w:r>
              <w:rPr>
                <w:sz w:val="20"/>
                <w:szCs w:val="20"/>
              </w:rPr>
              <w:t>);</w:t>
            </w:r>
          </w:p>
          <w:p w14:paraId="125DB699" w14:textId="77777777" w:rsidR="002D58E4" w:rsidRDefault="00F721D4">
            <w:pPr>
              <w:numPr>
                <w:ilvl w:val="0"/>
                <w:numId w:val="11"/>
              </w:numPr>
              <w:rPr>
                <w:sz w:val="20"/>
                <w:szCs w:val="20"/>
              </w:rPr>
            </w:pPr>
            <w:r>
              <w:rPr>
                <w:sz w:val="20"/>
                <w:szCs w:val="20"/>
              </w:rPr>
              <w:t>Pen-Tweezers (use apposing jaws and rotation (</w:t>
            </w:r>
            <w:r>
              <w:rPr>
                <w:b/>
                <w:sz w:val="20"/>
                <w:szCs w:val="20"/>
              </w:rPr>
              <w:t>AR</w:t>
            </w:r>
            <w:r>
              <w:rPr>
                <w:sz w:val="20"/>
                <w:szCs w:val="20"/>
              </w:rPr>
              <w:t>);</w:t>
            </w:r>
          </w:p>
          <w:p w14:paraId="3032BB9D" w14:textId="77777777" w:rsidR="002D58E4" w:rsidRDefault="00F721D4">
            <w:pPr>
              <w:numPr>
                <w:ilvl w:val="0"/>
                <w:numId w:val="11"/>
              </w:numPr>
              <w:rPr>
                <w:sz w:val="20"/>
                <w:szCs w:val="20"/>
              </w:rPr>
            </w:pPr>
            <w:r>
              <w:rPr>
                <w:sz w:val="20"/>
                <w:szCs w:val="20"/>
              </w:rPr>
              <w:t>Pro-Tick Remedy (uses a slit and traction (</w:t>
            </w:r>
            <w:r>
              <w:rPr>
                <w:b/>
                <w:sz w:val="20"/>
                <w:szCs w:val="20"/>
              </w:rPr>
              <w:t>ST</w:t>
            </w:r>
            <w:r>
              <w:rPr>
                <w:sz w:val="20"/>
                <w:szCs w:val="20"/>
              </w:rPr>
              <w:t>);</w:t>
            </w:r>
          </w:p>
          <w:p w14:paraId="25543A12" w14:textId="77777777" w:rsidR="002D58E4" w:rsidRDefault="00F721D4">
            <w:pPr>
              <w:numPr>
                <w:ilvl w:val="0"/>
                <w:numId w:val="11"/>
              </w:numPr>
              <w:rPr>
                <w:sz w:val="20"/>
                <w:szCs w:val="20"/>
              </w:rPr>
            </w:pPr>
            <w:r>
              <w:rPr>
                <w:sz w:val="20"/>
                <w:szCs w:val="20"/>
              </w:rPr>
              <w:t>Crochet O’Tom (uses a slit and rotation (</w:t>
            </w:r>
            <w:r>
              <w:rPr>
                <w:b/>
                <w:sz w:val="20"/>
                <w:szCs w:val="20"/>
              </w:rPr>
              <w:t>SR</w:t>
            </w:r>
            <w:r>
              <w:rPr>
                <w:sz w:val="20"/>
                <w:szCs w:val="20"/>
              </w:rPr>
              <w:t>);</w:t>
            </w:r>
          </w:p>
        </w:tc>
        <w:tc>
          <w:tcPr>
            <w:tcW w:w="4590" w:type="dxa"/>
          </w:tcPr>
          <w:p w14:paraId="2B449BAF" w14:textId="77777777" w:rsidR="002D58E4" w:rsidRDefault="00F721D4">
            <w:pPr>
              <w:rPr>
                <w:sz w:val="20"/>
                <w:szCs w:val="20"/>
              </w:rPr>
            </w:pPr>
            <w:r>
              <w:rPr>
                <w:sz w:val="20"/>
                <w:szCs w:val="20"/>
              </w:rPr>
              <w:t>The devices were evaluated according to time required to remove the tick; ease with which the tick was grabbed and held by the device; force needed to extract the tick; reaction of the animal; the outcome of the manipulation (success or failure); and correct or incorrect use of the instrument when tick removal was carried out by the owner.</w:t>
            </w:r>
          </w:p>
          <w:p w14:paraId="02154592" w14:textId="77777777" w:rsidR="002D58E4" w:rsidRDefault="002D58E4">
            <w:pPr>
              <w:rPr>
                <w:sz w:val="20"/>
                <w:szCs w:val="20"/>
              </w:rPr>
            </w:pPr>
          </w:p>
          <w:p w14:paraId="051A9FF9" w14:textId="77777777" w:rsidR="002D58E4" w:rsidRDefault="00F721D4">
            <w:pPr>
              <w:rPr>
                <w:sz w:val="20"/>
                <w:szCs w:val="20"/>
              </w:rPr>
            </w:pPr>
            <w:r>
              <w:rPr>
                <w:sz w:val="20"/>
                <w:szCs w:val="20"/>
              </w:rPr>
              <w:t xml:space="preserve">The </w:t>
            </w:r>
            <w:r>
              <w:rPr>
                <w:b/>
                <w:sz w:val="20"/>
                <w:szCs w:val="20"/>
              </w:rPr>
              <w:t>SR device</w:t>
            </w:r>
            <w:r>
              <w:rPr>
                <w:sz w:val="20"/>
                <w:szCs w:val="20"/>
              </w:rPr>
              <w:t xml:space="preserve"> </w:t>
            </w:r>
            <w:r>
              <w:rPr>
                <w:b/>
                <w:sz w:val="20"/>
                <w:szCs w:val="20"/>
              </w:rPr>
              <w:t>(Crochet O’Tom) appeared to be easier to use and more efficient</w:t>
            </w:r>
            <w:r>
              <w:rPr>
                <w:sz w:val="20"/>
                <w:szCs w:val="20"/>
              </w:rPr>
              <w:t xml:space="preserve"> for use by both veterinarians and pet owners.</w:t>
            </w:r>
          </w:p>
        </w:tc>
      </w:tr>
    </w:tbl>
    <w:p w14:paraId="3514709A" w14:textId="77777777" w:rsidR="002D58E4" w:rsidRDefault="002D58E4">
      <w:pPr>
        <w:spacing w:line="240" w:lineRule="auto"/>
      </w:pPr>
    </w:p>
    <w:p w14:paraId="6C308475" w14:textId="77777777" w:rsidR="002D58E4" w:rsidRDefault="002D58E4">
      <w:pPr>
        <w:spacing w:line="240" w:lineRule="auto"/>
      </w:pPr>
    </w:p>
    <w:p w14:paraId="1C566568" w14:textId="77777777" w:rsidR="002D58E4" w:rsidRDefault="00F721D4">
      <w:pPr>
        <w:spacing w:line="240" w:lineRule="auto"/>
        <w:rPr>
          <w:b/>
          <w:sz w:val="28"/>
          <w:szCs w:val="28"/>
        </w:rPr>
      </w:pPr>
      <w:r>
        <w:rPr>
          <w:b/>
          <w:sz w:val="28"/>
          <w:szCs w:val="28"/>
        </w:rPr>
        <w:t>D) Educational interventions</w:t>
      </w:r>
    </w:p>
    <w:p w14:paraId="397D05A6" w14:textId="77777777" w:rsidR="002D58E4" w:rsidRDefault="00F721D4" w:rsidP="00C34495">
      <w:pPr>
        <w:ind w:left="142"/>
      </w:pPr>
      <w:r>
        <w:rPr>
          <w:b/>
          <w:color w:val="000000"/>
          <w:sz w:val="18"/>
          <w:szCs w:val="18"/>
        </w:rPr>
        <w:t>Bibliography:</w:t>
      </w:r>
      <w:r>
        <w:rPr>
          <w:color w:val="000000"/>
          <w:sz w:val="18"/>
          <w:szCs w:val="18"/>
        </w:rPr>
        <w:t xml:space="preserve"> 1. Daltroy, et al. </w:t>
      </w:r>
      <w:r>
        <w:rPr>
          <w:i/>
          <w:color w:val="000000"/>
          <w:sz w:val="18"/>
          <w:szCs w:val="18"/>
        </w:rPr>
        <w:t>Health Educ Behav.</w:t>
      </w:r>
      <w:r>
        <w:rPr>
          <w:color w:val="000000"/>
          <w:sz w:val="18"/>
          <w:szCs w:val="18"/>
        </w:rPr>
        <w:t xml:space="preserve"> </w:t>
      </w:r>
      <w:r w:rsidRPr="009715F3">
        <w:rPr>
          <w:color w:val="000000"/>
          <w:sz w:val="18"/>
          <w:szCs w:val="18"/>
          <w:lang w:val="fr-CA"/>
        </w:rPr>
        <w:t xml:space="preserve">2007 Jun;34(3):531-42; 2. </w:t>
      </w:r>
      <w:r w:rsidRPr="00F721D4">
        <w:rPr>
          <w:color w:val="000000"/>
          <w:sz w:val="18"/>
          <w:szCs w:val="18"/>
          <w:lang w:val="fr-CA"/>
        </w:rPr>
        <w:t xml:space="preserve">Malouin et al. </w:t>
      </w:r>
      <w:r w:rsidRPr="00F721D4">
        <w:rPr>
          <w:i/>
          <w:color w:val="000000"/>
          <w:sz w:val="18"/>
          <w:szCs w:val="18"/>
          <w:lang w:val="fr-CA"/>
        </w:rPr>
        <w:t>Am J Epidemiol.</w:t>
      </w:r>
      <w:r w:rsidRPr="00F721D4">
        <w:rPr>
          <w:color w:val="000000"/>
          <w:sz w:val="18"/>
          <w:szCs w:val="18"/>
          <w:lang w:val="fr-CA"/>
        </w:rPr>
        <w:t xml:space="preserve"> </w:t>
      </w:r>
      <w:r w:rsidRPr="009715F3">
        <w:rPr>
          <w:color w:val="000000"/>
          <w:sz w:val="18"/>
          <w:szCs w:val="18"/>
          <w:lang w:val="en-CA"/>
        </w:rPr>
        <w:t xml:space="preserve">2003 Jun 1;157(11):1039-51; 3. Shadick et al. </w:t>
      </w:r>
      <w:r>
        <w:rPr>
          <w:i/>
          <w:color w:val="000000"/>
          <w:sz w:val="18"/>
          <w:szCs w:val="18"/>
        </w:rPr>
        <w:t>Vector Borne Zoonotic Dis.</w:t>
      </w:r>
      <w:r>
        <w:rPr>
          <w:color w:val="000000"/>
          <w:sz w:val="18"/>
          <w:szCs w:val="18"/>
        </w:rPr>
        <w:t xml:space="preserve"> 2016 Aug;16(8):507-15; 4. Beaujean, et al. </w:t>
      </w:r>
      <w:r>
        <w:rPr>
          <w:i/>
          <w:color w:val="000000"/>
          <w:sz w:val="18"/>
          <w:szCs w:val="18"/>
        </w:rPr>
        <w:t>BMC Public Health</w:t>
      </w:r>
      <w:r>
        <w:rPr>
          <w:color w:val="000000"/>
          <w:sz w:val="18"/>
          <w:szCs w:val="18"/>
        </w:rPr>
        <w:t>. 2016 Nov 16;16(1):1163.</w:t>
      </w:r>
    </w:p>
    <w:tbl>
      <w:tblPr>
        <w:tblStyle w:val="a3"/>
        <w:tblW w:w="1458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990"/>
        <w:gridCol w:w="810"/>
        <w:gridCol w:w="3060"/>
        <w:gridCol w:w="2970"/>
        <w:gridCol w:w="1710"/>
        <w:gridCol w:w="4050"/>
      </w:tblGrid>
      <w:tr w:rsidR="002D58E4" w14:paraId="6A33F688" w14:textId="77777777">
        <w:tc>
          <w:tcPr>
            <w:tcW w:w="990" w:type="dxa"/>
            <w:shd w:val="clear" w:color="auto" w:fill="D9D9D9"/>
          </w:tcPr>
          <w:p w14:paraId="0C4E73FF" w14:textId="77777777" w:rsidR="002D58E4" w:rsidRDefault="00F721D4">
            <w:pPr>
              <w:jc w:val="center"/>
              <w:rPr>
                <w:b/>
                <w:color w:val="000000"/>
                <w:sz w:val="20"/>
                <w:szCs w:val="20"/>
              </w:rPr>
            </w:pPr>
            <w:r>
              <w:rPr>
                <w:b/>
                <w:color w:val="000000"/>
                <w:sz w:val="20"/>
                <w:szCs w:val="20"/>
              </w:rPr>
              <w:t>Study;</w:t>
            </w:r>
          </w:p>
          <w:p w14:paraId="38C4A413" w14:textId="77777777" w:rsidR="002D58E4" w:rsidRDefault="00F721D4">
            <w:pPr>
              <w:jc w:val="center"/>
              <w:rPr>
                <w:b/>
                <w:sz w:val="20"/>
                <w:szCs w:val="20"/>
              </w:rPr>
            </w:pPr>
            <w:r>
              <w:rPr>
                <w:b/>
                <w:color w:val="000000"/>
                <w:sz w:val="20"/>
                <w:szCs w:val="20"/>
              </w:rPr>
              <w:t>Location</w:t>
            </w:r>
          </w:p>
        </w:tc>
        <w:tc>
          <w:tcPr>
            <w:tcW w:w="990" w:type="dxa"/>
            <w:shd w:val="clear" w:color="auto" w:fill="D9D9D9"/>
          </w:tcPr>
          <w:p w14:paraId="6AD74DB5" w14:textId="77777777" w:rsidR="002D58E4" w:rsidRDefault="00F721D4">
            <w:pPr>
              <w:jc w:val="center"/>
              <w:rPr>
                <w:b/>
                <w:color w:val="000000"/>
                <w:sz w:val="20"/>
                <w:szCs w:val="20"/>
              </w:rPr>
            </w:pPr>
            <w:r>
              <w:rPr>
                <w:b/>
                <w:color w:val="000000"/>
                <w:sz w:val="20"/>
                <w:szCs w:val="20"/>
              </w:rPr>
              <w:t>Study Design</w:t>
            </w:r>
          </w:p>
        </w:tc>
        <w:tc>
          <w:tcPr>
            <w:tcW w:w="810" w:type="dxa"/>
            <w:shd w:val="clear" w:color="auto" w:fill="D9D9D9"/>
          </w:tcPr>
          <w:p w14:paraId="60CD0CAB" w14:textId="77777777" w:rsidR="002D58E4" w:rsidRDefault="00F721D4">
            <w:pPr>
              <w:jc w:val="center"/>
              <w:rPr>
                <w:b/>
                <w:color w:val="000000"/>
                <w:sz w:val="20"/>
                <w:szCs w:val="20"/>
              </w:rPr>
            </w:pPr>
            <w:r>
              <w:rPr>
                <w:b/>
                <w:color w:val="000000"/>
                <w:sz w:val="20"/>
                <w:szCs w:val="20"/>
              </w:rPr>
              <w:t>Risk of bias*</w:t>
            </w:r>
          </w:p>
        </w:tc>
        <w:tc>
          <w:tcPr>
            <w:tcW w:w="3060" w:type="dxa"/>
            <w:shd w:val="clear" w:color="auto" w:fill="D9D9D9"/>
          </w:tcPr>
          <w:p w14:paraId="356BD5F6" w14:textId="77777777" w:rsidR="002D58E4" w:rsidRDefault="00F721D4">
            <w:pPr>
              <w:jc w:val="center"/>
              <w:rPr>
                <w:b/>
                <w:color w:val="000000"/>
                <w:sz w:val="20"/>
                <w:szCs w:val="20"/>
              </w:rPr>
            </w:pPr>
            <w:r>
              <w:rPr>
                <w:b/>
                <w:color w:val="000000"/>
                <w:sz w:val="20"/>
                <w:szCs w:val="20"/>
              </w:rPr>
              <w:t>Population characteristics</w:t>
            </w:r>
          </w:p>
        </w:tc>
        <w:tc>
          <w:tcPr>
            <w:tcW w:w="2970" w:type="dxa"/>
            <w:shd w:val="clear" w:color="auto" w:fill="D9D9D9"/>
          </w:tcPr>
          <w:p w14:paraId="04FC100B" w14:textId="77777777" w:rsidR="002D58E4" w:rsidRDefault="00F721D4">
            <w:pPr>
              <w:jc w:val="center"/>
              <w:rPr>
                <w:b/>
                <w:sz w:val="20"/>
                <w:szCs w:val="20"/>
              </w:rPr>
            </w:pPr>
            <w:r>
              <w:rPr>
                <w:b/>
                <w:color w:val="000000"/>
                <w:sz w:val="20"/>
                <w:szCs w:val="20"/>
              </w:rPr>
              <w:t>Interventions and comparisons</w:t>
            </w:r>
          </w:p>
        </w:tc>
        <w:tc>
          <w:tcPr>
            <w:tcW w:w="1710" w:type="dxa"/>
            <w:shd w:val="clear" w:color="auto" w:fill="D9D9D9"/>
          </w:tcPr>
          <w:p w14:paraId="55002905" w14:textId="77777777" w:rsidR="002D58E4" w:rsidRDefault="00F721D4">
            <w:pPr>
              <w:jc w:val="center"/>
              <w:rPr>
                <w:b/>
                <w:sz w:val="20"/>
                <w:szCs w:val="20"/>
              </w:rPr>
            </w:pPr>
            <w:r>
              <w:rPr>
                <w:b/>
                <w:sz w:val="20"/>
                <w:szCs w:val="20"/>
              </w:rPr>
              <w:t>Outcomes</w:t>
            </w:r>
          </w:p>
        </w:tc>
        <w:tc>
          <w:tcPr>
            <w:tcW w:w="4050" w:type="dxa"/>
            <w:shd w:val="clear" w:color="auto" w:fill="D9D9D9"/>
          </w:tcPr>
          <w:p w14:paraId="02329969" w14:textId="77777777" w:rsidR="002D58E4" w:rsidRDefault="00F721D4">
            <w:pPr>
              <w:jc w:val="center"/>
              <w:rPr>
                <w:b/>
                <w:sz w:val="20"/>
                <w:szCs w:val="20"/>
              </w:rPr>
            </w:pPr>
            <w:r>
              <w:rPr>
                <w:b/>
                <w:sz w:val="20"/>
                <w:szCs w:val="20"/>
              </w:rPr>
              <w:t>Results and conclusions</w:t>
            </w:r>
          </w:p>
        </w:tc>
      </w:tr>
      <w:tr w:rsidR="002D58E4" w14:paraId="79B68422" w14:textId="77777777">
        <w:tc>
          <w:tcPr>
            <w:tcW w:w="990" w:type="dxa"/>
          </w:tcPr>
          <w:p w14:paraId="6685B1BF" w14:textId="77777777" w:rsidR="002D58E4" w:rsidRDefault="00F721D4">
            <w:pPr>
              <w:rPr>
                <w:sz w:val="20"/>
                <w:szCs w:val="20"/>
              </w:rPr>
            </w:pPr>
            <w:r>
              <w:rPr>
                <w:sz w:val="20"/>
                <w:szCs w:val="20"/>
              </w:rPr>
              <w:t>Daltroy, 2007</w:t>
            </w:r>
          </w:p>
          <w:p w14:paraId="3200E446" w14:textId="77777777" w:rsidR="002D58E4" w:rsidRDefault="00F721D4">
            <w:pPr>
              <w:rPr>
                <w:b/>
                <w:sz w:val="20"/>
                <w:szCs w:val="20"/>
              </w:rPr>
            </w:pPr>
            <w:r>
              <w:rPr>
                <w:sz w:val="20"/>
                <w:szCs w:val="20"/>
              </w:rPr>
              <w:t>Nantucket Island, MA</w:t>
            </w:r>
          </w:p>
        </w:tc>
        <w:tc>
          <w:tcPr>
            <w:tcW w:w="990" w:type="dxa"/>
          </w:tcPr>
          <w:p w14:paraId="67421CE1" w14:textId="77777777" w:rsidR="002D58E4" w:rsidRDefault="00F721D4">
            <w:pPr>
              <w:rPr>
                <w:sz w:val="20"/>
                <w:szCs w:val="20"/>
              </w:rPr>
            </w:pPr>
            <w:r>
              <w:rPr>
                <w:sz w:val="20"/>
                <w:szCs w:val="20"/>
              </w:rPr>
              <w:t>An RCT of a Lyme disease (LD) primary prevention program.</w:t>
            </w:r>
          </w:p>
        </w:tc>
        <w:tc>
          <w:tcPr>
            <w:tcW w:w="810" w:type="dxa"/>
          </w:tcPr>
          <w:p w14:paraId="6E5AE091" w14:textId="77777777" w:rsidR="002D58E4" w:rsidRDefault="00F721D4">
            <w:pPr>
              <w:jc w:val="center"/>
              <w:rPr>
                <w:sz w:val="20"/>
                <w:szCs w:val="20"/>
              </w:rPr>
            </w:pPr>
            <w:r>
              <w:rPr>
                <w:sz w:val="20"/>
                <w:szCs w:val="20"/>
              </w:rPr>
              <w:t>High risk of bias</w:t>
            </w:r>
          </w:p>
        </w:tc>
        <w:tc>
          <w:tcPr>
            <w:tcW w:w="3060" w:type="dxa"/>
          </w:tcPr>
          <w:p w14:paraId="2F660C0B" w14:textId="77777777" w:rsidR="002D58E4" w:rsidRDefault="00F721D4">
            <w:pPr>
              <w:rPr>
                <w:sz w:val="20"/>
                <w:szCs w:val="20"/>
              </w:rPr>
            </w:pPr>
            <w:r>
              <w:rPr>
                <w:sz w:val="20"/>
                <w:szCs w:val="20"/>
              </w:rPr>
              <w:t>30,164 passengers on ferryboats going to Nantucket Island, MA, during 3 summers of 1997-1999. Boats were randomized to receive experimental or control educational interventions.</w:t>
            </w:r>
          </w:p>
          <w:p w14:paraId="78E8D517" w14:textId="77777777" w:rsidR="002D58E4" w:rsidRDefault="002D58E4">
            <w:pPr>
              <w:rPr>
                <w:sz w:val="20"/>
                <w:szCs w:val="20"/>
              </w:rPr>
            </w:pPr>
          </w:p>
          <w:p w14:paraId="1743BE0E" w14:textId="77777777" w:rsidR="002D58E4" w:rsidRDefault="00F721D4">
            <w:pPr>
              <w:rPr>
                <w:sz w:val="20"/>
                <w:szCs w:val="20"/>
              </w:rPr>
            </w:pPr>
            <w:r>
              <w:rPr>
                <w:sz w:val="20"/>
                <w:szCs w:val="20"/>
              </w:rPr>
              <w:t xml:space="preserve">A questionnaire on occurrence of various tick-borne illnesses (TBI) such as Lyme disease, Ehrlichiosis, and Babesiosis; symptoms consistent with Lyme disease based on the CDC case definition; visits to the doctor; and practice of preventive behaviors while on the Island was mailed to the participants at 2 months. Physicians </w:t>
            </w:r>
            <w:r>
              <w:rPr>
                <w:sz w:val="20"/>
                <w:szCs w:val="20"/>
              </w:rPr>
              <w:lastRenderedPageBreak/>
              <w:t>were contacted for details in case of positive responses regarding tick-borne illnesses.</w:t>
            </w:r>
          </w:p>
        </w:tc>
        <w:tc>
          <w:tcPr>
            <w:tcW w:w="2970" w:type="dxa"/>
          </w:tcPr>
          <w:p w14:paraId="1CDEEBBD" w14:textId="77777777" w:rsidR="002D58E4" w:rsidRDefault="00F721D4">
            <w:pPr>
              <w:rPr>
                <w:sz w:val="20"/>
                <w:szCs w:val="20"/>
              </w:rPr>
            </w:pPr>
            <w:r>
              <w:rPr>
                <w:b/>
                <w:sz w:val="20"/>
                <w:szCs w:val="20"/>
              </w:rPr>
              <w:lastRenderedPageBreak/>
              <w:t>1. Experimental educational intervention</w:t>
            </w:r>
            <w:r>
              <w:rPr>
                <w:sz w:val="20"/>
                <w:szCs w:val="20"/>
              </w:rPr>
              <w:t xml:space="preserve">: participants learned </w:t>
            </w:r>
            <w:r>
              <w:rPr>
                <w:b/>
                <w:sz w:val="20"/>
                <w:szCs w:val="20"/>
              </w:rPr>
              <w:t>how to prevent Lyme diseas</w:t>
            </w:r>
            <w:r>
              <w:rPr>
                <w:sz w:val="20"/>
                <w:szCs w:val="20"/>
              </w:rPr>
              <w:t>e:</w:t>
            </w:r>
          </w:p>
          <w:p w14:paraId="2F068488" w14:textId="77777777" w:rsidR="002D58E4" w:rsidRDefault="00F721D4">
            <w:pPr>
              <w:rPr>
                <w:sz w:val="20"/>
                <w:szCs w:val="20"/>
                <w:u w:val="single"/>
              </w:rPr>
            </w:pPr>
            <w:r>
              <w:rPr>
                <w:sz w:val="20"/>
                <w:szCs w:val="20"/>
              </w:rPr>
              <w:t xml:space="preserve">A </w:t>
            </w:r>
            <w:r>
              <w:rPr>
                <w:sz w:val="20"/>
                <w:szCs w:val="20"/>
                <w:u w:val="single"/>
              </w:rPr>
              <w:t>15-min communication act</w:t>
            </w:r>
            <w:r>
              <w:rPr>
                <w:sz w:val="20"/>
                <w:szCs w:val="20"/>
              </w:rPr>
              <w:t xml:space="preserve"> conveying the severity and likelihood of acquiring LD and the benefits of tick avoidance and search/removal behaviors; a demonstration of removal of </w:t>
            </w:r>
            <w:r>
              <w:rPr>
                <w:i/>
                <w:sz w:val="20"/>
                <w:szCs w:val="20"/>
              </w:rPr>
              <w:t xml:space="preserve">Ixodes </w:t>
            </w:r>
            <w:r>
              <w:rPr>
                <w:sz w:val="20"/>
                <w:szCs w:val="20"/>
              </w:rPr>
              <w:t xml:space="preserve">ticks (modeling); and </w:t>
            </w:r>
            <w:r>
              <w:rPr>
                <w:sz w:val="20"/>
                <w:szCs w:val="20"/>
                <w:u w:val="single"/>
              </w:rPr>
              <w:t xml:space="preserve">free education materials </w:t>
            </w:r>
          </w:p>
          <w:p w14:paraId="28172B33" w14:textId="77777777" w:rsidR="002D58E4" w:rsidRDefault="00F721D4">
            <w:pPr>
              <w:rPr>
                <w:sz w:val="20"/>
                <w:szCs w:val="20"/>
              </w:rPr>
            </w:pPr>
            <w:r>
              <w:rPr>
                <w:b/>
                <w:sz w:val="20"/>
                <w:szCs w:val="20"/>
              </w:rPr>
              <w:t>2. Control educational intervention</w:t>
            </w:r>
            <w:r>
              <w:rPr>
                <w:sz w:val="20"/>
                <w:szCs w:val="20"/>
              </w:rPr>
              <w:t xml:space="preserve">: participants learned </w:t>
            </w:r>
            <w:r>
              <w:rPr>
                <w:b/>
                <w:sz w:val="20"/>
                <w:szCs w:val="20"/>
              </w:rPr>
              <w:t>how to prevent summer injuries as bicyclists and roller-bladders.</w:t>
            </w:r>
          </w:p>
        </w:tc>
        <w:tc>
          <w:tcPr>
            <w:tcW w:w="1710" w:type="dxa"/>
          </w:tcPr>
          <w:p w14:paraId="1BE11C8B" w14:textId="77777777" w:rsidR="002D58E4" w:rsidRDefault="00F721D4">
            <w:pPr>
              <w:rPr>
                <w:sz w:val="20"/>
                <w:szCs w:val="20"/>
              </w:rPr>
            </w:pPr>
            <w:r>
              <w:rPr>
                <w:sz w:val="20"/>
                <w:szCs w:val="20"/>
              </w:rPr>
              <w:t>• Rates of self-reported tick-borne illnesses (TBI)</w:t>
            </w:r>
          </w:p>
          <w:p w14:paraId="2610D23F" w14:textId="77777777" w:rsidR="002D58E4" w:rsidRDefault="002D58E4">
            <w:pPr>
              <w:rPr>
                <w:sz w:val="20"/>
                <w:szCs w:val="20"/>
              </w:rPr>
            </w:pPr>
          </w:p>
          <w:p w14:paraId="6E5E74E1" w14:textId="77777777" w:rsidR="002D58E4" w:rsidRDefault="00F721D4">
            <w:pPr>
              <w:rPr>
                <w:sz w:val="20"/>
                <w:szCs w:val="20"/>
              </w:rPr>
            </w:pPr>
            <w:r>
              <w:rPr>
                <w:sz w:val="20"/>
                <w:szCs w:val="20"/>
              </w:rPr>
              <w:t>• Relative risks (RR) of TBI in exp. vs. ctr. groups were calculated (also assessed separately in short-term visitors (≤ 2 wks), long-term visitors (&gt; 2wks), and Nantucket residents).</w:t>
            </w:r>
          </w:p>
        </w:tc>
        <w:tc>
          <w:tcPr>
            <w:tcW w:w="4050" w:type="dxa"/>
          </w:tcPr>
          <w:p w14:paraId="38B6CC35" w14:textId="77777777" w:rsidR="002D58E4" w:rsidRDefault="00F721D4">
            <w:pPr>
              <w:rPr>
                <w:sz w:val="20"/>
                <w:szCs w:val="20"/>
              </w:rPr>
            </w:pPr>
            <w:r>
              <w:rPr>
                <w:sz w:val="20"/>
                <w:szCs w:val="20"/>
              </w:rPr>
              <w:t>Overall, there were lower rates of TBI among participants receiving TBI education compared with control participants (RR =0.79, 95% CI 0.56 to 1.10, p &lt;.17  - non-significant) and a 60% reduction in risk among those receiving TBI education who visited Nantucket Island for more than 2 weeks compared to control participants (RR = 0.41, 95% CI = 0.18 to 0.95, p &lt; .038).</w:t>
            </w:r>
          </w:p>
          <w:p w14:paraId="57C4D974" w14:textId="77777777" w:rsidR="002D58E4" w:rsidRDefault="002D58E4">
            <w:pPr>
              <w:rPr>
                <w:sz w:val="20"/>
                <w:szCs w:val="20"/>
              </w:rPr>
            </w:pPr>
          </w:p>
          <w:p w14:paraId="35D72CEE" w14:textId="77777777" w:rsidR="002D58E4" w:rsidRDefault="00F721D4">
            <w:pPr>
              <w:rPr>
                <w:sz w:val="20"/>
                <w:szCs w:val="20"/>
              </w:rPr>
            </w:pPr>
            <w:r>
              <w:rPr>
                <w:sz w:val="20"/>
                <w:szCs w:val="20"/>
              </w:rPr>
              <w:t>The rates for Nantucket residents were also lower in experimental vs. control groups, but not significantly (RR = 0.75, 95% CI = 0.30 to 1.89, p &lt; .54).</w:t>
            </w:r>
          </w:p>
          <w:p w14:paraId="1AE36E9F" w14:textId="77777777" w:rsidR="002D58E4" w:rsidRDefault="002D58E4">
            <w:pPr>
              <w:rPr>
                <w:sz w:val="20"/>
                <w:szCs w:val="20"/>
              </w:rPr>
            </w:pPr>
          </w:p>
          <w:p w14:paraId="22177A2B" w14:textId="77777777" w:rsidR="002D58E4" w:rsidRDefault="00F721D4">
            <w:pPr>
              <w:rPr>
                <w:sz w:val="20"/>
                <w:szCs w:val="20"/>
              </w:rPr>
            </w:pPr>
            <w:r>
              <w:rPr>
                <w:sz w:val="20"/>
                <w:szCs w:val="20"/>
              </w:rPr>
              <w:t xml:space="preserve">TBI-educated participants were also significantly more likely to take precautions (use repellent, </w:t>
            </w:r>
            <w:r>
              <w:rPr>
                <w:sz w:val="20"/>
                <w:szCs w:val="20"/>
              </w:rPr>
              <w:lastRenderedPageBreak/>
              <w:t>protective clothing, limit time in tick areas) and check themselves for ticks.</w:t>
            </w:r>
          </w:p>
        </w:tc>
      </w:tr>
      <w:tr w:rsidR="002D58E4" w14:paraId="1DCBED3E" w14:textId="77777777">
        <w:tc>
          <w:tcPr>
            <w:tcW w:w="990" w:type="dxa"/>
          </w:tcPr>
          <w:p w14:paraId="69F7F540" w14:textId="77777777" w:rsidR="002D58E4" w:rsidRDefault="00F721D4">
            <w:pPr>
              <w:rPr>
                <w:sz w:val="20"/>
                <w:szCs w:val="20"/>
              </w:rPr>
            </w:pPr>
            <w:r>
              <w:rPr>
                <w:sz w:val="20"/>
                <w:szCs w:val="20"/>
              </w:rPr>
              <w:t>Malouin, 2003</w:t>
            </w:r>
          </w:p>
          <w:p w14:paraId="68887D7A" w14:textId="77777777" w:rsidR="002D58E4" w:rsidRDefault="002D58E4">
            <w:pPr>
              <w:rPr>
                <w:b/>
                <w:sz w:val="20"/>
                <w:szCs w:val="20"/>
              </w:rPr>
            </w:pPr>
          </w:p>
          <w:p w14:paraId="57429A5E" w14:textId="77777777" w:rsidR="002D58E4" w:rsidRDefault="00F721D4">
            <w:pPr>
              <w:rPr>
                <w:sz w:val="20"/>
                <w:szCs w:val="20"/>
              </w:rPr>
            </w:pPr>
            <w:r>
              <w:rPr>
                <w:sz w:val="20"/>
                <w:szCs w:val="20"/>
              </w:rPr>
              <w:t>Baltimore, MD</w:t>
            </w:r>
          </w:p>
        </w:tc>
        <w:tc>
          <w:tcPr>
            <w:tcW w:w="990" w:type="dxa"/>
          </w:tcPr>
          <w:p w14:paraId="3128FB50" w14:textId="77777777" w:rsidR="002D58E4" w:rsidRDefault="00F721D4">
            <w:pPr>
              <w:rPr>
                <w:sz w:val="20"/>
                <w:szCs w:val="20"/>
              </w:rPr>
            </w:pPr>
            <w:r>
              <w:rPr>
                <w:sz w:val="20"/>
                <w:szCs w:val="20"/>
              </w:rPr>
              <w:t xml:space="preserve">An RCT of a targeted educational intervention in an area with endemic Lyme disease.  </w:t>
            </w:r>
          </w:p>
        </w:tc>
        <w:tc>
          <w:tcPr>
            <w:tcW w:w="810" w:type="dxa"/>
          </w:tcPr>
          <w:p w14:paraId="0C3E0CE0" w14:textId="77777777" w:rsidR="002D58E4" w:rsidRDefault="00F721D4">
            <w:pPr>
              <w:jc w:val="center"/>
              <w:rPr>
                <w:sz w:val="20"/>
                <w:szCs w:val="20"/>
              </w:rPr>
            </w:pPr>
            <w:r>
              <w:rPr>
                <w:sz w:val="20"/>
                <w:szCs w:val="20"/>
              </w:rPr>
              <w:t>High risk of bias</w:t>
            </w:r>
          </w:p>
        </w:tc>
        <w:tc>
          <w:tcPr>
            <w:tcW w:w="3060" w:type="dxa"/>
          </w:tcPr>
          <w:p w14:paraId="43809490" w14:textId="77777777" w:rsidR="002D58E4" w:rsidRDefault="00F721D4">
            <w:pPr>
              <w:rPr>
                <w:sz w:val="20"/>
                <w:szCs w:val="20"/>
              </w:rPr>
            </w:pPr>
            <w:r>
              <w:rPr>
                <w:sz w:val="20"/>
                <w:szCs w:val="20"/>
              </w:rPr>
              <w:t>317 subjects recruited by random digit dialing in the Baltimore county who were randomized to receive experimental or control educational materials.</w:t>
            </w:r>
          </w:p>
          <w:p w14:paraId="36D03214" w14:textId="77777777" w:rsidR="002D58E4" w:rsidRDefault="002D58E4">
            <w:pPr>
              <w:rPr>
                <w:sz w:val="20"/>
                <w:szCs w:val="20"/>
              </w:rPr>
            </w:pPr>
          </w:p>
          <w:p w14:paraId="6C1DF3F7" w14:textId="77777777" w:rsidR="002D58E4" w:rsidRDefault="00F721D4">
            <w:pPr>
              <w:rPr>
                <w:sz w:val="20"/>
                <w:szCs w:val="20"/>
              </w:rPr>
            </w:pPr>
            <w:r>
              <w:rPr>
                <w:sz w:val="20"/>
                <w:szCs w:val="20"/>
              </w:rPr>
              <w:t xml:space="preserve">The participants had 3 clinic visits afterwards, completed questionnaires (related to residential, recreational, and occupational tick bite risk; history and knowledge of tick bites and Lyme disease; and knowledge and use of tick bite prevention methods), and submitted serum samples for anti-recombinant tick calreticulin antibody (ARTCA) analysis. </w:t>
            </w:r>
          </w:p>
          <w:p w14:paraId="54254E9A" w14:textId="77777777" w:rsidR="002D58E4" w:rsidRDefault="00F721D4">
            <w:pPr>
              <w:rPr>
                <w:sz w:val="20"/>
                <w:szCs w:val="20"/>
              </w:rPr>
            </w:pPr>
            <w:r>
              <w:rPr>
                <w:sz w:val="20"/>
                <w:szCs w:val="20"/>
              </w:rPr>
              <w:t>Also, they filled out 10 checklists with questions related to tick exposure and use of the intervention materials included in the previous mailing.</w:t>
            </w:r>
          </w:p>
        </w:tc>
        <w:tc>
          <w:tcPr>
            <w:tcW w:w="2970" w:type="dxa"/>
          </w:tcPr>
          <w:p w14:paraId="36455E29" w14:textId="77777777" w:rsidR="002D58E4" w:rsidRDefault="00F721D4">
            <w:pPr>
              <w:rPr>
                <w:sz w:val="20"/>
                <w:szCs w:val="20"/>
              </w:rPr>
            </w:pPr>
            <w:r>
              <w:rPr>
                <w:b/>
                <w:sz w:val="20"/>
                <w:szCs w:val="20"/>
              </w:rPr>
              <w:t>1.</w:t>
            </w:r>
            <w:r>
              <w:rPr>
                <w:sz w:val="20"/>
                <w:szCs w:val="20"/>
              </w:rPr>
              <w:t xml:space="preserve"> </w:t>
            </w:r>
            <w:r>
              <w:rPr>
                <w:b/>
                <w:sz w:val="20"/>
                <w:szCs w:val="20"/>
              </w:rPr>
              <w:t>Tick-related educational materials</w:t>
            </w:r>
            <w:r>
              <w:rPr>
                <w:sz w:val="20"/>
                <w:szCs w:val="20"/>
              </w:rPr>
              <w:t xml:space="preserve"> (literature and tools designed to educate and to enable each individual to examine his or her entire body for ticks, identify and remove ticks found during these body checks, and apply the repellent DEET to the skin and the acaricide permethrin to the clothing); or </w:t>
            </w:r>
          </w:p>
          <w:p w14:paraId="1E3A1A2C" w14:textId="77777777" w:rsidR="002D58E4" w:rsidRDefault="002D58E4">
            <w:pPr>
              <w:rPr>
                <w:sz w:val="20"/>
                <w:szCs w:val="20"/>
              </w:rPr>
            </w:pPr>
          </w:p>
          <w:p w14:paraId="360AC434" w14:textId="77777777" w:rsidR="002D58E4" w:rsidRDefault="00F721D4">
            <w:pPr>
              <w:rPr>
                <w:b/>
                <w:sz w:val="20"/>
                <w:szCs w:val="20"/>
              </w:rPr>
            </w:pPr>
            <w:r>
              <w:rPr>
                <w:b/>
                <w:sz w:val="20"/>
                <w:szCs w:val="20"/>
              </w:rPr>
              <w:t>2.</w:t>
            </w:r>
            <w:r>
              <w:rPr>
                <w:sz w:val="20"/>
                <w:szCs w:val="20"/>
              </w:rPr>
              <w:t xml:space="preserve"> </w:t>
            </w:r>
            <w:r>
              <w:rPr>
                <w:b/>
                <w:sz w:val="20"/>
                <w:szCs w:val="20"/>
              </w:rPr>
              <w:t>General health-related educational materials</w:t>
            </w:r>
          </w:p>
          <w:p w14:paraId="5615DDE6" w14:textId="77777777" w:rsidR="002D58E4" w:rsidRDefault="002D58E4">
            <w:pPr>
              <w:rPr>
                <w:b/>
                <w:sz w:val="20"/>
                <w:szCs w:val="20"/>
              </w:rPr>
            </w:pPr>
          </w:p>
          <w:p w14:paraId="1FEEA6AF" w14:textId="77777777" w:rsidR="002D58E4" w:rsidRDefault="00F721D4">
            <w:pPr>
              <w:rPr>
                <w:sz w:val="20"/>
                <w:szCs w:val="20"/>
              </w:rPr>
            </w:pPr>
            <w:r>
              <w:rPr>
                <w:sz w:val="20"/>
                <w:szCs w:val="20"/>
              </w:rPr>
              <w:t>Educational materials were sent bimonthly through the mail in Apr-Sep 1999.</w:t>
            </w:r>
          </w:p>
        </w:tc>
        <w:tc>
          <w:tcPr>
            <w:tcW w:w="1710" w:type="dxa"/>
          </w:tcPr>
          <w:p w14:paraId="217D5128" w14:textId="77777777" w:rsidR="002D58E4" w:rsidRDefault="00F721D4">
            <w:pPr>
              <w:rPr>
                <w:sz w:val="20"/>
                <w:szCs w:val="20"/>
              </w:rPr>
            </w:pPr>
            <w:r>
              <w:rPr>
                <w:b/>
                <w:sz w:val="20"/>
                <w:szCs w:val="20"/>
              </w:rPr>
              <w:t>ARTCA</w:t>
            </w:r>
            <w:r>
              <w:rPr>
                <w:sz w:val="20"/>
                <w:szCs w:val="20"/>
              </w:rPr>
              <w:t xml:space="preserve"> (anti-recombinant tick calreticulin antibody) - a biomarker of tick bites.</w:t>
            </w:r>
          </w:p>
          <w:p w14:paraId="5F9F2D3E" w14:textId="77777777" w:rsidR="002D58E4" w:rsidRDefault="00F721D4">
            <w:pPr>
              <w:rPr>
                <w:sz w:val="20"/>
                <w:szCs w:val="20"/>
              </w:rPr>
            </w:pPr>
            <w:r>
              <w:rPr>
                <w:sz w:val="20"/>
                <w:szCs w:val="20"/>
              </w:rPr>
              <w:t>Linear and logistic regression analyses were used to determine:</w:t>
            </w:r>
          </w:p>
          <w:p w14:paraId="789788D3" w14:textId="77777777" w:rsidR="002D58E4" w:rsidRDefault="00F721D4">
            <w:pPr>
              <w:rPr>
                <w:sz w:val="20"/>
                <w:szCs w:val="20"/>
              </w:rPr>
            </w:pPr>
            <w:r>
              <w:rPr>
                <w:sz w:val="20"/>
                <w:szCs w:val="20"/>
              </w:rPr>
              <w:t>(1) whether the educational intervention was associated with a change in knowledge, attitudes, and behaviors (KAB) and (2) whether change in KAB predicted change in ARTCA levels.</w:t>
            </w:r>
          </w:p>
        </w:tc>
        <w:tc>
          <w:tcPr>
            <w:tcW w:w="4050" w:type="dxa"/>
          </w:tcPr>
          <w:p w14:paraId="6868F6AB" w14:textId="77777777" w:rsidR="002D58E4" w:rsidRDefault="00F721D4">
            <w:pPr>
              <w:rPr>
                <w:sz w:val="20"/>
                <w:szCs w:val="20"/>
              </w:rPr>
            </w:pPr>
            <w:r>
              <w:rPr>
                <w:sz w:val="20"/>
                <w:szCs w:val="20"/>
              </w:rPr>
              <w:t>Proportions of desired responses increased significantly among intervention subjects versus the comparison group on KAB measures related to examining the body for ticks and insect repellent use; however, this change was not associated with significant change in ARTCA levels.</w:t>
            </w:r>
          </w:p>
        </w:tc>
      </w:tr>
      <w:tr w:rsidR="002D58E4" w14:paraId="01B38B09" w14:textId="77777777">
        <w:tc>
          <w:tcPr>
            <w:tcW w:w="990" w:type="dxa"/>
          </w:tcPr>
          <w:p w14:paraId="33592550" w14:textId="77777777" w:rsidR="002D58E4" w:rsidRPr="00F721D4" w:rsidRDefault="00F721D4">
            <w:pPr>
              <w:rPr>
                <w:sz w:val="20"/>
                <w:szCs w:val="20"/>
                <w:lang w:val="fr-CA"/>
              </w:rPr>
            </w:pPr>
            <w:r w:rsidRPr="00F721D4">
              <w:rPr>
                <w:sz w:val="20"/>
                <w:szCs w:val="20"/>
                <w:lang w:val="fr-CA"/>
              </w:rPr>
              <w:t>Beaujean, et al., 2016</w:t>
            </w:r>
          </w:p>
          <w:p w14:paraId="7DF933F8" w14:textId="77777777" w:rsidR="002D58E4" w:rsidRPr="00F721D4" w:rsidRDefault="002D58E4">
            <w:pPr>
              <w:spacing w:after="200" w:line="276" w:lineRule="auto"/>
              <w:rPr>
                <w:sz w:val="20"/>
                <w:szCs w:val="20"/>
                <w:lang w:val="fr-CA"/>
              </w:rPr>
            </w:pPr>
          </w:p>
          <w:p w14:paraId="5C4B9CFD" w14:textId="77777777" w:rsidR="002D58E4" w:rsidRPr="00F721D4" w:rsidRDefault="00F721D4">
            <w:pPr>
              <w:spacing w:after="200" w:line="276" w:lineRule="auto"/>
              <w:rPr>
                <w:sz w:val="20"/>
                <w:szCs w:val="20"/>
                <w:lang w:val="fr-CA"/>
              </w:rPr>
            </w:pPr>
            <w:r w:rsidRPr="00F721D4">
              <w:rPr>
                <w:sz w:val="20"/>
                <w:szCs w:val="20"/>
                <w:lang w:val="fr-CA"/>
              </w:rPr>
              <w:t>The Netherlands</w:t>
            </w:r>
          </w:p>
        </w:tc>
        <w:tc>
          <w:tcPr>
            <w:tcW w:w="990" w:type="dxa"/>
          </w:tcPr>
          <w:p w14:paraId="5BD28554" w14:textId="77777777" w:rsidR="002D58E4" w:rsidRDefault="00F721D4">
            <w:pPr>
              <w:rPr>
                <w:sz w:val="20"/>
                <w:szCs w:val="20"/>
              </w:rPr>
            </w:pPr>
            <w:r>
              <w:rPr>
                <w:sz w:val="20"/>
                <w:szCs w:val="20"/>
              </w:rPr>
              <w:t>A cluster-RCT of a targeted educational intervention among at-risk school children.</w:t>
            </w:r>
          </w:p>
        </w:tc>
        <w:tc>
          <w:tcPr>
            <w:tcW w:w="810" w:type="dxa"/>
          </w:tcPr>
          <w:p w14:paraId="3651C52D" w14:textId="77777777" w:rsidR="002D58E4" w:rsidRDefault="00F721D4">
            <w:pPr>
              <w:jc w:val="center"/>
              <w:rPr>
                <w:sz w:val="20"/>
                <w:szCs w:val="20"/>
              </w:rPr>
            </w:pPr>
            <w:r>
              <w:rPr>
                <w:sz w:val="20"/>
                <w:szCs w:val="20"/>
              </w:rPr>
              <w:t>High risk of bias</w:t>
            </w:r>
          </w:p>
        </w:tc>
        <w:tc>
          <w:tcPr>
            <w:tcW w:w="3060" w:type="dxa"/>
          </w:tcPr>
          <w:p w14:paraId="7A062B22" w14:textId="77777777" w:rsidR="002D58E4" w:rsidRDefault="00F721D4">
            <w:pPr>
              <w:rPr>
                <w:sz w:val="20"/>
                <w:szCs w:val="20"/>
              </w:rPr>
            </w:pPr>
            <w:r>
              <w:rPr>
                <w:sz w:val="20"/>
                <w:szCs w:val="20"/>
              </w:rPr>
              <w:t xml:space="preserve">887 children between the ages of 9 and 13 years were recruited from 25 primary schools. 254 children were randomized to the game group, 328 were randomized to the leaflet group, and 399 were randomized to the control group and completed an initial questionnaire in February-March of 2012; of the children randomized, 199 (78%), 316 (96%), and 372 (93%) were available to complete the second questionnaire in June-July 2012. </w:t>
            </w:r>
          </w:p>
          <w:p w14:paraId="59B1A4BF" w14:textId="77777777" w:rsidR="002D58E4" w:rsidRDefault="002D58E4">
            <w:pPr>
              <w:rPr>
                <w:sz w:val="20"/>
                <w:szCs w:val="20"/>
              </w:rPr>
            </w:pPr>
          </w:p>
          <w:p w14:paraId="0F0A14B9" w14:textId="77777777" w:rsidR="002D58E4" w:rsidRDefault="00F721D4">
            <w:pPr>
              <w:rPr>
                <w:sz w:val="20"/>
                <w:szCs w:val="20"/>
              </w:rPr>
            </w:pPr>
            <w:r>
              <w:rPr>
                <w:sz w:val="20"/>
                <w:szCs w:val="20"/>
              </w:rPr>
              <w:t xml:space="preserve">Children were asked to complete the short questionnaires before and immediately after each intervention. </w:t>
            </w:r>
          </w:p>
        </w:tc>
        <w:tc>
          <w:tcPr>
            <w:tcW w:w="2970" w:type="dxa"/>
          </w:tcPr>
          <w:p w14:paraId="10C9AED0" w14:textId="77777777" w:rsidR="002D58E4" w:rsidRDefault="00F721D4">
            <w:pPr>
              <w:rPr>
                <w:b/>
                <w:sz w:val="20"/>
                <w:szCs w:val="20"/>
              </w:rPr>
            </w:pPr>
            <w:r>
              <w:rPr>
                <w:b/>
                <w:sz w:val="20"/>
                <w:szCs w:val="20"/>
              </w:rPr>
              <w:lastRenderedPageBreak/>
              <w:t>1. Educational video game</w:t>
            </w:r>
          </w:p>
          <w:p w14:paraId="24441E7B" w14:textId="77777777" w:rsidR="002D58E4" w:rsidRDefault="002D58E4">
            <w:pPr>
              <w:rPr>
                <w:b/>
                <w:sz w:val="20"/>
                <w:szCs w:val="20"/>
              </w:rPr>
            </w:pPr>
          </w:p>
          <w:p w14:paraId="64522202" w14:textId="49CD8F64" w:rsidR="002D58E4" w:rsidRDefault="00F721D4">
            <w:pPr>
              <w:rPr>
                <w:sz w:val="20"/>
                <w:szCs w:val="20"/>
              </w:rPr>
            </w:pPr>
            <w:r>
              <w:rPr>
                <w:sz w:val="20"/>
                <w:szCs w:val="20"/>
              </w:rPr>
              <w:t xml:space="preserve">An online educational video game was developed using the results of a pre-intervention study (Beaujean, et al. </w:t>
            </w:r>
            <w:r>
              <w:rPr>
                <w:i/>
                <w:sz w:val="20"/>
                <w:szCs w:val="20"/>
              </w:rPr>
              <w:t>BMC Public Health</w:t>
            </w:r>
            <w:r>
              <w:rPr>
                <w:sz w:val="20"/>
                <w:szCs w:val="20"/>
              </w:rPr>
              <w:t xml:space="preserve">. 2013 Dec 9;13:1148). The game was constructed based on determinants of preventive behavior according to Protection Motivation Theory, which comprises both “threat appraisal” and “coping appraisal”. The objective of the video game </w:t>
            </w:r>
            <w:r>
              <w:rPr>
                <w:sz w:val="20"/>
                <w:szCs w:val="20"/>
              </w:rPr>
              <w:lastRenderedPageBreak/>
              <w:t>was to simulate threat appraisal scenarios specific to tick bite prevention and to teach children the appropriate coping appraisals. Children played the game individually on a personal computer.</w:t>
            </w:r>
          </w:p>
          <w:p w14:paraId="3DEF91F3" w14:textId="77777777" w:rsidR="002D58E4" w:rsidRDefault="002D58E4">
            <w:pPr>
              <w:rPr>
                <w:b/>
                <w:sz w:val="20"/>
                <w:szCs w:val="20"/>
              </w:rPr>
            </w:pPr>
          </w:p>
          <w:p w14:paraId="2ABEEE58" w14:textId="77777777" w:rsidR="002D58E4" w:rsidRDefault="00F721D4">
            <w:pPr>
              <w:rPr>
                <w:b/>
                <w:sz w:val="20"/>
                <w:szCs w:val="20"/>
              </w:rPr>
            </w:pPr>
            <w:r>
              <w:rPr>
                <w:b/>
                <w:sz w:val="20"/>
                <w:szCs w:val="20"/>
              </w:rPr>
              <w:t>2. Educational leaflet</w:t>
            </w:r>
          </w:p>
          <w:p w14:paraId="79CA825A" w14:textId="77777777" w:rsidR="002D58E4" w:rsidRDefault="002D58E4">
            <w:pPr>
              <w:rPr>
                <w:b/>
                <w:sz w:val="20"/>
                <w:szCs w:val="20"/>
              </w:rPr>
            </w:pPr>
          </w:p>
          <w:p w14:paraId="68F7B579" w14:textId="77777777" w:rsidR="002D58E4" w:rsidRDefault="00F721D4">
            <w:pPr>
              <w:spacing w:after="200" w:line="276" w:lineRule="auto"/>
              <w:rPr>
                <w:sz w:val="20"/>
                <w:szCs w:val="20"/>
              </w:rPr>
            </w:pPr>
            <w:r>
              <w:rPr>
                <w:sz w:val="20"/>
                <w:szCs w:val="20"/>
              </w:rPr>
              <w:t xml:space="preserve">A leaflet was distributed to children in this group that contained similar information to that which was contained within the video game. Children were instructed to read the leaflets. </w:t>
            </w:r>
          </w:p>
          <w:p w14:paraId="01F9C9B0" w14:textId="77777777" w:rsidR="002D58E4" w:rsidRDefault="002D58E4">
            <w:pPr>
              <w:rPr>
                <w:b/>
                <w:sz w:val="20"/>
                <w:szCs w:val="20"/>
              </w:rPr>
            </w:pPr>
          </w:p>
          <w:p w14:paraId="66BB1989" w14:textId="77777777" w:rsidR="002D58E4" w:rsidRDefault="00F721D4">
            <w:pPr>
              <w:rPr>
                <w:b/>
                <w:sz w:val="20"/>
                <w:szCs w:val="20"/>
              </w:rPr>
            </w:pPr>
            <w:r>
              <w:rPr>
                <w:b/>
                <w:sz w:val="20"/>
                <w:szCs w:val="20"/>
              </w:rPr>
              <w:t>3. Control</w:t>
            </w:r>
          </w:p>
          <w:p w14:paraId="32CF8A3E" w14:textId="77777777" w:rsidR="002D58E4" w:rsidRDefault="002D58E4">
            <w:pPr>
              <w:rPr>
                <w:b/>
                <w:sz w:val="20"/>
                <w:szCs w:val="20"/>
              </w:rPr>
            </w:pPr>
          </w:p>
          <w:p w14:paraId="5EF74576" w14:textId="77777777" w:rsidR="002D58E4" w:rsidRDefault="00F721D4">
            <w:pPr>
              <w:spacing w:after="200" w:line="276" w:lineRule="auto"/>
              <w:rPr>
                <w:sz w:val="20"/>
                <w:szCs w:val="20"/>
              </w:rPr>
            </w:pPr>
            <w:r>
              <w:rPr>
                <w:sz w:val="20"/>
                <w:szCs w:val="20"/>
              </w:rPr>
              <w:t>Children in this group received no information</w:t>
            </w:r>
          </w:p>
        </w:tc>
        <w:tc>
          <w:tcPr>
            <w:tcW w:w="1710" w:type="dxa"/>
          </w:tcPr>
          <w:p w14:paraId="4F30B102" w14:textId="6E02C951" w:rsidR="002D58E4" w:rsidRDefault="00F721D4">
            <w:pPr>
              <w:rPr>
                <w:sz w:val="20"/>
                <w:szCs w:val="20"/>
              </w:rPr>
            </w:pPr>
            <w:r>
              <w:rPr>
                <w:sz w:val="20"/>
                <w:szCs w:val="20"/>
              </w:rPr>
              <w:lastRenderedPageBreak/>
              <w:t xml:space="preserve">Primary outcomes were knowledge, perception (perceived susceptibility and importance), and preventive behavior in relation to tick bites and Lyme borreliosis. </w:t>
            </w:r>
          </w:p>
          <w:p w14:paraId="1A037E35" w14:textId="77777777" w:rsidR="002D58E4" w:rsidRDefault="002D58E4">
            <w:pPr>
              <w:rPr>
                <w:sz w:val="20"/>
                <w:szCs w:val="20"/>
              </w:rPr>
            </w:pPr>
          </w:p>
          <w:p w14:paraId="130D80FD" w14:textId="77777777" w:rsidR="002D58E4" w:rsidRDefault="00F721D4">
            <w:pPr>
              <w:rPr>
                <w:sz w:val="20"/>
                <w:szCs w:val="20"/>
              </w:rPr>
            </w:pPr>
            <w:r>
              <w:rPr>
                <w:sz w:val="20"/>
                <w:szCs w:val="20"/>
              </w:rPr>
              <w:t xml:space="preserve">Generalized linear mixed models were </w:t>
            </w:r>
            <w:r>
              <w:rPr>
                <w:sz w:val="20"/>
                <w:szCs w:val="20"/>
              </w:rPr>
              <w:lastRenderedPageBreak/>
              <w:t>used to analyze the data.</w:t>
            </w:r>
          </w:p>
        </w:tc>
        <w:tc>
          <w:tcPr>
            <w:tcW w:w="4050" w:type="dxa"/>
          </w:tcPr>
          <w:p w14:paraId="081A1333" w14:textId="77777777" w:rsidR="002D58E4" w:rsidRDefault="00F721D4">
            <w:pPr>
              <w:rPr>
                <w:sz w:val="20"/>
                <w:szCs w:val="20"/>
              </w:rPr>
            </w:pPr>
            <w:r>
              <w:lastRenderedPageBreak/>
              <w:t xml:space="preserve">Knowledge about ticks and tick bites improved significantly in all three groups. Knowledge improvements were not significantly different between groups. The frequency of checking for ticks increased significantly in the game group, but not in the other two groups, suggesting that the game was effective at improving preventive behavior.  </w:t>
            </w:r>
          </w:p>
          <w:p w14:paraId="6B5F4239" w14:textId="77777777" w:rsidR="002D58E4" w:rsidRDefault="002D58E4">
            <w:pPr>
              <w:rPr>
                <w:sz w:val="20"/>
                <w:szCs w:val="20"/>
              </w:rPr>
            </w:pPr>
          </w:p>
          <w:p w14:paraId="407C7579" w14:textId="77777777" w:rsidR="002D58E4" w:rsidRDefault="00F721D4">
            <w:pPr>
              <w:rPr>
                <w:sz w:val="20"/>
                <w:szCs w:val="20"/>
              </w:rPr>
            </w:pPr>
            <w:r>
              <w:rPr>
                <w:sz w:val="20"/>
                <w:szCs w:val="20"/>
              </w:rPr>
              <w:t xml:space="preserve">The game did not outperform the leaflet or control group on all outcome measures.The </w:t>
            </w:r>
            <w:r>
              <w:rPr>
                <w:sz w:val="20"/>
                <w:szCs w:val="20"/>
              </w:rPr>
              <w:lastRenderedPageBreak/>
              <w:t>authors note that educational video games like the one in this study may be of value as a complementary role, in addition to other media, in child-specific public health education programs on ticks and Lyme borreliosis.</w:t>
            </w:r>
          </w:p>
        </w:tc>
      </w:tr>
      <w:tr w:rsidR="002D58E4" w14:paraId="7F1464FE" w14:textId="77777777">
        <w:tc>
          <w:tcPr>
            <w:tcW w:w="990" w:type="dxa"/>
          </w:tcPr>
          <w:p w14:paraId="5FE99735" w14:textId="77777777" w:rsidR="002D58E4" w:rsidRDefault="00F721D4">
            <w:pPr>
              <w:rPr>
                <w:sz w:val="20"/>
                <w:szCs w:val="20"/>
              </w:rPr>
            </w:pPr>
            <w:r>
              <w:rPr>
                <w:sz w:val="20"/>
                <w:szCs w:val="20"/>
              </w:rPr>
              <w:t>Shadick, 2016</w:t>
            </w:r>
          </w:p>
          <w:p w14:paraId="1F5ABC47" w14:textId="77777777" w:rsidR="002D58E4" w:rsidRDefault="002D58E4">
            <w:pPr>
              <w:rPr>
                <w:sz w:val="20"/>
                <w:szCs w:val="20"/>
              </w:rPr>
            </w:pPr>
          </w:p>
          <w:p w14:paraId="76F5A91C" w14:textId="77777777" w:rsidR="002D58E4" w:rsidRDefault="00F721D4">
            <w:pPr>
              <w:rPr>
                <w:sz w:val="20"/>
                <w:szCs w:val="20"/>
              </w:rPr>
            </w:pPr>
            <w:r>
              <w:rPr>
                <w:sz w:val="20"/>
                <w:szCs w:val="20"/>
              </w:rPr>
              <w:t>MA, USA</w:t>
            </w:r>
          </w:p>
          <w:p w14:paraId="496595A7" w14:textId="77777777" w:rsidR="002D58E4" w:rsidRDefault="002D58E4">
            <w:pPr>
              <w:rPr>
                <w:sz w:val="20"/>
                <w:szCs w:val="20"/>
              </w:rPr>
            </w:pPr>
          </w:p>
          <w:p w14:paraId="592AF285" w14:textId="77777777" w:rsidR="002D58E4" w:rsidRDefault="002D58E4">
            <w:pPr>
              <w:rPr>
                <w:sz w:val="20"/>
                <w:szCs w:val="20"/>
              </w:rPr>
            </w:pPr>
          </w:p>
        </w:tc>
        <w:tc>
          <w:tcPr>
            <w:tcW w:w="990" w:type="dxa"/>
          </w:tcPr>
          <w:p w14:paraId="5FA6C3C3" w14:textId="77777777" w:rsidR="002D58E4" w:rsidRDefault="00F721D4">
            <w:pPr>
              <w:rPr>
                <w:sz w:val="20"/>
                <w:szCs w:val="20"/>
              </w:rPr>
            </w:pPr>
            <w:r>
              <w:rPr>
                <w:sz w:val="20"/>
                <w:szCs w:val="20"/>
              </w:rPr>
              <w:t>A cluster-RCT of a targeted educational intervention among at-risk school children.</w:t>
            </w:r>
          </w:p>
        </w:tc>
        <w:tc>
          <w:tcPr>
            <w:tcW w:w="810" w:type="dxa"/>
          </w:tcPr>
          <w:p w14:paraId="1BB0FBD0" w14:textId="77777777" w:rsidR="002D58E4" w:rsidRDefault="00F721D4">
            <w:pPr>
              <w:jc w:val="center"/>
              <w:rPr>
                <w:sz w:val="20"/>
                <w:szCs w:val="20"/>
              </w:rPr>
            </w:pPr>
            <w:r>
              <w:rPr>
                <w:sz w:val="20"/>
                <w:szCs w:val="20"/>
              </w:rPr>
              <w:t>High risk of bias</w:t>
            </w:r>
          </w:p>
        </w:tc>
        <w:tc>
          <w:tcPr>
            <w:tcW w:w="3060" w:type="dxa"/>
          </w:tcPr>
          <w:p w14:paraId="6FB92A95" w14:textId="77777777" w:rsidR="002D58E4" w:rsidRDefault="00F721D4">
            <w:pPr>
              <w:rPr>
                <w:sz w:val="20"/>
                <w:szCs w:val="20"/>
              </w:rPr>
            </w:pPr>
            <w:r>
              <w:rPr>
                <w:sz w:val="20"/>
                <w:szCs w:val="20"/>
              </w:rPr>
              <w:t>3570 students grade 2-5 from 19 school districts. Districts were randomized to intervention (1562 students) or control (2008 students).</w:t>
            </w:r>
          </w:p>
        </w:tc>
        <w:tc>
          <w:tcPr>
            <w:tcW w:w="2970" w:type="dxa"/>
          </w:tcPr>
          <w:p w14:paraId="2DA39608" w14:textId="77777777" w:rsidR="002D58E4" w:rsidRDefault="00F721D4">
            <w:pPr>
              <w:rPr>
                <w:sz w:val="20"/>
                <w:szCs w:val="20"/>
              </w:rPr>
            </w:pPr>
            <w:r>
              <w:rPr>
                <w:b/>
                <w:sz w:val="20"/>
                <w:szCs w:val="20"/>
              </w:rPr>
              <w:t>1. Experimental educational intervention</w:t>
            </w:r>
            <w:r>
              <w:rPr>
                <w:sz w:val="20"/>
                <w:szCs w:val="20"/>
              </w:rPr>
              <w:t xml:space="preserve">: short in-class program (Health Belief Model) that covered: (1) awareness and knowledge about LD, (2) benefits of preventive behavior, and (3) confidence in ability to perform preventive behaviors. The program included presentations, videos, games, and tick-and LD-related educational materials. </w:t>
            </w:r>
          </w:p>
          <w:p w14:paraId="77BF8D24" w14:textId="77777777" w:rsidR="002D58E4" w:rsidRDefault="002D58E4">
            <w:pPr>
              <w:rPr>
                <w:sz w:val="20"/>
                <w:szCs w:val="20"/>
              </w:rPr>
            </w:pPr>
          </w:p>
          <w:p w14:paraId="0A968EEC" w14:textId="77777777" w:rsidR="002D58E4" w:rsidRDefault="00F721D4">
            <w:pPr>
              <w:rPr>
                <w:sz w:val="20"/>
                <w:szCs w:val="20"/>
              </w:rPr>
            </w:pPr>
            <w:r>
              <w:rPr>
                <w:b/>
                <w:sz w:val="20"/>
                <w:szCs w:val="20"/>
              </w:rPr>
              <w:t>2. Control: no intervention</w:t>
            </w:r>
            <w:r>
              <w:rPr>
                <w:sz w:val="20"/>
                <w:szCs w:val="20"/>
              </w:rPr>
              <w:t xml:space="preserve"> (the control students received the </w:t>
            </w:r>
            <w:r>
              <w:rPr>
                <w:sz w:val="20"/>
                <w:szCs w:val="20"/>
              </w:rPr>
              <w:lastRenderedPageBreak/>
              <w:t>educational presentation after the follow-up survey was completed)</w:t>
            </w:r>
          </w:p>
        </w:tc>
        <w:tc>
          <w:tcPr>
            <w:tcW w:w="1710" w:type="dxa"/>
          </w:tcPr>
          <w:p w14:paraId="4CF5BC7D" w14:textId="77777777" w:rsidR="002D58E4" w:rsidRDefault="00F721D4">
            <w:pPr>
              <w:rPr>
                <w:sz w:val="20"/>
                <w:szCs w:val="20"/>
              </w:rPr>
            </w:pPr>
            <w:r>
              <w:rPr>
                <w:sz w:val="20"/>
                <w:szCs w:val="20"/>
              </w:rPr>
              <w:lastRenderedPageBreak/>
              <w:t>Students’ knowledge, attitudes, and self-reported preventive behaviors were surveyed before implementing the program and 1 year later.</w:t>
            </w:r>
          </w:p>
          <w:p w14:paraId="0A4CEF90" w14:textId="77777777" w:rsidR="002D58E4" w:rsidRDefault="002D58E4">
            <w:pPr>
              <w:rPr>
                <w:sz w:val="20"/>
                <w:szCs w:val="20"/>
              </w:rPr>
            </w:pPr>
          </w:p>
          <w:p w14:paraId="448F2D38" w14:textId="77777777" w:rsidR="002D58E4" w:rsidRDefault="00F721D4">
            <w:pPr>
              <w:rPr>
                <w:b/>
                <w:sz w:val="20"/>
                <w:szCs w:val="20"/>
              </w:rPr>
            </w:pPr>
            <w:r>
              <w:rPr>
                <w:sz w:val="20"/>
                <w:szCs w:val="20"/>
              </w:rPr>
              <w:t xml:space="preserve">Follow-up surveys asked whether students had had </w:t>
            </w:r>
            <w:r>
              <w:rPr>
                <w:b/>
                <w:sz w:val="20"/>
                <w:szCs w:val="20"/>
              </w:rPr>
              <w:t>LD in the year since their 1</w:t>
            </w:r>
            <w:r>
              <w:rPr>
                <w:b/>
                <w:sz w:val="20"/>
                <w:szCs w:val="20"/>
                <w:vertAlign w:val="superscript"/>
              </w:rPr>
              <w:t>st</w:t>
            </w:r>
            <w:r>
              <w:rPr>
                <w:b/>
                <w:sz w:val="20"/>
                <w:szCs w:val="20"/>
              </w:rPr>
              <w:t xml:space="preserve"> </w:t>
            </w:r>
            <w:r>
              <w:rPr>
                <w:b/>
                <w:sz w:val="20"/>
                <w:szCs w:val="20"/>
              </w:rPr>
              <w:lastRenderedPageBreak/>
              <w:t>questionnaire</w:t>
            </w:r>
            <w:r>
              <w:rPr>
                <w:sz w:val="20"/>
                <w:szCs w:val="20"/>
              </w:rPr>
              <w:t>, and the cases were confirmed via medical records.</w:t>
            </w:r>
          </w:p>
        </w:tc>
        <w:tc>
          <w:tcPr>
            <w:tcW w:w="4050" w:type="dxa"/>
          </w:tcPr>
          <w:p w14:paraId="43C6A93E" w14:textId="77777777" w:rsidR="002D58E4" w:rsidRDefault="00F721D4">
            <w:pPr>
              <w:rPr>
                <w:sz w:val="20"/>
                <w:szCs w:val="20"/>
              </w:rPr>
            </w:pPr>
            <w:r>
              <w:rPr>
                <w:sz w:val="20"/>
                <w:szCs w:val="20"/>
              </w:rPr>
              <w:lastRenderedPageBreak/>
              <w:t>The children in the intervention group increased their overall knowledge of LD more than those in the control group (</w:t>
            </w:r>
            <w:r>
              <w:rPr>
                <w:b/>
                <w:sz w:val="20"/>
                <w:szCs w:val="20"/>
              </w:rPr>
              <w:t>overall knowledge score</w:t>
            </w:r>
            <w:r>
              <w:rPr>
                <w:sz w:val="20"/>
                <w:szCs w:val="20"/>
              </w:rPr>
              <w:t xml:space="preserve"> improvement, mean difference 1.38 vs. 0.36; p &lt; 0.0001).</w:t>
            </w:r>
          </w:p>
          <w:p w14:paraId="37577894" w14:textId="77777777" w:rsidR="002D58E4" w:rsidRDefault="00F721D4">
            <w:pPr>
              <w:rPr>
                <w:sz w:val="20"/>
                <w:szCs w:val="20"/>
              </w:rPr>
            </w:pPr>
            <w:r>
              <w:rPr>
                <w:sz w:val="20"/>
                <w:szCs w:val="20"/>
              </w:rPr>
              <w:t xml:space="preserve">All children in classes receiving the intervention reported an increase in precautionary behavior, positive attitude toward taking precautions, and self-efficacy compared with the wait list controls. </w:t>
            </w:r>
          </w:p>
          <w:p w14:paraId="31B9A36D" w14:textId="77777777" w:rsidR="002D58E4" w:rsidRDefault="002D58E4">
            <w:pPr>
              <w:rPr>
                <w:sz w:val="20"/>
                <w:szCs w:val="20"/>
              </w:rPr>
            </w:pPr>
          </w:p>
          <w:p w14:paraId="39BF6863" w14:textId="77777777" w:rsidR="002D58E4" w:rsidRDefault="00F721D4">
            <w:pPr>
              <w:rPr>
                <w:sz w:val="20"/>
                <w:szCs w:val="20"/>
              </w:rPr>
            </w:pPr>
            <w:r>
              <w:rPr>
                <w:sz w:val="20"/>
                <w:szCs w:val="20"/>
              </w:rPr>
              <w:t xml:space="preserve">38 (intervention) vs. 34 (control) children reported a new case of LD at follow-up (2%). Only two </w:t>
            </w:r>
            <w:r>
              <w:rPr>
                <w:b/>
                <w:sz w:val="20"/>
                <w:szCs w:val="20"/>
              </w:rPr>
              <w:t>LD cases</w:t>
            </w:r>
            <w:r>
              <w:rPr>
                <w:sz w:val="20"/>
                <w:szCs w:val="20"/>
              </w:rPr>
              <w:t xml:space="preserve"> were confirmed by pediatrician’s record, </w:t>
            </w:r>
            <w:r>
              <w:rPr>
                <w:b/>
                <w:sz w:val="20"/>
                <w:szCs w:val="20"/>
              </w:rPr>
              <w:t>one in the intervention group and one in the controls</w:t>
            </w:r>
            <w:r>
              <w:rPr>
                <w:sz w:val="20"/>
                <w:szCs w:val="20"/>
              </w:rPr>
              <w:t>.</w:t>
            </w:r>
          </w:p>
        </w:tc>
      </w:tr>
    </w:tbl>
    <w:p w14:paraId="4C736BF8" w14:textId="77777777" w:rsidR="002D58E4" w:rsidRDefault="00F721D4">
      <w:pPr>
        <w:spacing w:after="0"/>
      </w:pPr>
      <w:r>
        <w:rPr>
          <w:b/>
          <w:sz w:val="20"/>
          <w:szCs w:val="20"/>
        </w:rPr>
        <w:t>*</w:t>
      </w:r>
      <w:r>
        <w:rPr>
          <w:sz w:val="20"/>
          <w:szCs w:val="20"/>
        </w:rPr>
        <w:t xml:space="preserve"> Risk of Bias of Randomized Controlled Trial Data was assessed using the Cochrane Risk of Bias Tool and assigned an overall rating of “High risk” “Unclear Risk” or “Low Risk”.</w:t>
      </w:r>
    </w:p>
    <w:p w14:paraId="0301E123" w14:textId="77777777" w:rsidR="002D58E4" w:rsidRDefault="002D58E4">
      <w:pPr>
        <w:spacing w:after="0"/>
        <w:rPr>
          <w:b/>
          <w:sz w:val="32"/>
          <w:szCs w:val="32"/>
        </w:rPr>
      </w:pPr>
    </w:p>
    <w:p w14:paraId="7A26BF99" w14:textId="77777777" w:rsidR="002D58E4" w:rsidRDefault="00F721D4">
      <w:pPr>
        <w:rPr>
          <w:b/>
          <w:sz w:val="32"/>
          <w:szCs w:val="32"/>
        </w:rPr>
      </w:pPr>
      <w:r>
        <w:br w:type="page"/>
      </w:r>
    </w:p>
    <w:p w14:paraId="3B914027" w14:textId="77777777" w:rsidR="002D58E4" w:rsidRDefault="00F721D4">
      <w:pPr>
        <w:spacing w:after="0"/>
        <w:rPr>
          <w:b/>
          <w:sz w:val="32"/>
          <w:szCs w:val="32"/>
        </w:rPr>
      </w:pPr>
      <w:r>
        <w:rPr>
          <w:b/>
          <w:sz w:val="32"/>
          <w:szCs w:val="32"/>
        </w:rPr>
        <w:lastRenderedPageBreak/>
        <w:t>II.</w:t>
      </w:r>
      <w:r>
        <w:rPr>
          <w:sz w:val="32"/>
          <w:szCs w:val="32"/>
        </w:rPr>
        <w:t xml:space="preserve"> </w:t>
      </w:r>
      <w:r>
        <w:rPr>
          <w:b/>
          <w:sz w:val="32"/>
          <w:szCs w:val="32"/>
        </w:rPr>
        <w:t>Which diagnostic tests should be used following a tick bite?</w:t>
      </w:r>
    </w:p>
    <w:p w14:paraId="4E56F467" w14:textId="77777777" w:rsidR="002D58E4" w:rsidRDefault="002D58E4">
      <w:pPr>
        <w:spacing w:after="0"/>
        <w:rPr>
          <w:b/>
          <w:sz w:val="32"/>
          <w:szCs w:val="32"/>
        </w:rPr>
      </w:pPr>
    </w:p>
    <w:p w14:paraId="78EB0442" w14:textId="77777777" w:rsidR="002D58E4" w:rsidRDefault="00F721D4">
      <w:pPr>
        <w:spacing w:after="0"/>
        <w:rPr>
          <w:b/>
          <w:sz w:val="28"/>
          <w:szCs w:val="28"/>
        </w:rPr>
      </w:pPr>
      <w:r>
        <w:rPr>
          <w:b/>
          <w:sz w:val="28"/>
          <w:szCs w:val="28"/>
        </w:rPr>
        <w:t>Diagnostic tick testing and Diagnostic testing of asymptomatic patients</w:t>
      </w:r>
    </w:p>
    <w:tbl>
      <w:tblPr>
        <w:tblStyle w:val="a4"/>
        <w:tblW w:w="14610" w:type="dxa"/>
        <w:tblInd w:w="8" w:type="dxa"/>
        <w:tblLayout w:type="fixed"/>
        <w:tblLook w:val="0600" w:firstRow="0" w:lastRow="0" w:firstColumn="0" w:lastColumn="0" w:noHBand="1" w:noVBand="1"/>
      </w:tblPr>
      <w:tblGrid>
        <w:gridCol w:w="1110"/>
        <w:gridCol w:w="1350"/>
        <w:gridCol w:w="720"/>
        <w:gridCol w:w="1080"/>
        <w:gridCol w:w="2610"/>
        <w:gridCol w:w="2430"/>
        <w:gridCol w:w="2340"/>
        <w:gridCol w:w="2970"/>
      </w:tblGrid>
      <w:tr w:rsidR="002D58E4" w:rsidRPr="00154D17" w14:paraId="560C7C15" w14:textId="77777777">
        <w:trPr>
          <w:trHeight w:val="680"/>
        </w:trPr>
        <w:tc>
          <w:tcPr>
            <w:tcW w:w="14610" w:type="dxa"/>
            <w:gridSpan w:val="8"/>
            <w:tcBorders>
              <w:bottom w:val="single" w:sz="6" w:space="0" w:color="AEAEAE"/>
            </w:tcBorders>
            <w:shd w:val="clear" w:color="auto" w:fill="auto"/>
            <w:tcMar>
              <w:top w:w="15" w:type="dxa"/>
              <w:left w:w="30" w:type="dxa"/>
              <w:bottom w:w="0" w:type="dxa"/>
              <w:right w:w="30" w:type="dxa"/>
            </w:tcMar>
            <w:vAlign w:val="center"/>
          </w:tcPr>
          <w:p w14:paraId="6B0F46F1" w14:textId="77777777" w:rsidR="002D58E4" w:rsidRDefault="002D58E4">
            <w:pPr>
              <w:rPr>
                <w:b/>
                <w:color w:val="000000"/>
                <w:sz w:val="20"/>
                <w:szCs w:val="20"/>
              </w:rPr>
            </w:pPr>
          </w:p>
          <w:p w14:paraId="44218C34" w14:textId="77777777" w:rsidR="002D58E4" w:rsidRPr="00C10663" w:rsidRDefault="00F721D4">
            <w:pPr>
              <w:spacing w:after="200" w:line="276" w:lineRule="auto"/>
              <w:rPr>
                <w:b/>
                <w:sz w:val="32"/>
                <w:szCs w:val="32"/>
                <w:lang w:val="fr-CA"/>
              </w:rPr>
            </w:pPr>
            <w:r w:rsidRPr="00C10663">
              <w:rPr>
                <w:b/>
                <w:color w:val="000000"/>
                <w:sz w:val="20"/>
                <w:szCs w:val="20"/>
              </w:rPr>
              <w:t xml:space="preserve">Bibliography: </w:t>
            </w:r>
            <w:r w:rsidRPr="00C10663">
              <w:rPr>
                <w:color w:val="000000"/>
                <w:sz w:val="18"/>
                <w:szCs w:val="18"/>
              </w:rPr>
              <w:t xml:space="preserve">1. Korenberg, et al. Infection.1996 Mar-Apr;24(2):187-9; 2. </w:t>
            </w:r>
            <w:r>
              <w:rPr>
                <w:color w:val="000000"/>
                <w:sz w:val="18"/>
                <w:szCs w:val="18"/>
              </w:rPr>
              <w:t xml:space="preserve">Costello, et.al. J Infect Dis. 1989 Jan;159(1):136-9; 3. Shapiro, et al. N Engl J Med. 1992 Dec 17;327(25):1769-73; 4. </w:t>
            </w:r>
            <w:r w:rsidRPr="00F721D4">
              <w:rPr>
                <w:color w:val="000000"/>
                <w:sz w:val="18"/>
                <w:szCs w:val="18"/>
                <w:lang w:val="fr-CA"/>
              </w:rPr>
              <w:t xml:space="preserve">Maiwald, et al. Epidemiol Infect. 1998 Aug;121(1):103-8; 5. Fryland, et al. </w:t>
            </w:r>
            <w:r w:rsidRPr="00C10663">
              <w:rPr>
                <w:color w:val="000000"/>
                <w:sz w:val="18"/>
                <w:szCs w:val="18"/>
                <w:lang w:val="fr-CA"/>
              </w:rPr>
              <w:t xml:space="preserve">Int J Infect Dis. 2011 Mar;15(3):e174-81; 6. </w:t>
            </w:r>
            <w:r>
              <w:rPr>
                <w:color w:val="000000"/>
                <w:sz w:val="18"/>
                <w:szCs w:val="18"/>
              </w:rPr>
              <w:t xml:space="preserve">Huegli, et al. Ticks Tick Borne Dis. 2011 Sep;2(3):129-36; 7. Wilhelmsson, et al. Ticks Tick Borne Dis. 2016 Feb;7(1):71-9; 8. Paul, et al. Zentralbl Bakteriol Mikrobiol Hyg A. 1987 Feb;263(3):473-6; 9. Sood, et al. </w:t>
            </w:r>
            <w:r w:rsidRPr="00F721D4">
              <w:rPr>
                <w:color w:val="000000"/>
                <w:sz w:val="18"/>
                <w:szCs w:val="18"/>
                <w:lang w:val="fr-CA"/>
              </w:rPr>
              <w:t>J Infect Dis. 1997 Apr;175(4):996-9; 10. Briciu, et al. Infectious Diseases, 49(4), pp.277-285 11. Tijsse-Klasen, et al., Parasit Vectors. 2011 Feb 10;4:17; 12. Hofhuis, et al. PLoS One. 2013 May 16;8(5):e64361; 13. Hofhuis, et al.</w:t>
            </w:r>
            <w:r w:rsidRPr="00F721D4">
              <w:rPr>
                <w:lang w:val="fr-CA"/>
              </w:rPr>
              <w:t xml:space="preserve"> </w:t>
            </w:r>
            <w:r w:rsidRPr="00F721D4">
              <w:rPr>
                <w:color w:val="000000"/>
                <w:sz w:val="18"/>
                <w:szCs w:val="18"/>
                <w:lang w:val="fr-CA"/>
              </w:rPr>
              <w:t xml:space="preserve">PLoS One. 2017 Jul 24;12(7):e0181807; 14. </w:t>
            </w:r>
            <w:r w:rsidRPr="00C10663">
              <w:rPr>
                <w:color w:val="000000"/>
                <w:sz w:val="18"/>
                <w:szCs w:val="18"/>
                <w:lang w:val="fr-CA"/>
              </w:rPr>
              <w:t>Steere, et al. Clin Infect Dis. 2003 Aug 15;37(4):528-32.</w:t>
            </w:r>
          </w:p>
        </w:tc>
      </w:tr>
      <w:tr w:rsidR="002D58E4" w14:paraId="6659DCF1" w14:textId="77777777">
        <w:trPr>
          <w:trHeight w:val="940"/>
        </w:trPr>
        <w:tc>
          <w:tcPr>
            <w:tcW w:w="111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8011FA0" w14:textId="77777777" w:rsidR="002D58E4" w:rsidRDefault="00F721D4">
            <w:pPr>
              <w:jc w:val="center"/>
              <w:rPr>
                <w:b/>
                <w:color w:val="000000"/>
                <w:sz w:val="20"/>
                <w:szCs w:val="20"/>
              </w:rPr>
            </w:pPr>
            <w:r>
              <w:rPr>
                <w:b/>
                <w:color w:val="000000"/>
                <w:sz w:val="20"/>
                <w:szCs w:val="20"/>
              </w:rPr>
              <w:t>Study;</w:t>
            </w:r>
          </w:p>
          <w:p w14:paraId="1E27097B" w14:textId="77777777" w:rsidR="002D58E4" w:rsidRDefault="00F721D4">
            <w:pPr>
              <w:jc w:val="center"/>
              <w:rPr>
                <w:b/>
                <w:color w:val="000000"/>
                <w:sz w:val="20"/>
                <w:szCs w:val="20"/>
              </w:rPr>
            </w:pPr>
            <w:r>
              <w:rPr>
                <w:b/>
                <w:color w:val="000000"/>
                <w:sz w:val="20"/>
                <w:szCs w:val="20"/>
              </w:rPr>
              <w:t>Location</w:t>
            </w:r>
          </w:p>
          <w:p w14:paraId="5AA36AAE" w14:textId="77777777" w:rsidR="002D58E4" w:rsidRDefault="002D58E4">
            <w:pPr>
              <w:jc w:val="center"/>
              <w:rPr>
                <w:b/>
                <w:color w:val="000000"/>
                <w:sz w:val="20"/>
                <w:szCs w:val="20"/>
              </w:rPr>
            </w:pPr>
          </w:p>
          <w:p w14:paraId="4A407B7D" w14:textId="77777777" w:rsidR="002D58E4" w:rsidRDefault="002D58E4">
            <w:pPr>
              <w:jc w:val="center"/>
              <w:rPr>
                <w:sz w:val="20"/>
                <w:szCs w:val="20"/>
              </w:rPr>
            </w:pPr>
          </w:p>
        </w:tc>
        <w:tc>
          <w:tcPr>
            <w:tcW w:w="1350" w:type="dxa"/>
            <w:tcBorders>
              <w:top w:val="single" w:sz="6" w:space="0" w:color="AEAEAE"/>
              <w:left w:val="single" w:sz="6" w:space="0" w:color="AEAEAE"/>
              <w:bottom w:val="single" w:sz="6" w:space="0" w:color="AEAEAE"/>
              <w:right w:val="single" w:sz="6" w:space="0" w:color="AEAEAE"/>
            </w:tcBorders>
            <w:shd w:val="clear" w:color="auto" w:fill="D9D9D9"/>
          </w:tcPr>
          <w:p w14:paraId="26CE41EE" w14:textId="77777777" w:rsidR="002D58E4" w:rsidRDefault="00F721D4">
            <w:pPr>
              <w:jc w:val="center"/>
              <w:rPr>
                <w:b/>
                <w:color w:val="000000"/>
                <w:sz w:val="20"/>
                <w:szCs w:val="20"/>
              </w:rPr>
            </w:pPr>
            <w:r>
              <w:rPr>
                <w:b/>
                <w:color w:val="000000"/>
                <w:sz w:val="20"/>
                <w:szCs w:val="20"/>
              </w:rPr>
              <w:t>Study Design</w:t>
            </w:r>
          </w:p>
        </w:tc>
        <w:tc>
          <w:tcPr>
            <w:tcW w:w="720" w:type="dxa"/>
            <w:tcBorders>
              <w:top w:val="single" w:sz="6" w:space="0" w:color="AEAEAE"/>
              <w:left w:val="single" w:sz="6" w:space="0" w:color="AEAEAE"/>
              <w:bottom w:val="single" w:sz="6" w:space="0" w:color="AEAEAE"/>
              <w:right w:val="single" w:sz="6" w:space="0" w:color="AEAEAE"/>
            </w:tcBorders>
            <w:shd w:val="clear" w:color="auto" w:fill="D9D9D9"/>
          </w:tcPr>
          <w:p w14:paraId="51C400EE" w14:textId="77777777" w:rsidR="002D58E4" w:rsidRDefault="00F721D4">
            <w:pPr>
              <w:jc w:val="center"/>
              <w:rPr>
                <w:b/>
                <w:color w:val="000000"/>
                <w:sz w:val="20"/>
                <w:szCs w:val="20"/>
              </w:rPr>
            </w:pPr>
            <w:r>
              <w:rPr>
                <w:b/>
                <w:color w:val="000000"/>
                <w:sz w:val="20"/>
                <w:szCs w:val="20"/>
              </w:rPr>
              <w:t>Risk of bias *</w:t>
            </w:r>
          </w:p>
        </w:tc>
        <w:tc>
          <w:tcPr>
            <w:tcW w:w="1080" w:type="dxa"/>
            <w:tcBorders>
              <w:top w:val="single" w:sz="6" w:space="0" w:color="AEAEAE"/>
              <w:left w:val="single" w:sz="6" w:space="0" w:color="AEAEAE"/>
              <w:bottom w:val="single" w:sz="6" w:space="0" w:color="AEAEAE"/>
              <w:right w:val="single" w:sz="6" w:space="0" w:color="AEAEAE"/>
            </w:tcBorders>
            <w:shd w:val="clear" w:color="auto" w:fill="D9D9D9"/>
          </w:tcPr>
          <w:p w14:paraId="67649083" w14:textId="77777777" w:rsidR="002D58E4" w:rsidRDefault="00F721D4">
            <w:pPr>
              <w:jc w:val="center"/>
              <w:rPr>
                <w:b/>
                <w:color w:val="000000"/>
                <w:sz w:val="20"/>
                <w:szCs w:val="20"/>
              </w:rPr>
            </w:pPr>
            <w:r>
              <w:rPr>
                <w:b/>
                <w:color w:val="000000"/>
                <w:sz w:val="20"/>
                <w:szCs w:val="20"/>
              </w:rPr>
              <w:t>Tick type</w:t>
            </w:r>
          </w:p>
        </w:tc>
        <w:tc>
          <w:tcPr>
            <w:tcW w:w="2610" w:type="dxa"/>
            <w:tcBorders>
              <w:top w:val="single" w:sz="6" w:space="0" w:color="AEAEAE"/>
              <w:left w:val="single" w:sz="6" w:space="0" w:color="AEAEAE"/>
              <w:bottom w:val="single" w:sz="6" w:space="0" w:color="AEAEAE"/>
              <w:right w:val="single" w:sz="6" w:space="0" w:color="AEAEAE"/>
            </w:tcBorders>
            <w:shd w:val="clear" w:color="auto" w:fill="D9D9D9"/>
          </w:tcPr>
          <w:p w14:paraId="1808DA91" w14:textId="77777777" w:rsidR="002D58E4" w:rsidRDefault="00F721D4">
            <w:pPr>
              <w:jc w:val="center"/>
              <w:rPr>
                <w:b/>
                <w:color w:val="000000"/>
                <w:sz w:val="20"/>
                <w:szCs w:val="20"/>
              </w:rPr>
            </w:pPr>
            <w:r>
              <w:rPr>
                <w:b/>
                <w:color w:val="000000"/>
                <w:sz w:val="20"/>
                <w:szCs w:val="20"/>
              </w:rPr>
              <w:t>Population characteristics and Diagnostic method</w:t>
            </w:r>
          </w:p>
        </w:tc>
        <w:tc>
          <w:tcPr>
            <w:tcW w:w="243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6B5B283" w14:textId="77777777" w:rsidR="002D58E4" w:rsidRDefault="00F721D4">
            <w:pPr>
              <w:jc w:val="center"/>
              <w:rPr>
                <w:sz w:val="20"/>
                <w:szCs w:val="20"/>
              </w:rPr>
            </w:pPr>
            <w:r>
              <w:rPr>
                <w:b/>
                <w:color w:val="000000"/>
                <w:sz w:val="20"/>
                <w:szCs w:val="20"/>
              </w:rPr>
              <w:t>Treatment(s) administered</w:t>
            </w:r>
          </w:p>
        </w:tc>
        <w:tc>
          <w:tcPr>
            <w:tcW w:w="234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38E0A28" w14:textId="77777777" w:rsidR="002D58E4" w:rsidRDefault="00F721D4">
            <w:pPr>
              <w:jc w:val="center"/>
              <w:rPr>
                <w:sz w:val="20"/>
                <w:szCs w:val="20"/>
              </w:rPr>
            </w:pPr>
            <w:r>
              <w:rPr>
                <w:b/>
                <w:color w:val="000000"/>
                <w:sz w:val="20"/>
                <w:szCs w:val="20"/>
              </w:rPr>
              <w:t>Lyme disease DS definition</w:t>
            </w:r>
          </w:p>
        </w:tc>
        <w:tc>
          <w:tcPr>
            <w:tcW w:w="297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1B286DB6" w14:textId="77777777" w:rsidR="002D58E4" w:rsidRDefault="00F721D4">
            <w:pPr>
              <w:jc w:val="center"/>
              <w:rPr>
                <w:b/>
                <w:color w:val="000000"/>
                <w:sz w:val="20"/>
                <w:szCs w:val="20"/>
              </w:rPr>
            </w:pPr>
            <w:r>
              <w:rPr>
                <w:b/>
                <w:color w:val="000000"/>
                <w:sz w:val="20"/>
                <w:szCs w:val="20"/>
              </w:rPr>
              <w:t>Outcome: The incidence of Lyme disease after the tick bite,</w:t>
            </w:r>
          </w:p>
          <w:p w14:paraId="79059609" w14:textId="77777777" w:rsidR="002D58E4" w:rsidRDefault="00F721D4">
            <w:pPr>
              <w:jc w:val="center"/>
              <w:rPr>
                <w:sz w:val="20"/>
                <w:szCs w:val="20"/>
              </w:rPr>
            </w:pPr>
            <w:r>
              <w:rPr>
                <w:b/>
                <w:color w:val="000000"/>
                <w:sz w:val="20"/>
                <w:szCs w:val="20"/>
              </w:rPr>
              <w:t>% (N of cases per N of patients)</w:t>
            </w:r>
          </w:p>
        </w:tc>
      </w:tr>
      <w:tr w:rsidR="002D58E4" w14:paraId="337C7ED3" w14:textId="77777777">
        <w:trPr>
          <w:trHeight w:val="324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07DE531" w14:textId="77777777" w:rsidR="002D58E4" w:rsidRDefault="00F721D4">
            <w:pPr>
              <w:rPr>
                <w:sz w:val="20"/>
                <w:szCs w:val="20"/>
              </w:rPr>
            </w:pPr>
            <w:r>
              <w:rPr>
                <w:sz w:val="20"/>
                <w:szCs w:val="20"/>
              </w:rPr>
              <w:t>Korenberg, 1996</w:t>
            </w:r>
          </w:p>
          <w:p w14:paraId="18CE41E6" w14:textId="77777777" w:rsidR="002D58E4" w:rsidRDefault="002D58E4">
            <w:pPr>
              <w:rPr>
                <w:sz w:val="20"/>
                <w:szCs w:val="20"/>
              </w:rPr>
            </w:pPr>
          </w:p>
          <w:p w14:paraId="3BC2D7C4" w14:textId="77777777" w:rsidR="002D58E4" w:rsidRDefault="00F721D4">
            <w:pPr>
              <w:rPr>
                <w:sz w:val="20"/>
                <w:szCs w:val="20"/>
              </w:rPr>
            </w:pPr>
            <w:r>
              <w:rPr>
                <w:sz w:val="20"/>
                <w:szCs w:val="20"/>
              </w:rPr>
              <w:t>Russia</w:t>
            </w:r>
          </w:p>
          <w:p w14:paraId="3CDC516C" w14:textId="77777777" w:rsidR="002D58E4" w:rsidRDefault="002D58E4">
            <w:pPr>
              <w:rPr>
                <w:sz w:val="20"/>
                <w:szCs w:val="20"/>
              </w:rPr>
            </w:pPr>
          </w:p>
        </w:tc>
        <w:tc>
          <w:tcPr>
            <w:tcW w:w="1350" w:type="dxa"/>
            <w:tcBorders>
              <w:top w:val="single" w:sz="6" w:space="0" w:color="AEAEAE"/>
              <w:left w:val="single" w:sz="6" w:space="0" w:color="AEAEAE"/>
              <w:bottom w:val="single" w:sz="6" w:space="0" w:color="AEAEAE"/>
              <w:right w:val="single" w:sz="6" w:space="0" w:color="AEAEAE"/>
            </w:tcBorders>
            <w:vAlign w:val="center"/>
          </w:tcPr>
          <w:p w14:paraId="6B2C6031" w14:textId="77777777" w:rsidR="002D58E4" w:rsidRDefault="00F721D4">
            <w:pPr>
              <w:rPr>
                <w:sz w:val="20"/>
                <w:szCs w:val="20"/>
              </w:rPr>
            </w:pPr>
            <w:r>
              <w:rPr>
                <w:sz w:val="20"/>
                <w:szCs w:val="20"/>
              </w:rPr>
              <w:t xml:space="preserve">Controlled clinical trial and </w:t>
            </w:r>
          </w:p>
          <w:p w14:paraId="20732E57" w14:textId="77777777" w:rsidR="002D58E4" w:rsidRDefault="00F721D4">
            <w:pPr>
              <w:rPr>
                <w:sz w:val="20"/>
                <w:szCs w:val="20"/>
              </w:rPr>
            </w:pPr>
            <w:r>
              <w:rPr>
                <w:sz w:val="20"/>
                <w:szCs w:val="20"/>
              </w:rPr>
              <w:t>a prospective cohort serving as an epidemiological control</w:t>
            </w:r>
          </w:p>
        </w:tc>
        <w:tc>
          <w:tcPr>
            <w:tcW w:w="720" w:type="dxa"/>
            <w:tcBorders>
              <w:top w:val="single" w:sz="6" w:space="0" w:color="AEAEAE"/>
              <w:left w:val="single" w:sz="6" w:space="0" w:color="AEAEAE"/>
              <w:bottom w:val="single" w:sz="6" w:space="0" w:color="AEAEAE"/>
              <w:right w:val="single" w:sz="6" w:space="0" w:color="AEAEAE"/>
            </w:tcBorders>
            <w:vAlign w:val="center"/>
          </w:tcPr>
          <w:p w14:paraId="7DC580DD" w14:textId="0F2B126C" w:rsidR="002D58E4" w:rsidRDefault="00F721D4">
            <w:pPr>
              <w:jc w:val="center"/>
              <w:rPr>
                <w:sz w:val="20"/>
                <w:szCs w:val="20"/>
              </w:rPr>
            </w:pPr>
            <w:r>
              <w:rPr>
                <w:sz w:val="20"/>
                <w:szCs w:val="20"/>
              </w:rPr>
              <w:t>High risk of bias</w:t>
            </w:r>
          </w:p>
        </w:tc>
        <w:tc>
          <w:tcPr>
            <w:tcW w:w="1080" w:type="dxa"/>
            <w:tcBorders>
              <w:top w:val="single" w:sz="6" w:space="0" w:color="AEAEAE"/>
              <w:left w:val="single" w:sz="6" w:space="0" w:color="AEAEAE"/>
              <w:bottom w:val="single" w:sz="6" w:space="0" w:color="AEAEAE"/>
              <w:right w:val="single" w:sz="6" w:space="0" w:color="AEAEAE"/>
            </w:tcBorders>
            <w:vAlign w:val="center"/>
          </w:tcPr>
          <w:p w14:paraId="1CEDA682" w14:textId="77777777" w:rsidR="002D58E4" w:rsidRDefault="00F721D4">
            <w:pPr>
              <w:rPr>
                <w:sz w:val="20"/>
                <w:szCs w:val="20"/>
              </w:rPr>
            </w:pPr>
            <w:r>
              <w:rPr>
                <w:i/>
                <w:sz w:val="20"/>
                <w:szCs w:val="20"/>
              </w:rPr>
              <w:t>I. persulcatus.</w:t>
            </w:r>
          </w:p>
        </w:tc>
        <w:tc>
          <w:tcPr>
            <w:tcW w:w="2610" w:type="dxa"/>
            <w:tcBorders>
              <w:top w:val="single" w:sz="6" w:space="0" w:color="AEAEAE"/>
              <w:left w:val="single" w:sz="6" w:space="0" w:color="AEAEAE"/>
              <w:bottom w:val="single" w:sz="6" w:space="0" w:color="AEAEAE"/>
              <w:right w:val="single" w:sz="6" w:space="0" w:color="AEAEAE"/>
            </w:tcBorders>
            <w:vAlign w:val="center"/>
          </w:tcPr>
          <w:p w14:paraId="64198564" w14:textId="77777777" w:rsidR="002D58E4" w:rsidRDefault="00F721D4">
            <w:pPr>
              <w:rPr>
                <w:sz w:val="20"/>
                <w:szCs w:val="20"/>
              </w:rPr>
            </w:pPr>
            <w:r>
              <w:rPr>
                <w:sz w:val="20"/>
                <w:szCs w:val="20"/>
              </w:rPr>
              <w:t xml:space="preserve">Patients bitten by ticks and referred for first aid. </w:t>
            </w:r>
          </w:p>
          <w:p w14:paraId="421F4810" w14:textId="77777777" w:rsidR="002D58E4" w:rsidRDefault="00F721D4">
            <w:pPr>
              <w:rPr>
                <w:sz w:val="20"/>
                <w:szCs w:val="20"/>
              </w:rPr>
            </w:pPr>
            <w:r>
              <w:rPr>
                <w:sz w:val="20"/>
                <w:szCs w:val="20"/>
              </w:rPr>
              <w:t xml:space="preserve">Ticks were tested for </w:t>
            </w:r>
            <w:r>
              <w:rPr>
                <w:i/>
                <w:sz w:val="20"/>
                <w:szCs w:val="20"/>
              </w:rPr>
              <w:t xml:space="preserve">Borrelia </w:t>
            </w:r>
            <w:r>
              <w:rPr>
                <w:sz w:val="20"/>
                <w:szCs w:val="20"/>
              </w:rPr>
              <w:t>infection (</w:t>
            </w:r>
            <w:r>
              <w:rPr>
                <w:b/>
                <w:sz w:val="20"/>
                <w:szCs w:val="20"/>
              </w:rPr>
              <w:t>microscopic examination of tick’s gut contents</w:t>
            </w:r>
            <w:r>
              <w:rPr>
                <w:sz w:val="20"/>
                <w:szCs w:val="20"/>
              </w:rPr>
              <w:t>).</w:t>
            </w:r>
          </w:p>
          <w:p w14:paraId="451C5585" w14:textId="77777777" w:rsidR="002D58E4" w:rsidRDefault="002D58E4">
            <w:pPr>
              <w:rPr>
                <w:sz w:val="20"/>
                <w:szCs w:val="20"/>
              </w:rPr>
            </w:pPr>
          </w:p>
          <w:p w14:paraId="6B09A2A2" w14:textId="77777777" w:rsidR="002D58E4" w:rsidRDefault="00F721D4">
            <w:pPr>
              <w:rPr>
                <w:sz w:val="20"/>
                <w:szCs w:val="20"/>
              </w:rPr>
            </w:pPr>
            <w:r>
              <w:rPr>
                <w:sz w:val="20"/>
                <w:szCs w:val="20"/>
              </w:rPr>
              <w:t xml:space="preserve">Those bitten by an infected tick (N=358) were divided into </w:t>
            </w:r>
          </w:p>
          <w:p w14:paraId="6BB12074" w14:textId="77777777" w:rsidR="002D58E4" w:rsidRDefault="00F721D4">
            <w:pPr>
              <w:rPr>
                <w:sz w:val="20"/>
                <w:szCs w:val="20"/>
              </w:rPr>
            </w:pPr>
            <w:r>
              <w:rPr>
                <w:sz w:val="20"/>
                <w:szCs w:val="20"/>
              </w:rPr>
              <w:t>experimental (N=261) and control (N=97) groups.</w:t>
            </w:r>
          </w:p>
          <w:p w14:paraId="0536E8DF" w14:textId="77777777" w:rsidR="002D58E4" w:rsidRDefault="002D58E4">
            <w:pPr>
              <w:rPr>
                <w:sz w:val="20"/>
                <w:szCs w:val="20"/>
              </w:rPr>
            </w:pPr>
          </w:p>
          <w:p w14:paraId="269067B0" w14:textId="77777777" w:rsidR="002D58E4" w:rsidRDefault="00F721D4">
            <w:pPr>
              <w:rPr>
                <w:sz w:val="20"/>
                <w:szCs w:val="20"/>
              </w:rPr>
            </w:pPr>
            <w:r>
              <w:rPr>
                <w:sz w:val="20"/>
                <w:szCs w:val="20"/>
              </w:rPr>
              <w:t xml:space="preserve">Those bitten by a tick tested negative for </w:t>
            </w:r>
            <w:r>
              <w:rPr>
                <w:i/>
                <w:sz w:val="20"/>
                <w:szCs w:val="20"/>
              </w:rPr>
              <w:t>Borrelia</w:t>
            </w:r>
            <w:r>
              <w:rPr>
                <w:sz w:val="20"/>
                <w:szCs w:val="20"/>
              </w:rPr>
              <w:t xml:space="preserve"> (N=823) served as an epidemiological control.</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CE69904" w14:textId="77777777" w:rsidR="002D58E4" w:rsidRDefault="00F721D4">
            <w:pPr>
              <w:rPr>
                <w:sz w:val="20"/>
                <w:szCs w:val="20"/>
              </w:rPr>
            </w:pPr>
            <w:r>
              <w:rPr>
                <w:sz w:val="20"/>
                <w:szCs w:val="20"/>
                <w:u w:val="single"/>
              </w:rPr>
              <w:t>Tick-test-positive experimental group</w:t>
            </w:r>
            <w:r>
              <w:rPr>
                <w:sz w:val="20"/>
                <w:szCs w:val="20"/>
              </w:rPr>
              <w:t xml:space="preserve"> received oral doxycycline 100 mg BID for 3 to 5 days.</w:t>
            </w:r>
          </w:p>
          <w:p w14:paraId="0588EC46" w14:textId="77777777" w:rsidR="002D58E4" w:rsidRDefault="002D58E4">
            <w:pPr>
              <w:rPr>
                <w:sz w:val="20"/>
                <w:szCs w:val="20"/>
              </w:rPr>
            </w:pPr>
          </w:p>
          <w:p w14:paraId="70DCE748" w14:textId="77777777" w:rsidR="002D58E4" w:rsidRDefault="00F721D4">
            <w:pPr>
              <w:rPr>
                <w:sz w:val="20"/>
                <w:szCs w:val="20"/>
              </w:rPr>
            </w:pPr>
            <w:r>
              <w:rPr>
                <w:sz w:val="20"/>
                <w:szCs w:val="20"/>
                <w:u w:val="single"/>
              </w:rPr>
              <w:t>Tick-test-positive control group</w:t>
            </w:r>
            <w:r>
              <w:rPr>
                <w:sz w:val="20"/>
                <w:szCs w:val="20"/>
              </w:rPr>
              <w:t xml:space="preserve"> received no antibiotics and was followed up.</w:t>
            </w:r>
          </w:p>
          <w:p w14:paraId="65A1BBA7" w14:textId="77777777" w:rsidR="002D58E4" w:rsidRDefault="002D58E4">
            <w:pPr>
              <w:rPr>
                <w:sz w:val="20"/>
                <w:szCs w:val="20"/>
              </w:rPr>
            </w:pPr>
          </w:p>
          <w:p w14:paraId="08A8D14F" w14:textId="77777777" w:rsidR="002D58E4" w:rsidRDefault="00F721D4">
            <w:pPr>
              <w:rPr>
                <w:sz w:val="20"/>
                <w:szCs w:val="20"/>
              </w:rPr>
            </w:pPr>
            <w:r>
              <w:rPr>
                <w:sz w:val="20"/>
                <w:szCs w:val="20"/>
                <w:u w:val="single"/>
              </w:rPr>
              <w:t>Tick-test-negative untreated group</w:t>
            </w:r>
            <w:r>
              <w:rPr>
                <w:sz w:val="20"/>
                <w:szCs w:val="20"/>
              </w:rPr>
              <w:t xml:space="preserve"> received no antibiotics and was followed up as well.</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F727CCB" w14:textId="77777777" w:rsidR="002D58E4" w:rsidRDefault="00F721D4">
            <w:pPr>
              <w:rPr>
                <w:sz w:val="20"/>
                <w:szCs w:val="20"/>
              </w:rPr>
            </w:pPr>
            <w:r>
              <w:rPr>
                <w:sz w:val="20"/>
                <w:szCs w:val="20"/>
              </w:rPr>
              <w:t xml:space="preserve">The development of typical erythema migrans or “other </w:t>
            </w:r>
            <w:r>
              <w:rPr>
                <w:b/>
                <w:sz w:val="20"/>
                <w:szCs w:val="20"/>
              </w:rPr>
              <w:t>clinical manifestations” in combination</w:t>
            </w:r>
            <w:r>
              <w:rPr>
                <w:sz w:val="20"/>
                <w:szCs w:val="20"/>
              </w:rPr>
              <w:t xml:space="preserve"> </w:t>
            </w:r>
            <w:r>
              <w:rPr>
                <w:b/>
                <w:sz w:val="20"/>
                <w:szCs w:val="20"/>
              </w:rPr>
              <w:t>with</w:t>
            </w:r>
            <w:r>
              <w:rPr>
                <w:sz w:val="20"/>
                <w:szCs w:val="20"/>
              </w:rPr>
              <w:t xml:space="preserve"> a fourfold </w:t>
            </w:r>
            <w:r>
              <w:rPr>
                <w:b/>
                <w:sz w:val="20"/>
                <w:szCs w:val="20"/>
              </w:rPr>
              <w:t>seroconversion</w:t>
            </w:r>
            <w:r>
              <w:rPr>
                <w:sz w:val="20"/>
                <w:szCs w:val="20"/>
              </w:rPr>
              <w:t xml:space="preserve"> at 5--6 weeks as compared</w:t>
            </w:r>
          </w:p>
          <w:p w14:paraId="762A6151" w14:textId="77777777" w:rsidR="002D58E4" w:rsidRDefault="00F721D4">
            <w:pPr>
              <w:rPr>
                <w:sz w:val="20"/>
                <w:szCs w:val="20"/>
              </w:rPr>
            </w:pPr>
            <w:r>
              <w:rPr>
                <w:sz w:val="20"/>
                <w:szCs w:val="20"/>
              </w:rPr>
              <w:t>with the serum sample analyzed the first week after the tick bite.</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2E45E01" w14:textId="77777777" w:rsidR="002D58E4" w:rsidRDefault="00F721D4">
            <w:pPr>
              <w:rPr>
                <w:sz w:val="20"/>
                <w:szCs w:val="20"/>
              </w:rPr>
            </w:pPr>
            <w:r>
              <w:rPr>
                <w:sz w:val="20"/>
                <w:szCs w:val="20"/>
              </w:rPr>
              <w:t xml:space="preserve">5-6 weeks after tick bite: </w:t>
            </w:r>
          </w:p>
          <w:p w14:paraId="1DF736B0" w14:textId="77777777" w:rsidR="002D58E4" w:rsidRDefault="002D58E4">
            <w:pPr>
              <w:rPr>
                <w:sz w:val="20"/>
                <w:szCs w:val="20"/>
                <w:u w:val="single"/>
              </w:rPr>
            </w:pPr>
          </w:p>
          <w:p w14:paraId="2FF9CE1D" w14:textId="77777777" w:rsidR="002D58E4" w:rsidRDefault="00F721D4">
            <w:pPr>
              <w:rPr>
                <w:sz w:val="20"/>
                <w:szCs w:val="20"/>
              </w:rPr>
            </w:pPr>
            <w:r>
              <w:rPr>
                <w:sz w:val="20"/>
                <w:szCs w:val="20"/>
                <w:u w:val="single"/>
              </w:rPr>
              <w:t>Tick-test-positive treated group</w:t>
            </w:r>
            <w:r>
              <w:rPr>
                <w:sz w:val="20"/>
                <w:szCs w:val="20"/>
              </w:rPr>
              <w:t xml:space="preserve">:  </w:t>
            </w:r>
          </w:p>
          <w:p w14:paraId="1D64EFA6" w14:textId="77777777" w:rsidR="002D58E4" w:rsidRDefault="00F721D4">
            <w:pPr>
              <w:rPr>
                <w:sz w:val="20"/>
                <w:szCs w:val="20"/>
              </w:rPr>
            </w:pPr>
            <w:r>
              <w:rPr>
                <w:b/>
                <w:sz w:val="20"/>
                <w:szCs w:val="20"/>
              </w:rPr>
              <w:t>1.2%</w:t>
            </w:r>
            <w:r>
              <w:rPr>
                <w:sz w:val="20"/>
                <w:szCs w:val="20"/>
              </w:rPr>
              <w:t xml:space="preserve"> (3 of out 261)</w:t>
            </w:r>
          </w:p>
          <w:p w14:paraId="444A8739" w14:textId="77777777" w:rsidR="002D58E4" w:rsidRDefault="002D58E4">
            <w:pPr>
              <w:rPr>
                <w:sz w:val="20"/>
                <w:szCs w:val="20"/>
              </w:rPr>
            </w:pPr>
          </w:p>
          <w:p w14:paraId="7A328054" w14:textId="77777777" w:rsidR="002D58E4" w:rsidRDefault="00F721D4">
            <w:pPr>
              <w:rPr>
                <w:sz w:val="20"/>
                <w:szCs w:val="20"/>
              </w:rPr>
            </w:pPr>
            <w:r>
              <w:rPr>
                <w:sz w:val="20"/>
                <w:szCs w:val="20"/>
                <w:u w:val="single"/>
              </w:rPr>
              <w:t>Tick-test-positive untreated group</w:t>
            </w:r>
            <w:r>
              <w:rPr>
                <w:sz w:val="20"/>
                <w:szCs w:val="20"/>
              </w:rPr>
              <w:t xml:space="preserve">: </w:t>
            </w:r>
          </w:p>
          <w:p w14:paraId="7E72028F" w14:textId="77777777" w:rsidR="002D58E4" w:rsidRDefault="00F721D4">
            <w:pPr>
              <w:rPr>
                <w:sz w:val="20"/>
                <w:szCs w:val="20"/>
              </w:rPr>
            </w:pPr>
            <w:r>
              <w:rPr>
                <w:b/>
                <w:sz w:val="20"/>
                <w:szCs w:val="20"/>
              </w:rPr>
              <w:t>12.4%</w:t>
            </w:r>
            <w:r>
              <w:rPr>
                <w:sz w:val="20"/>
                <w:szCs w:val="20"/>
              </w:rPr>
              <w:t xml:space="preserve"> (12 out of 97)</w:t>
            </w:r>
          </w:p>
          <w:p w14:paraId="76D92573" w14:textId="77777777" w:rsidR="002D58E4" w:rsidRDefault="002D58E4">
            <w:pPr>
              <w:rPr>
                <w:sz w:val="20"/>
                <w:szCs w:val="20"/>
                <w:u w:val="single"/>
              </w:rPr>
            </w:pPr>
          </w:p>
          <w:p w14:paraId="037EB693" w14:textId="77777777" w:rsidR="002D58E4" w:rsidRDefault="00F721D4">
            <w:pPr>
              <w:rPr>
                <w:sz w:val="20"/>
                <w:szCs w:val="20"/>
              </w:rPr>
            </w:pPr>
            <w:r>
              <w:rPr>
                <w:sz w:val="20"/>
                <w:szCs w:val="20"/>
                <w:u w:val="single"/>
              </w:rPr>
              <w:t>Tick-test-negative untreated group</w:t>
            </w:r>
            <w:r>
              <w:rPr>
                <w:sz w:val="20"/>
                <w:szCs w:val="20"/>
              </w:rPr>
              <w:t xml:space="preserve">: </w:t>
            </w:r>
          </w:p>
          <w:p w14:paraId="2F2EDA61" w14:textId="77777777" w:rsidR="002D58E4" w:rsidRDefault="00F721D4">
            <w:pPr>
              <w:rPr>
                <w:sz w:val="20"/>
                <w:szCs w:val="20"/>
              </w:rPr>
            </w:pPr>
            <w:r>
              <w:rPr>
                <w:b/>
                <w:sz w:val="20"/>
                <w:szCs w:val="20"/>
              </w:rPr>
              <w:t>0.7%</w:t>
            </w:r>
            <w:r>
              <w:rPr>
                <w:sz w:val="20"/>
                <w:szCs w:val="20"/>
              </w:rPr>
              <w:t xml:space="preserve"> (6 out of 823)</w:t>
            </w:r>
          </w:p>
        </w:tc>
      </w:tr>
      <w:tr w:rsidR="002D58E4" w14:paraId="78DD284F" w14:textId="77777777">
        <w:trPr>
          <w:trHeight w:val="216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A1A3859" w14:textId="77777777" w:rsidR="002D58E4" w:rsidRDefault="00F721D4">
            <w:pPr>
              <w:rPr>
                <w:sz w:val="20"/>
                <w:szCs w:val="20"/>
              </w:rPr>
            </w:pPr>
            <w:r>
              <w:rPr>
                <w:sz w:val="20"/>
                <w:szCs w:val="20"/>
              </w:rPr>
              <w:lastRenderedPageBreak/>
              <w:t>Costello, 1989</w:t>
            </w:r>
          </w:p>
          <w:p w14:paraId="6AF0840C" w14:textId="77777777" w:rsidR="002D58E4" w:rsidRDefault="002D58E4">
            <w:pPr>
              <w:rPr>
                <w:sz w:val="20"/>
                <w:szCs w:val="20"/>
              </w:rPr>
            </w:pPr>
          </w:p>
          <w:p w14:paraId="2806B8C5" w14:textId="77777777" w:rsidR="002D58E4" w:rsidRDefault="00F721D4">
            <w:pPr>
              <w:rPr>
                <w:sz w:val="20"/>
                <w:szCs w:val="20"/>
              </w:rPr>
            </w:pPr>
            <w:r>
              <w:rPr>
                <w:sz w:val="20"/>
                <w:szCs w:val="20"/>
              </w:rPr>
              <w:t>CT, USA</w:t>
            </w:r>
          </w:p>
        </w:tc>
        <w:tc>
          <w:tcPr>
            <w:tcW w:w="1350" w:type="dxa"/>
            <w:tcBorders>
              <w:top w:val="single" w:sz="6" w:space="0" w:color="AEAEAE"/>
              <w:left w:val="single" w:sz="6" w:space="0" w:color="AEAEAE"/>
              <w:bottom w:val="single" w:sz="6" w:space="0" w:color="AEAEAE"/>
              <w:right w:val="single" w:sz="6" w:space="0" w:color="AEAEAE"/>
            </w:tcBorders>
            <w:vAlign w:val="center"/>
          </w:tcPr>
          <w:p w14:paraId="24EB3383" w14:textId="77777777" w:rsidR="002D58E4" w:rsidRDefault="00F721D4">
            <w:pPr>
              <w:rPr>
                <w:sz w:val="20"/>
                <w:szCs w:val="20"/>
              </w:rPr>
            </w:pPr>
            <w:r>
              <w:rPr>
                <w:sz w:val="20"/>
                <w:szCs w:val="20"/>
              </w:rPr>
              <w:t>Randomized double-blind controlled trial</w:t>
            </w:r>
          </w:p>
        </w:tc>
        <w:tc>
          <w:tcPr>
            <w:tcW w:w="720" w:type="dxa"/>
            <w:tcBorders>
              <w:top w:val="single" w:sz="6" w:space="0" w:color="AEAEAE"/>
              <w:left w:val="single" w:sz="6" w:space="0" w:color="AEAEAE"/>
              <w:bottom w:val="single" w:sz="6" w:space="0" w:color="AEAEAE"/>
              <w:right w:val="single" w:sz="6" w:space="0" w:color="AEAEAE"/>
            </w:tcBorders>
            <w:vAlign w:val="center"/>
          </w:tcPr>
          <w:p w14:paraId="6E23E92D" w14:textId="77777777" w:rsidR="002D58E4" w:rsidRDefault="00F721D4">
            <w:pPr>
              <w:jc w:val="center"/>
              <w:rPr>
                <w:sz w:val="20"/>
                <w:szCs w:val="20"/>
              </w:rPr>
            </w:pPr>
            <w:r>
              <w:rPr>
                <w:sz w:val="20"/>
                <w:szCs w:val="20"/>
              </w:rPr>
              <w:t>Unclear Risk of Bias</w:t>
            </w:r>
          </w:p>
        </w:tc>
        <w:tc>
          <w:tcPr>
            <w:tcW w:w="1080" w:type="dxa"/>
            <w:tcBorders>
              <w:top w:val="single" w:sz="6" w:space="0" w:color="AEAEAE"/>
              <w:left w:val="single" w:sz="6" w:space="0" w:color="AEAEAE"/>
              <w:bottom w:val="single" w:sz="6" w:space="0" w:color="AEAEAE"/>
              <w:right w:val="single" w:sz="6" w:space="0" w:color="AEAEAE"/>
            </w:tcBorders>
            <w:vAlign w:val="center"/>
          </w:tcPr>
          <w:p w14:paraId="72B55336" w14:textId="77777777" w:rsidR="002D58E4" w:rsidRDefault="00F721D4">
            <w:pPr>
              <w:rPr>
                <w:sz w:val="20"/>
                <w:szCs w:val="20"/>
              </w:rPr>
            </w:pPr>
            <w:r>
              <w:rPr>
                <w:i/>
                <w:sz w:val="20"/>
                <w:szCs w:val="20"/>
              </w:rPr>
              <w:t>I.dammini</w:t>
            </w:r>
          </w:p>
        </w:tc>
        <w:tc>
          <w:tcPr>
            <w:tcW w:w="2610" w:type="dxa"/>
            <w:tcBorders>
              <w:top w:val="single" w:sz="6" w:space="0" w:color="AEAEAE"/>
              <w:left w:val="single" w:sz="6" w:space="0" w:color="AEAEAE"/>
              <w:bottom w:val="single" w:sz="6" w:space="0" w:color="AEAEAE"/>
              <w:right w:val="single" w:sz="6" w:space="0" w:color="AEAEAE"/>
            </w:tcBorders>
            <w:vAlign w:val="center"/>
          </w:tcPr>
          <w:p w14:paraId="3146462A" w14:textId="77777777" w:rsidR="002D58E4" w:rsidRDefault="00F721D4">
            <w:pPr>
              <w:rPr>
                <w:sz w:val="20"/>
                <w:szCs w:val="20"/>
              </w:rPr>
            </w:pPr>
            <w:r>
              <w:rPr>
                <w:sz w:val="20"/>
                <w:szCs w:val="20"/>
              </w:rPr>
              <w:t xml:space="preserve">56 subjects (≥5 years old) with </w:t>
            </w:r>
            <w:r>
              <w:rPr>
                <w:i/>
                <w:sz w:val="20"/>
                <w:szCs w:val="20"/>
              </w:rPr>
              <w:t xml:space="preserve">I. dammini </w:t>
            </w:r>
            <w:r>
              <w:rPr>
                <w:sz w:val="20"/>
                <w:szCs w:val="20"/>
              </w:rPr>
              <w:t>tick bites within the preceding 72 hours.</w:t>
            </w:r>
          </w:p>
          <w:p w14:paraId="6FFE835C" w14:textId="77777777" w:rsidR="002D58E4" w:rsidRDefault="002D58E4">
            <w:pPr>
              <w:rPr>
                <w:sz w:val="20"/>
                <w:szCs w:val="20"/>
              </w:rPr>
            </w:pPr>
          </w:p>
          <w:p w14:paraId="120252EA" w14:textId="77777777" w:rsidR="002D58E4" w:rsidRDefault="00F721D4">
            <w:pPr>
              <w:rPr>
                <w:sz w:val="20"/>
                <w:szCs w:val="20"/>
              </w:rPr>
            </w:pPr>
            <w:r>
              <w:rPr>
                <w:sz w:val="20"/>
                <w:szCs w:val="20"/>
              </w:rPr>
              <w:t xml:space="preserve">Ticks were tested for </w:t>
            </w:r>
            <w:r>
              <w:rPr>
                <w:i/>
                <w:sz w:val="20"/>
                <w:szCs w:val="20"/>
              </w:rPr>
              <w:t xml:space="preserve">Borrelia </w:t>
            </w:r>
            <w:r>
              <w:rPr>
                <w:sz w:val="20"/>
                <w:szCs w:val="20"/>
              </w:rPr>
              <w:t xml:space="preserve">infection (by a direct </w:t>
            </w:r>
            <w:r>
              <w:rPr>
                <w:b/>
                <w:sz w:val="20"/>
                <w:szCs w:val="20"/>
              </w:rPr>
              <w:t>immunofluorescence assay</w:t>
            </w:r>
            <w:r>
              <w:rPr>
                <w:sz w:val="20"/>
                <w:szCs w:val="20"/>
              </w:rPr>
              <w:t>).</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E33A376" w14:textId="77777777" w:rsidR="002D58E4" w:rsidRDefault="00F721D4">
            <w:pPr>
              <w:rPr>
                <w:sz w:val="20"/>
                <w:szCs w:val="20"/>
              </w:rPr>
            </w:pPr>
            <w:r>
              <w:rPr>
                <w:sz w:val="20"/>
                <w:szCs w:val="20"/>
              </w:rPr>
              <w:t>Subjects were randomized into 2 groups: oral penicillin VK 250 mg (N=27) or oral placebo (lactose 333 mg) (N=29), 4 times daily for 10 days.</w:t>
            </w:r>
          </w:p>
          <w:p w14:paraId="1E12D883" w14:textId="77777777" w:rsidR="002D58E4" w:rsidRDefault="002D58E4">
            <w:pPr>
              <w:rPr>
                <w:sz w:val="20"/>
                <w:szCs w:val="20"/>
              </w:rPr>
            </w:pPr>
          </w:p>
          <w:p w14:paraId="5408C9C5" w14:textId="77777777" w:rsidR="002D58E4" w:rsidRDefault="00F721D4">
            <w:pPr>
              <w:rPr>
                <w:sz w:val="20"/>
                <w:szCs w:val="20"/>
              </w:rPr>
            </w:pPr>
            <w:r>
              <w:rPr>
                <w:sz w:val="20"/>
                <w:szCs w:val="20"/>
              </w:rPr>
              <w:t>Patients were followed up for 6-12 months.</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0315C89" w14:textId="77777777" w:rsidR="002D58E4" w:rsidRDefault="00F721D4">
            <w:pPr>
              <w:rPr>
                <w:sz w:val="20"/>
                <w:szCs w:val="20"/>
              </w:rPr>
            </w:pPr>
            <w:r>
              <w:rPr>
                <w:b/>
                <w:sz w:val="20"/>
                <w:szCs w:val="20"/>
              </w:rPr>
              <w:t>Development of clinical signs of Lyme</w:t>
            </w:r>
            <w:r>
              <w:rPr>
                <w:sz w:val="20"/>
                <w:szCs w:val="20"/>
              </w:rPr>
              <w:t xml:space="preserve"> disease at 6-12 months, </w:t>
            </w:r>
            <w:r>
              <w:rPr>
                <w:b/>
                <w:sz w:val="20"/>
                <w:szCs w:val="20"/>
              </w:rPr>
              <w:t xml:space="preserve">seroconversion </w:t>
            </w:r>
            <w:r>
              <w:rPr>
                <w:sz w:val="20"/>
                <w:szCs w:val="20"/>
              </w:rPr>
              <w:t>at 3 weeks and 6 months.</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0B7E909" w14:textId="77777777" w:rsidR="002D58E4" w:rsidRDefault="00F721D4">
            <w:pPr>
              <w:rPr>
                <w:sz w:val="20"/>
                <w:szCs w:val="20"/>
              </w:rPr>
            </w:pPr>
            <w:r>
              <w:rPr>
                <w:sz w:val="20"/>
                <w:szCs w:val="20"/>
              </w:rPr>
              <w:t xml:space="preserve">Overall, </w:t>
            </w:r>
            <w:r>
              <w:rPr>
                <w:b/>
                <w:sz w:val="20"/>
                <w:szCs w:val="20"/>
              </w:rPr>
              <w:t xml:space="preserve">29% of </w:t>
            </w:r>
            <w:r>
              <w:rPr>
                <w:sz w:val="20"/>
                <w:szCs w:val="20"/>
              </w:rPr>
              <w:t>21</w:t>
            </w:r>
            <w:r>
              <w:rPr>
                <w:b/>
                <w:sz w:val="20"/>
                <w:szCs w:val="20"/>
              </w:rPr>
              <w:t xml:space="preserve"> ticks </w:t>
            </w:r>
            <w:r>
              <w:rPr>
                <w:sz w:val="20"/>
                <w:szCs w:val="20"/>
              </w:rPr>
              <w:t xml:space="preserve">suitable for testing </w:t>
            </w:r>
            <w:r>
              <w:rPr>
                <w:b/>
                <w:sz w:val="20"/>
                <w:szCs w:val="20"/>
              </w:rPr>
              <w:t>tested positive</w:t>
            </w:r>
            <w:r>
              <w:rPr>
                <w:sz w:val="20"/>
                <w:szCs w:val="20"/>
              </w:rPr>
              <w:t xml:space="preserve"> for </w:t>
            </w:r>
            <w:r>
              <w:rPr>
                <w:i/>
                <w:sz w:val="20"/>
                <w:szCs w:val="20"/>
              </w:rPr>
              <w:t>B. burgdorferi</w:t>
            </w:r>
            <w:r>
              <w:rPr>
                <w:sz w:val="20"/>
                <w:szCs w:val="20"/>
              </w:rPr>
              <w:t xml:space="preserve">. </w:t>
            </w:r>
          </w:p>
          <w:p w14:paraId="1A73BC17" w14:textId="77777777" w:rsidR="002D58E4" w:rsidRDefault="002D58E4">
            <w:pPr>
              <w:rPr>
                <w:sz w:val="20"/>
                <w:szCs w:val="20"/>
              </w:rPr>
            </w:pPr>
          </w:p>
          <w:p w14:paraId="65036C36" w14:textId="77777777" w:rsidR="002D58E4" w:rsidRDefault="00F721D4">
            <w:pPr>
              <w:rPr>
                <w:sz w:val="20"/>
                <w:szCs w:val="20"/>
              </w:rPr>
            </w:pPr>
            <w:r>
              <w:rPr>
                <w:sz w:val="20"/>
                <w:szCs w:val="20"/>
              </w:rPr>
              <w:t xml:space="preserve">Both </w:t>
            </w:r>
            <w:r>
              <w:rPr>
                <w:sz w:val="20"/>
                <w:szCs w:val="20"/>
                <w:u w:val="single"/>
              </w:rPr>
              <w:t>tick-test-positive (treated and untreated) and tick-test-negative (ditto)</w:t>
            </w:r>
            <w:r>
              <w:rPr>
                <w:sz w:val="20"/>
                <w:szCs w:val="20"/>
              </w:rPr>
              <w:t xml:space="preserve"> groups had </w:t>
            </w:r>
            <w:r>
              <w:rPr>
                <w:b/>
                <w:sz w:val="20"/>
                <w:szCs w:val="20"/>
              </w:rPr>
              <w:t>0%</w:t>
            </w:r>
            <w:r>
              <w:rPr>
                <w:sz w:val="20"/>
                <w:szCs w:val="20"/>
              </w:rPr>
              <w:t xml:space="preserve"> </w:t>
            </w:r>
            <w:r>
              <w:rPr>
                <w:i/>
                <w:sz w:val="20"/>
                <w:szCs w:val="20"/>
              </w:rPr>
              <w:t>B. burgdorferi</w:t>
            </w:r>
            <w:r>
              <w:rPr>
                <w:sz w:val="20"/>
                <w:szCs w:val="20"/>
              </w:rPr>
              <w:t xml:space="preserve"> transmission. </w:t>
            </w:r>
          </w:p>
          <w:p w14:paraId="4F5B33C0" w14:textId="77777777" w:rsidR="002D58E4" w:rsidRDefault="00F721D4">
            <w:pPr>
              <w:rPr>
                <w:sz w:val="20"/>
                <w:szCs w:val="20"/>
              </w:rPr>
            </w:pPr>
            <w:r>
              <w:rPr>
                <w:sz w:val="20"/>
                <w:szCs w:val="20"/>
              </w:rPr>
              <w:t>The only patient who developed Lyme disease (placebo group) had a tick that was not suitable for study.</w:t>
            </w:r>
          </w:p>
        </w:tc>
      </w:tr>
      <w:tr w:rsidR="002D58E4" w14:paraId="6929C696" w14:textId="77777777">
        <w:trPr>
          <w:trHeight w:val="388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7605D8D" w14:textId="77777777" w:rsidR="002D58E4" w:rsidRDefault="00F721D4">
            <w:pPr>
              <w:rPr>
                <w:sz w:val="20"/>
                <w:szCs w:val="20"/>
              </w:rPr>
            </w:pPr>
            <w:r>
              <w:rPr>
                <w:sz w:val="20"/>
                <w:szCs w:val="20"/>
              </w:rPr>
              <w:t>Shapiro, 1992</w:t>
            </w:r>
          </w:p>
          <w:p w14:paraId="26F1D7FF" w14:textId="77777777" w:rsidR="002D58E4" w:rsidRDefault="002D58E4">
            <w:pPr>
              <w:rPr>
                <w:sz w:val="20"/>
                <w:szCs w:val="20"/>
              </w:rPr>
            </w:pPr>
          </w:p>
          <w:p w14:paraId="26F80916" w14:textId="77777777" w:rsidR="002D58E4" w:rsidRDefault="00F721D4">
            <w:pPr>
              <w:rPr>
                <w:sz w:val="20"/>
                <w:szCs w:val="20"/>
              </w:rPr>
            </w:pPr>
            <w:r>
              <w:rPr>
                <w:sz w:val="20"/>
                <w:szCs w:val="20"/>
              </w:rPr>
              <w:t>CT, USA</w:t>
            </w:r>
          </w:p>
        </w:tc>
        <w:tc>
          <w:tcPr>
            <w:tcW w:w="1350" w:type="dxa"/>
            <w:tcBorders>
              <w:top w:val="single" w:sz="6" w:space="0" w:color="AEAEAE"/>
              <w:left w:val="single" w:sz="6" w:space="0" w:color="AEAEAE"/>
              <w:bottom w:val="single" w:sz="6" w:space="0" w:color="AEAEAE"/>
              <w:right w:val="single" w:sz="6" w:space="0" w:color="AEAEAE"/>
            </w:tcBorders>
            <w:vAlign w:val="center"/>
          </w:tcPr>
          <w:p w14:paraId="1481545B" w14:textId="77777777" w:rsidR="002D58E4" w:rsidRDefault="00F721D4">
            <w:pPr>
              <w:rPr>
                <w:sz w:val="20"/>
                <w:szCs w:val="20"/>
              </w:rPr>
            </w:pPr>
            <w:r>
              <w:rPr>
                <w:sz w:val="20"/>
                <w:szCs w:val="20"/>
              </w:rPr>
              <w:t>Randomized double-blind controlled trial</w:t>
            </w:r>
          </w:p>
        </w:tc>
        <w:tc>
          <w:tcPr>
            <w:tcW w:w="720" w:type="dxa"/>
            <w:tcBorders>
              <w:top w:val="single" w:sz="6" w:space="0" w:color="AEAEAE"/>
              <w:left w:val="single" w:sz="6" w:space="0" w:color="AEAEAE"/>
              <w:bottom w:val="single" w:sz="6" w:space="0" w:color="AEAEAE"/>
              <w:right w:val="single" w:sz="6" w:space="0" w:color="AEAEAE"/>
            </w:tcBorders>
            <w:vAlign w:val="center"/>
          </w:tcPr>
          <w:p w14:paraId="408DE5D9" w14:textId="77777777" w:rsidR="002D58E4" w:rsidRDefault="00F721D4">
            <w:pPr>
              <w:jc w:val="center"/>
              <w:rPr>
                <w:sz w:val="20"/>
                <w:szCs w:val="20"/>
              </w:rPr>
            </w:pPr>
            <w:r>
              <w:rPr>
                <w:sz w:val="20"/>
                <w:szCs w:val="20"/>
              </w:rPr>
              <w:t>Unclear Risk of Bias</w:t>
            </w:r>
          </w:p>
        </w:tc>
        <w:tc>
          <w:tcPr>
            <w:tcW w:w="1080" w:type="dxa"/>
            <w:tcBorders>
              <w:top w:val="single" w:sz="6" w:space="0" w:color="AEAEAE"/>
              <w:left w:val="single" w:sz="6" w:space="0" w:color="AEAEAE"/>
              <w:bottom w:val="single" w:sz="6" w:space="0" w:color="AEAEAE"/>
              <w:right w:val="single" w:sz="6" w:space="0" w:color="AEAEAE"/>
            </w:tcBorders>
            <w:vAlign w:val="center"/>
          </w:tcPr>
          <w:p w14:paraId="1EB797EA" w14:textId="77777777" w:rsidR="002D58E4" w:rsidRDefault="00F721D4">
            <w:pPr>
              <w:rPr>
                <w:i/>
                <w:sz w:val="20"/>
                <w:szCs w:val="20"/>
              </w:rPr>
            </w:pPr>
            <w:r>
              <w:rPr>
                <w:i/>
                <w:sz w:val="20"/>
                <w:szCs w:val="20"/>
              </w:rPr>
              <w:t>I.dammini</w:t>
            </w:r>
          </w:p>
        </w:tc>
        <w:tc>
          <w:tcPr>
            <w:tcW w:w="2610" w:type="dxa"/>
            <w:tcBorders>
              <w:top w:val="single" w:sz="6" w:space="0" w:color="AEAEAE"/>
              <w:left w:val="single" w:sz="6" w:space="0" w:color="AEAEAE"/>
              <w:bottom w:val="single" w:sz="6" w:space="0" w:color="AEAEAE"/>
              <w:right w:val="single" w:sz="6" w:space="0" w:color="AEAEAE"/>
            </w:tcBorders>
            <w:vAlign w:val="center"/>
          </w:tcPr>
          <w:p w14:paraId="044BBCEF" w14:textId="77777777" w:rsidR="002D58E4" w:rsidRDefault="00F721D4">
            <w:pPr>
              <w:rPr>
                <w:sz w:val="20"/>
                <w:szCs w:val="20"/>
              </w:rPr>
            </w:pPr>
            <w:r>
              <w:rPr>
                <w:sz w:val="20"/>
                <w:szCs w:val="20"/>
              </w:rPr>
              <w:t xml:space="preserve">387 subjects (children and adults 12 years or older) who had been bitten by a deer tick within the preceding 72 hours. </w:t>
            </w:r>
          </w:p>
          <w:p w14:paraId="689BD6E4" w14:textId="77777777" w:rsidR="002D58E4" w:rsidRDefault="002D58E4">
            <w:pPr>
              <w:rPr>
                <w:sz w:val="20"/>
                <w:szCs w:val="20"/>
              </w:rPr>
            </w:pPr>
          </w:p>
          <w:p w14:paraId="3D8FE044" w14:textId="77777777" w:rsidR="002D58E4" w:rsidRDefault="00F721D4">
            <w:pPr>
              <w:rPr>
                <w:sz w:val="20"/>
                <w:szCs w:val="20"/>
              </w:rPr>
            </w:pPr>
            <w:r>
              <w:rPr>
                <w:sz w:val="20"/>
                <w:szCs w:val="20"/>
              </w:rPr>
              <w:t xml:space="preserve">Ticks were tested for </w:t>
            </w:r>
            <w:r>
              <w:rPr>
                <w:i/>
                <w:sz w:val="20"/>
                <w:szCs w:val="20"/>
              </w:rPr>
              <w:t xml:space="preserve">Borrelia </w:t>
            </w:r>
            <w:r>
              <w:rPr>
                <w:sz w:val="20"/>
                <w:szCs w:val="20"/>
              </w:rPr>
              <w:t xml:space="preserve">infection (mostly by </w:t>
            </w:r>
            <w:r>
              <w:rPr>
                <w:b/>
                <w:sz w:val="20"/>
                <w:szCs w:val="20"/>
              </w:rPr>
              <w:t xml:space="preserve">PCR, </w:t>
            </w:r>
            <w:r>
              <w:rPr>
                <w:sz w:val="20"/>
                <w:szCs w:val="20"/>
              </w:rPr>
              <w:t>with</w:t>
            </w:r>
            <w:r>
              <w:rPr>
                <w:b/>
                <w:sz w:val="20"/>
                <w:szCs w:val="20"/>
              </w:rPr>
              <w:t xml:space="preserve"> </w:t>
            </w:r>
            <w:r>
              <w:rPr>
                <w:sz w:val="20"/>
                <w:szCs w:val="20"/>
              </w:rPr>
              <w:t xml:space="preserve">the first 13 ticks – by an indirect </w:t>
            </w:r>
            <w:r>
              <w:rPr>
                <w:b/>
                <w:sz w:val="20"/>
                <w:szCs w:val="20"/>
              </w:rPr>
              <w:t>immunofluorescence assay</w:t>
            </w:r>
            <w:r>
              <w:rPr>
                <w:sz w:val="20"/>
                <w:szCs w:val="20"/>
              </w:rPr>
              <w:t xml:space="preserve">). </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39B58B5" w14:textId="77777777" w:rsidR="002D58E4" w:rsidRDefault="00F721D4">
            <w:pPr>
              <w:rPr>
                <w:sz w:val="20"/>
                <w:szCs w:val="20"/>
              </w:rPr>
            </w:pPr>
            <w:r>
              <w:rPr>
                <w:sz w:val="20"/>
                <w:szCs w:val="20"/>
              </w:rPr>
              <w:t>Subjects were randomized into 2 groups: oral amoxicillin 250mg (N=205) vs. oral placebo (N=182) suspension TID for 10 days.</w:t>
            </w:r>
          </w:p>
          <w:p w14:paraId="09A706F3" w14:textId="77777777" w:rsidR="002D58E4" w:rsidRDefault="002D58E4">
            <w:pPr>
              <w:rPr>
                <w:sz w:val="20"/>
                <w:szCs w:val="20"/>
                <w:u w:val="single"/>
              </w:rPr>
            </w:pPr>
          </w:p>
          <w:p w14:paraId="67C26108" w14:textId="77777777" w:rsidR="002D58E4" w:rsidRDefault="00F721D4">
            <w:pPr>
              <w:rPr>
                <w:sz w:val="20"/>
                <w:szCs w:val="20"/>
              </w:rPr>
            </w:pPr>
            <w:r>
              <w:rPr>
                <w:sz w:val="20"/>
                <w:szCs w:val="20"/>
              </w:rPr>
              <w:t>Patients were followed up for 6-12 months</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711580F" w14:textId="77777777" w:rsidR="002D58E4" w:rsidRDefault="00F721D4">
            <w:pPr>
              <w:rPr>
                <w:sz w:val="20"/>
                <w:szCs w:val="20"/>
              </w:rPr>
            </w:pPr>
            <w:r>
              <w:rPr>
                <w:b/>
                <w:sz w:val="20"/>
                <w:szCs w:val="20"/>
              </w:rPr>
              <w:t xml:space="preserve">Symptomatic infection with </w:t>
            </w:r>
            <w:r>
              <w:rPr>
                <w:b/>
                <w:i/>
                <w:sz w:val="20"/>
                <w:szCs w:val="20"/>
              </w:rPr>
              <w:t xml:space="preserve">B. burgdorferi </w:t>
            </w:r>
            <w:r>
              <w:rPr>
                <w:sz w:val="20"/>
                <w:szCs w:val="20"/>
              </w:rPr>
              <w:t xml:space="preserve">(defined as EM at the site of bite; symptoms of early disseminated Lyme or late Lyme with seroconversion), </w:t>
            </w:r>
            <w:r>
              <w:rPr>
                <w:b/>
                <w:sz w:val="20"/>
                <w:szCs w:val="20"/>
              </w:rPr>
              <w:t>or an asymptomatic infection (defined as seroconversion</w:t>
            </w:r>
            <w:r>
              <w:rPr>
                <w:sz w:val="20"/>
                <w:szCs w:val="20"/>
              </w:rPr>
              <w:t xml:space="preserve"> without signs and symptoms of LD).</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F6BFD5B" w14:textId="77777777" w:rsidR="002D58E4" w:rsidRDefault="00F721D4">
            <w:pPr>
              <w:rPr>
                <w:sz w:val="20"/>
                <w:szCs w:val="20"/>
              </w:rPr>
            </w:pPr>
            <w:r>
              <w:rPr>
                <w:sz w:val="20"/>
                <w:szCs w:val="20"/>
              </w:rPr>
              <w:t xml:space="preserve">Overall, </w:t>
            </w:r>
            <w:r>
              <w:rPr>
                <w:b/>
                <w:sz w:val="20"/>
                <w:szCs w:val="20"/>
              </w:rPr>
              <w:t>15% of ticks tested positive</w:t>
            </w:r>
            <w:r>
              <w:rPr>
                <w:sz w:val="20"/>
                <w:szCs w:val="20"/>
              </w:rPr>
              <w:t xml:space="preserve"> for </w:t>
            </w:r>
            <w:r>
              <w:rPr>
                <w:i/>
                <w:sz w:val="20"/>
                <w:szCs w:val="20"/>
              </w:rPr>
              <w:t>B. burgdorferi</w:t>
            </w:r>
            <w:r>
              <w:rPr>
                <w:sz w:val="20"/>
                <w:szCs w:val="20"/>
              </w:rPr>
              <w:t xml:space="preserve"> by PCR test, and 2 out of 13 </w:t>
            </w:r>
            <w:r>
              <w:rPr>
                <w:b/>
                <w:sz w:val="20"/>
                <w:szCs w:val="20"/>
              </w:rPr>
              <w:t>(15%)</w:t>
            </w:r>
            <w:r>
              <w:rPr>
                <w:sz w:val="20"/>
                <w:szCs w:val="20"/>
              </w:rPr>
              <w:t xml:space="preserve"> were positive by IFA assay.</w:t>
            </w:r>
          </w:p>
          <w:p w14:paraId="4CE377F4" w14:textId="77777777" w:rsidR="002D58E4" w:rsidRDefault="002D58E4">
            <w:pPr>
              <w:rPr>
                <w:sz w:val="20"/>
                <w:szCs w:val="20"/>
              </w:rPr>
            </w:pPr>
          </w:p>
          <w:p w14:paraId="4D7DBB0F" w14:textId="77777777" w:rsidR="002D58E4" w:rsidRDefault="00F721D4">
            <w:pPr>
              <w:rPr>
                <w:i/>
                <w:sz w:val="20"/>
                <w:szCs w:val="20"/>
              </w:rPr>
            </w:pPr>
            <w:r>
              <w:rPr>
                <w:i/>
                <w:sz w:val="20"/>
                <w:szCs w:val="20"/>
              </w:rPr>
              <w:t xml:space="preserve">6-12 months after tick bite: </w:t>
            </w:r>
          </w:p>
          <w:p w14:paraId="6B7E0C1B" w14:textId="77777777" w:rsidR="002D58E4" w:rsidRDefault="00F721D4">
            <w:pPr>
              <w:rPr>
                <w:sz w:val="20"/>
                <w:szCs w:val="20"/>
              </w:rPr>
            </w:pPr>
            <w:r>
              <w:rPr>
                <w:sz w:val="20"/>
                <w:szCs w:val="20"/>
                <w:u w:val="single"/>
              </w:rPr>
              <w:t>Tick-test-positive treated group</w:t>
            </w:r>
            <w:r>
              <w:rPr>
                <w:sz w:val="20"/>
                <w:szCs w:val="20"/>
              </w:rPr>
              <w:t xml:space="preserve">:  </w:t>
            </w:r>
          </w:p>
          <w:p w14:paraId="5DA369F5" w14:textId="77777777" w:rsidR="002D58E4" w:rsidRDefault="00F721D4">
            <w:pPr>
              <w:rPr>
                <w:sz w:val="20"/>
                <w:szCs w:val="20"/>
              </w:rPr>
            </w:pPr>
            <w:r>
              <w:rPr>
                <w:b/>
                <w:sz w:val="20"/>
                <w:szCs w:val="20"/>
              </w:rPr>
              <w:t>0%</w:t>
            </w:r>
            <w:r>
              <w:rPr>
                <w:sz w:val="20"/>
                <w:szCs w:val="20"/>
              </w:rPr>
              <w:t xml:space="preserve"> (0 of out 30) developed infection</w:t>
            </w:r>
          </w:p>
          <w:p w14:paraId="6124C979" w14:textId="77777777" w:rsidR="002D58E4" w:rsidRDefault="002D58E4">
            <w:pPr>
              <w:rPr>
                <w:sz w:val="20"/>
                <w:szCs w:val="20"/>
              </w:rPr>
            </w:pPr>
          </w:p>
          <w:p w14:paraId="5B520F42" w14:textId="77777777" w:rsidR="002D58E4" w:rsidRDefault="00F721D4">
            <w:pPr>
              <w:rPr>
                <w:sz w:val="20"/>
                <w:szCs w:val="20"/>
              </w:rPr>
            </w:pPr>
            <w:r>
              <w:rPr>
                <w:sz w:val="20"/>
                <w:szCs w:val="20"/>
                <w:u w:val="single"/>
              </w:rPr>
              <w:t>Tick-test-positive untreated group</w:t>
            </w:r>
            <w:r>
              <w:rPr>
                <w:sz w:val="20"/>
                <w:szCs w:val="20"/>
              </w:rPr>
              <w:t xml:space="preserve">: </w:t>
            </w:r>
          </w:p>
          <w:p w14:paraId="76202AD1" w14:textId="77777777" w:rsidR="002D58E4" w:rsidRDefault="00F721D4">
            <w:pPr>
              <w:rPr>
                <w:sz w:val="20"/>
                <w:szCs w:val="20"/>
              </w:rPr>
            </w:pPr>
            <w:r>
              <w:rPr>
                <w:b/>
                <w:sz w:val="20"/>
                <w:szCs w:val="20"/>
              </w:rPr>
              <w:t>4.3%</w:t>
            </w:r>
            <w:r>
              <w:rPr>
                <w:sz w:val="20"/>
                <w:szCs w:val="20"/>
              </w:rPr>
              <w:t xml:space="preserve"> (1 out of 23) </w:t>
            </w:r>
            <w:r>
              <w:rPr>
                <w:b/>
                <w:sz w:val="20"/>
                <w:szCs w:val="20"/>
              </w:rPr>
              <w:t>or 8.3%</w:t>
            </w:r>
            <w:r>
              <w:rPr>
                <w:sz w:val="20"/>
                <w:szCs w:val="20"/>
              </w:rPr>
              <w:t xml:space="preserve"> developed infection (if including a patient whose tick’s PCR was indeterminate).</w:t>
            </w:r>
          </w:p>
          <w:p w14:paraId="4B179DF1" w14:textId="77777777" w:rsidR="002D58E4" w:rsidRDefault="002D58E4">
            <w:pPr>
              <w:rPr>
                <w:sz w:val="20"/>
                <w:szCs w:val="20"/>
              </w:rPr>
            </w:pPr>
          </w:p>
          <w:p w14:paraId="641316DE" w14:textId="77777777" w:rsidR="002D58E4" w:rsidRDefault="00F721D4">
            <w:pPr>
              <w:rPr>
                <w:sz w:val="20"/>
                <w:szCs w:val="20"/>
              </w:rPr>
            </w:pPr>
            <w:r>
              <w:rPr>
                <w:sz w:val="20"/>
                <w:szCs w:val="20"/>
                <w:u w:val="single"/>
              </w:rPr>
              <w:t>Tick-test-negative treated and untreated group</w:t>
            </w:r>
            <w:r>
              <w:rPr>
                <w:sz w:val="20"/>
                <w:szCs w:val="20"/>
              </w:rPr>
              <w:t xml:space="preserve">: </w:t>
            </w:r>
          </w:p>
          <w:p w14:paraId="4B612734" w14:textId="77777777" w:rsidR="002D58E4" w:rsidRDefault="00F721D4">
            <w:pPr>
              <w:rPr>
                <w:sz w:val="20"/>
                <w:szCs w:val="20"/>
              </w:rPr>
            </w:pPr>
            <w:r>
              <w:rPr>
                <w:b/>
                <w:sz w:val="20"/>
                <w:szCs w:val="20"/>
              </w:rPr>
              <w:t xml:space="preserve">0% - </w:t>
            </w:r>
            <w:r>
              <w:rPr>
                <w:sz w:val="20"/>
                <w:szCs w:val="20"/>
              </w:rPr>
              <w:t xml:space="preserve">no other patient developed Lyme disease </w:t>
            </w:r>
            <w:r>
              <w:rPr>
                <w:b/>
                <w:sz w:val="20"/>
                <w:szCs w:val="20"/>
              </w:rPr>
              <w:t>or 0.3% in the untreated</w:t>
            </w:r>
            <w:r>
              <w:rPr>
                <w:sz w:val="20"/>
                <w:szCs w:val="20"/>
              </w:rPr>
              <w:t xml:space="preserve"> group if including the above patient.</w:t>
            </w:r>
          </w:p>
        </w:tc>
      </w:tr>
      <w:tr w:rsidR="002D58E4" w14:paraId="69C1459D" w14:textId="77777777">
        <w:trPr>
          <w:trHeight w:val="44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2B45A63" w14:textId="77777777" w:rsidR="002D58E4" w:rsidRDefault="00F721D4">
            <w:pPr>
              <w:rPr>
                <w:sz w:val="20"/>
                <w:szCs w:val="20"/>
              </w:rPr>
            </w:pPr>
            <w:r>
              <w:rPr>
                <w:sz w:val="20"/>
                <w:szCs w:val="20"/>
              </w:rPr>
              <w:lastRenderedPageBreak/>
              <w:t>Maiwald, 1998</w:t>
            </w:r>
          </w:p>
          <w:p w14:paraId="5BFC3F09" w14:textId="77777777" w:rsidR="002D58E4" w:rsidRDefault="002D58E4">
            <w:pPr>
              <w:rPr>
                <w:sz w:val="20"/>
                <w:szCs w:val="20"/>
              </w:rPr>
            </w:pPr>
          </w:p>
          <w:p w14:paraId="770B2984" w14:textId="77777777" w:rsidR="002D58E4" w:rsidRDefault="00F721D4">
            <w:pPr>
              <w:rPr>
                <w:sz w:val="20"/>
                <w:szCs w:val="20"/>
              </w:rPr>
            </w:pPr>
            <w:r>
              <w:rPr>
                <w:sz w:val="20"/>
                <w:szCs w:val="20"/>
              </w:rPr>
              <w:t>2 sites in Germany</w:t>
            </w:r>
          </w:p>
        </w:tc>
        <w:tc>
          <w:tcPr>
            <w:tcW w:w="1350" w:type="dxa"/>
            <w:tcBorders>
              <w:top w:val="single" w:sz="6" w:space="0" w:color="AEAEAE"/>
              <w:left w:val="single" w:sz="6" w:space="0" w:color="AEAEAE"/>
              <w:bottom w:val="single" w:sz="6" w:space="0" w:color="AEAEAE"/>
              <w:right w:val="single" w:sz="6" w:space="0" w:color="AEAEAE"/>
            </w:tcBorders>
            <w:vAlign w:val="center"/>
          </w:tcPr>
          <w:p w14:paraId="0244975B"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1C6F2ED7" w14:textId="77777777" w:rsidR="002D58E4" w:rsidRDefault="00F721D4">
            <w:pPr>
              <w:jc w:val="center"/>
              <w:rPr>
                <w:sz w:val="20"/>
                <w:szCs w:val="20"/>
              </w:rPr>
            </w:pPr>
            <w:r>
              <w:rPr>
                <w:sz w:val="20"/>
                <w:szCs w:val="20"/>
              </w:rPr>
              <w:t>5</w:t>
            </w:r>
          </w:p>
        </w:tc>
        <w:tc>
          <w:tcPr>
            <w:tcW w:w="1080" w:type="dxa"/>
            <w:tcBorders>
              <w:top w:val="single" w:sz="6" w:space="0" w:color="AEAEAE"/>
              <w:left w:val="single" w:sz="6" w:space="0" w:color="AEAEAE"/>
              <w:bottom w:val="single" w:sz="6" w:space="0" w:color="AEAEAE"/>
              <w:right w:val="single" w:sz="6" w:space="0" w:color="AEAEAE"/>
            </w:tcBorders>
            <w:vAlign w:val="center"/>
          </w:tcPr>
          <w:p w14:paraId="7064AB19" w14:textId="77777777" w:rsidR="002D58E4" w:rsidRDefault="00F721D4">
            <w:pPr>
              <w:rPr>
                <w:sz w:val="20"/>
                <w:szCs w:val="20"/>
              </w:rPr>
            </w:pPr>
            <w:r>
              <w:rPr>
                <w:sz w:val="20"/>
                <w:szCs w:val="20"/>
              </w:rPr>
              <w:t xml:space="preserve">mostly </w:t>
            </w:r>
          </w:p>
          <w:p w14:paraId="6104C961" w14:textId="77777777" w:rsidR="002D58E4" w:rsidRDefault="00F721D4">
            <w:pPr>
              <w:rPr>
                <w:sz w:val="20"/>
                <w:szCs w:val="20"/>
              </w:rPr>
            </w:pPr>
            <w:r>
              <w:rPr>
                <w:i/>
                <w:sz w:val="20"/>
                <w:szCs w:val="20"/>
              </w:rPr>
              <w:t>I. ricinus</w:t>
            </w:r>
            <w:r>
              <w:rPr>
                <w:sz w:val="20"/>
                <w:szCs w:val="20"/>
              </w:rPr>
              <w:t>;</w:t>
            </w:r>
          </w:p>
          <w:p w14:paraId="0FAE6C47" w14:textId="77777777" w:rsidR="002D58E4" w:rsidRDefault="00F721D4">
            <w:pPr>
              <w:rPr>
                <w:sz w:val="20"/>
                <w:szCs w:val="20"/>
              </w:rPr>
            </w:pPr>
            <w:r>
              <w:rPr>
                <w:sz w:val="20"/>
                <w:szCs w:val="20"/>
              </w:rPr>
              <w:t>47% of ticks in site 1 were not identifiable</w:t>
            </w:r>
          </w:p>
        </w:tc>
        <w:tc>
          <w:tcPr>
            <w:tcW w:w="2610" w:type="dxa"/>
            <w:tcBorders>
              <w:top w:val="single" w:sz="6" w:space="0" w:color="AEAEAE"/>
              <w:left w:val="single" w:sz="6" w:space="0" w:color="AEAEAE"/>
              <w:bottom w:val="single" w:sz="6" w:space="0" w:color="AEAEAE"/>
              <w:right w:val="single" w:sz="6" w:space="0" w:color="AEAEAE"/>
            </w:tcBorders>
            <w:vAlign w:val="center"/>
          </w:tcPr>
          <w:p w14:paraId="317C91B2" w14:textId="77777777" w:rsidR="002D58E4" w:rsidRDefault="00F721D4">
            <w:pPr>
              <w:rPr>
                <w:sz w:val="20"/>
                <w:szCs w:val="20"/>
              </w:rPr>
            </w:pPr>
            <w:r>
              <w:rPr>
                <w:sz w:val="20"/>
                <w:szCs w:val="20"/>
              </w:rPr>
              <w:t xml:space="preserve">730 patients bitten by ticks and referred to a general practitioner. </w:t>
            </w:r>
          </w:p>
          <w:p w14:paraId="12EE3275" w14:textId="77777777" w:rsidR="002D58E4" w:rsidRDefault="00F721D4">
            <w:pPr>
              <w:rPr>
                <w:sz w:val="20"/>
                <w:szCs w:val="20"/>
              </w:rPr>
            </w:pPr>
            <w:r>
              <w:rPr>
                <w:sz w:val="20"/>
                <w:szCs w:val="20"/>
              </w:rPr>
              <w:t xml:space="preserve">Ticks were tested for </w:t>
            </w:r>
            <w:r>
              <w:rPr>
                <w:i/>
                <w:sz w:val="20"/>
                <w:szCs w:val="20"/>
              </w:rPr>
              <w:t xml:space="preserve">Borrelia </w:t>
            </w:r>
            <w:r>
              <w:rPr>
                <w:sz w:val="20"/>
                <w:szCs w:val="20"/>
              </w:rPr>
              <w:t>infection (</w:t>
            </w:r>
            <w:r>
              <w:rPr>
                <w:b/>
                <w:sz w:val="20"/>
                <w:szCs w:val="20"/>
              </w:rPr>
              <w:t>PCR</w:t>
            </w:r>
            <w:r>
              <w:rPr>
                <w:sz w:val="20"/>
                <w:szCs w:val="20"/>
              </w:rPr>
              <w:t>).</w:t>
            </w:r>
          </w:p>
          <w:p w14:paraId="57126F58" w14:textId="77777777" w:rsidR="002D58E4" w:rsidRDefault="002D58E4">
            <w:pPr>
              <w:rPr>
                <w:sz w:val="20"/>
                <w:szCs w:val="20"/>
              </w:rPr>
            </w:pPr>
          </w:p>
          <w:p w14:paraId="79466FB0" w14:textId="77777777" w:rsidR="002D58E4" w:rsidRDefault="00F721D4">
            <w:pPr>
              <w:rPr>
                <w:sz w:val="20"/>
                <w:szCs w:val="20"/>
              </w:rPr>
            </w:pPr>
            <w:r>
              <w:rPr>
                <w:sz w:val="20"/>
                <w:szCs w:val="20"/>
              </w:rPr>
              <w:t>Patients were followed for 2-6 weeks (site 1) or 8-13 weeks (site 2).</w:t>
            </w:r>
          </w:p>
          <w:p w14:paraId="1E37A249" w14:textId="77777777" w:rsidR="002D58E4" w:rsidRDefault="002D58E4">
            <w:pPr>
              <w:rPr>
                <w:sz w:val="20"/>
                <w:szCs w:val="20"/>
              </w:rPr>
            </w:pPr>
          </w:p>
          <w:p w14:paraId="57597AFF" w14:textId="77777777" w:rsidR="002D58E4" w:rsidRDefault="002D58E4">
            <w:pPr>
              <w:rPr>
                <w:sz w:val="20"/>
                <w:szCs w:val="20"/>
              </w:rPr>
            </w:pP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D0767C" w14:textId="77777777" w:rsidR="002D58E4" w:rsidRDefault="00F721D4">
            <w:pPr>
              <w:rPr>
                <w:sz w:val="20"/>
                <w:szCs w:val="20"/>
              </w:rPr>
            </w:pPr>
            <w:r>
              <w:rPr>
                <w:sz w:val="20"/>
                <w:szCs w:val="20"/>
              </w:rPr>
              <w:t>All patients were followed for Lyme disease symptoms and seroconversion.</w:t>
            </w:r>
          </w:p>
          <w:p w14:paraId="3E5E3176" w14:textId="77777777" w:rsidR="002D58E4" w:rsidRDefault="002D58E4">
            <w:pPr>
              <w:rPr>
                <w:sz w:val="20"/>
                <w:szCs w:val="20"/>
              </w:rPr>
            </w:pPr>
          </w:p>
          <w:p w14:paraId="3E9C6178" w14:textId="77777777" w:rsidR="002D58E4" w:rsidRDefault="00F721D4">
            <w:pPr>
              <w:rPr>
                <w:sz w:val="20"/>
                <w:szCs w:val="20"/>
              </w:rPr>
            </w:pPr>
            <w:r>
              <w:rPr>
                <w:sz w:val="20"/>
                <w:szCs w:val="20"/>
              </w:rPr>
              <w:t>Seroconversion was defined as ≥4-fold titer rise above the cut-off titer in the immunofluorescence assay, a conversion from negative to positive in the IgM enzyme immunoassay, or the unit values of the IgG enzyme immunoassays increased ≥2-fold to a value above the cut-off.</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0541E20" w14:textId="77777777" w:rsidR="002D58E4" w:rsidRDefault="00F721D4">
            <w:pPr>
              <w:rPr>
                <w:sz w:val="20"/>
                <w:szCs w:val="20"/>
              </w:rPr>
            </w:pPr>
            <w:r>
              <w:rPr>
                <w:b/>
                <w:sz w:val="20"/>
                <w:szCs w:val="20"/>
              </w:rPr>
              <w:t>Seroconversion</w:t>
            </w:r>
            <w:r>
              <w:rPr>
                <w:sz w:val="20"/>
                <w:szCs w:val="20"/>
              </w:rPr>
              <w:t xml:space="preserve"> </w:t>
            </w:r>
            <w:r>
              <w:rPr>
                <w:b/>
                <w:sz w:val="20"/>
                <w:szCs w:val="20"/>
              </w:rPr>
              <w:t>and/ or</w:t>
            </w:r>
            <w:r>
              <w:rPr>
                <w:b/>
                <w:sz w:val="21"/>
                <w:szCs w:val="21"/>
              </w:rPr>
              <w:t xml:space="preserve"> “</w:t>
            </w:r>
            <w:r>
              <w:rPr>
                <w:b/>
                <w:sz w:val="20"/>
                <w:szCs w:val="20"/>
              </w:rPr>
              <w:t xml:space="preserve">the clinical criteria” </w:t>
            </w:r>
            <w:r>
              <w:rPr>
                <w:sz w:val="20"/>
                <w:szCs w:val="20"/>
              </w:rPr>
              <w:t>(including non-specific symptoms)</w:t>
            </w:r>
          </w:p>
          <w:p w14:paraId="061469D3" w14:textId="77777777" w:rsidR="002D58E4" w:rsidRDefault="002D58E4">
            <w:pPr>
              <w:rPr>
                <w:sz w:val="20"/>
                <w:szCs w:val="20"/>
              </w:rPr>
            </w:pPr>
          </w:p>
          <w:p w14:paraId="582C7FF8" w14:textId="77777777" w:rsidR="002D58E4" w:rsidRDefault="00F721D4">
            <w:pPr>
              <w:rPr>
                <w:sz w:val="20"/>
                <w:szCs w:val="20"/>
              </w:rPr>
            </w:pPr>
            <w:r>
              <w:rPr>
                <w:sz w:val="20"/>
                <w:szCs w:val="20"/>
                <w:u w:val="single"/>
              </w:rPr>
              <w:t>Note</w:t>
            </w:r>
            <w:r>
              <w:rPr>
                <w:sz w:val="20"/>
                <w:szCs w:val="20"/>
              </w:rPr>
              <w:t>: the transmission from PCR-positive ticks is likely inflated due to the lax criteria for a Lyme disease case; the transmission from PCR-negative ticks is likely underestimated due to the lack of attrition data (the total N of patients followed up after a PCR-negative tick bite was not given and was likely lower than our estimate).</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E362F66" w14:textId="77777777" w:rsidR="002D58E4" w:rsidRDefault="00F721D4">
            <w:pPr>
              <w:rPr>
                <w:sz w:val="20"/>
                <w:szCs w:val="20"/>
              </w:rPr>
            </w:pPr>
            <w:r>
              <w:rPr>
                <w:sz w:val="20"/>
                <w:szCs w:val="20"/>
              </w:rPr>
              <w:t xml:space="preserve">Overall, </w:t>
            </w:r>
            <w:r>
              <w:rPr>
                <w:b/>
                <w:sz w:val="20"/>
                <w:szCs w:val="20"/>
              </w:rPr>
              <w:t>11% of ticks were positive</w:t>
            </w:r>
            <w:r>
              <w:rPr>
                <w:sz w:val="20"/>
                <w:szCs w:val="20"/>
              </w:rPr>
              <w:t xml:space="preserve"> for </w:t>
            </w:r>
            <w:r>
              <w:rPr>
                <w:i/>
                <w:sz w:val="20"/>
                <w:szCs w:val="20"/>
              </w:rPr>
              <w:t>B. burgdorferi</w:t>
            </w:r>
            <w:r>
              <w:rPr>
                <w:sz w:val="20"/>
                <w:szCs w:val="20"/>
              </w:rPr>
              <w:t xml:space="preserve">.  The total transmission rate was </w:t>
            </w:r>
            <w:r>
              <w:rPr>
                <w:b/>
                <w:sz w:val="20"/>
                <w:szCs w:val="20"/>
              </w:rPr>
              <w:t>2.6%</w:t>
            </w:r>
            <w:r>
              <w:rPr>
                <w:sz w:val="20"/>
                <w:szCs w:val="20"/>
              </w:rPr>
              <w:t xml:space="preserve"> (19 out of 730), and the transmission from PCR- positive ticks was </w:t>
            </w:r>
            <w:r>
              <w:rPr>
                <w:b/>
                <w:sz w:val="20"/>
                <w:szCs w:val="20"/>
              </w:rPr>
              <w:t>24.6%</w:t>
            </w:r>
            <w:r>
              <w:rPr>
                <w:sz w:val="20"/>
                <w:szCs w:val="20"/>
              </w:rPr>
              <w:t xml:space="preserve"> (16 out of 65)</w:t>
            </w:r>
          </w:p>
          <w:p w14:paraId="3FC541E2" w14:textId="77777777" w:rsidR="002D58E4" w:rsidRDefault="002D58E4">
            <w:pPr>
              <w:rPr>
                <w:sz w:val="20"/>
                <w:szCs w:val="20"/>
              </w:rPr>
            </w:pPr>
          </w:p>
          <w:p w14:paraId="0D7D4F2D" w14:textId="77777777" w:rsidR="002D58E4" w:rsidRDefault="00F721D4">
            <w:pPr>
              <w:rPr>
                <w:sz w:val="20"/>
                <w:szCs w:val="20"/>
              </w:rPr>
            </w:pPr>
            <w:r>
              <w:rPr>
                <w:i/>
                <w:sz w:val="20"/>
                <w:szCs w:val="20"/>
              </w:rPr>
              <w:t>2-6 weeks after bite</w:t>
            </w:r>
            <w:r>
              <w:rPr>
                <w:b/>
                <w:i/>
                <w:sz w:val="20"/>
                <w:szCs w:val="20"/>
              </w:rPr>
              <w:t xml:space="preserve"> </w:t>
            </w:r>
            <w:r>
              <w:rPr>
                <w:i/>
                <w:sz w:val="20"/>
                <w:szCs w:val="20"/>
              </w:rPr>
              <w:t>(Site 1):</w:t>
            </w:r>
          </w:p>
          <w:p w14:paraId="1B531D2F" w14:textId="77777777" w:rsidR="002D58E4" w:rsidRDefault="00F721D4">
            <w:pPr>
              <w:rPr>
                <w:sz w:val="20"/>
                <w:szCs w:val="20"/>
              </w:rPr>
            </w:pPr>
            <w:r>
              <w:rPr>
                <w:sz w:val="20"/>
                <w:szCs w:val="20"/>
              </w:rPr>
              <w:t xml:space="preserve">Patients bitten by </w:t>
            </w:r>
            <w:r>
              <w:rPr>
                <w:sz w:val="20"/>
                <w:szCs w:val="20"/>
                <w:u w:val="single"/>
              </w:rPr>
              <w:t>ticks tested positive</w:t>
            </w:r>
            <w:r>
              <w:rPr>
                <w:sz w:val="20"/>
                <w:szCs w:val="20"/>
              </w:rPr>
              <w:t xml:space="preserve"> for </w:t>
            </w:r>
            <w:r>
              <w:rPr>
                <w:i/>
                <w:sz w:val="20"/>
                <w:szCs w:val="20"/>
              </w:rPr>
              <w:t xml:space="preserve">Borrelia </w:t>
            </w:r>
            <w:r>
              <w:rPr>
                <w:sz w:val="20"/>
                <w:szCs w:val="20"/>
              </w:rPr>
              <w:t xml:space="preserve">infection:  </w:t>
            </w:r>
            <w:r>
              <w:rPr>
                <w:b/>
                <w:sz w:val="20"/>
                <w:szCs w:val="20"/>
              </w:rPr>
              <w:t>21.0%</w:t>
            </w:r>
            <w:r>
              <w:rPr>
                <w:sz w:val="20"/>
                <w:szCs w:val="20"/>
              </w:rPr>
              <w:t xml:space="preserve"> (8 out of 38).</w:t>
            </w:r>
          </w:p>
          <w:p w14:paraId="5E935184" w14:textId="77777777" w:rsidR="002D58E4" w:rsidRDefault="00F721D4">
            <w:pPr>
              <w:rPr>
                <w:sz w:val="20"/>
                <w:szCs w:val="20"/>
              </w:rPr>
            </w:pPr>
            <w:r>
              <w:rPr>
                <w:sz w:val="20"/>
                <w:szCs w:val="20"/>
              </w:rPr>
              <w:t xml:space="preserve">Patients bitten by </w:t>
            </w:r>
            <w:r>
              <w:rPr>
                <w:sz w:val="20"/>
                <w:szCs w:val="20"/>
                <w:u w:val="single"/>
              </w:rPr>
              <w:t>ticks tested negative</w:t>
            </w:r>
            <w:r>
              <w:rPr>
                <w:sz w:val="20"/>
                <w:szCs w:val="20"/>
              </w:rPr>
              <w:t xml:space="preserve"> for Borrelia infection: </w:t>
            </w:r>
            <w:r>
              <w:rPr>
                <w:b/>
                <w:sz w:val="20"/>
                <w:szCs w:val="20"/>
              </w:rPr>
              <w:t>0.7%</w:t>
            </w:r>
            <w:r>
              <w:rPr>
                <w:sz w:val="20"/>
                <w:szCs w:val="20"/>
              </w:rPr>
              <w:t xml:space="preserve"> (2 out of 307).</w:t>
            </w:r>
          </w:p>
          <w:p w14:paraId="54AB0CB1" w14:textId="77777777" w:rsidR="002D58E4" w:rsidRDefault="002D58E4">
            <w:pPr>
              <w:rPr>
                <w:sz w:val="20"/>
                <w:szCs w:val="20"/>
              </w:rPr>
            </w:pPr>
          </w:p>
          <w:p w14:paraId="4112D70A" w14:textId="77777777" w:rsidR="002D58E4" w:rsidRDefault="00F721D4">
            <w:pPr>
              <w:rPr>
                <w:i/>
                <w:sz w:val="20"/>
                <w:szCs w:val="20"/>
              </w:rPr>
            </w:pPr>
            <w:r>
              <w:rPr>
                <w:i/>
                <w:sz w:val="20"/>
                <w:szCs w:val="20"/>
              </w:rPr>
              <w:t xml:space="preserve">8-13 weeks after bite (site 2): </w:t>
            </w:r>
          </w:p>
          <w:p w14:paraId="0AD07453" w14:textId="77777777" w:rsidR="002D58E4" w:rsidRDefault="00F721D4">
            <w:pPr>
              <w:rPr>
                <w:sz w:val="20"/>
                <w:szCs w:val="20"/>
              </w:rPr>
            </w:pPr>
            <w:r>
              <w:rPr>
                <w:sz w:val="20"/>
                <w:szCs w:val="20"/>
              </w:rPr>
              <w:t xml:space="preserve">Patients bitten by </w:t>
            </w:r>
            <w:r>
              <w:rPr>
                <w:sz w:val="20"/>
                <w:szCs w:val="20"/>
                <w:u w:val="single"/>
              </w:rPr>
              <w:t>ticks tested positive</w:t>
            </w:r>
            <w:r>
              <w:rPr>
                <w:sz w:val="20"/>
                <w:szCs w:val="20"/>
              </w:rPr>
              <w:t xml:space="preserve"> for </w:t>
            </w:r>
            <w:r>
              <w:rPr>
                <w:i/>
                <w:sz w:val="20"/>
                <w:szCs w:val="20"/>
              </w:rPr>
              <w:t xml:space="preserve">Borrelia </w:t>
            </w:r>
            <w:r>
              <w:rPr>
                <w:sz w:val="20"/>
                <w:szCs w:val="20"/>
              </w:rPr>
              <w:t xml:space="preserve">infection:  </w:t>
            </w:r>
            <w:r>
              <w:rPr>
                <w:b/>
                <w:sz w:val="20"/>
                <w:szCs w:val="20"/>
              </w:rPr>
              <w:t>29.6%</w:t>
            </w:r>
            <w:r>
              <w:rPr>
                <w:sz w:val="20"/>
                <w:szCs w:val="20"/>
              </w:rPr>
              <w:t xml:space="preserve"> (8 out of 27).</w:t>
            </w:r>
          </w:p>
          <w:p w14:paraId="7A0B57E2" w14:textId="77777777" w:rsidR="002D58E4" w:rsidRDefault="00F721D4">
            <w:pPr>
              <w:rPr>
                <w:sz w:val="20"/>
                <w:szCs w:val="20"/>
              </w:rPr>
            </w:pPr>
            <w:r>
              <w:rPr>
                <w:sz w:val="20"/>
                <w:szCs w:val="20"/>
              </w:rPr>
              <w:t xml:space="preserve">Patients bitten by </w:t>
            </w:r>
            <w:r>
              <w:rPr>
                <w:sz w:val="20"/>
                <w:szCs w:val="20"/>
                <w:u w:val="single"/>
              </w:rPr>
              <w:t>ticks tested negative</w:t>
            </w:r>
            <w:r>
              <w:rPr>
                <w:sz w:val="20"/>
                <w:szCs w:val="20"/>
              </w:rPr>
              <w:t xml:space="preserve"> for Borrelia infection: </w:t>
            </w:r>
            <w:r>
              <w:rPr>
                <w:b/>
                <w:sz w:val="20"/>
                <w:szCs w:val="20"/>
              </w:rPr>
              <w:t>0.3%</w:t>
            </w:r>
            <w:r>
              <w:rPr>
                <w:sz w:val="20"/>
                <w:szCs w:val="20"/>
              </w:rPr>
              <w:t xml:space="preserve"> (1 out of 358).</w:t>
            </w:r>
          </w:p>
          <w:p w14:paraId="20378119" w14:textId="77777777" w:rsidR="002D58E4" w:rsidRDefault="002D58E4">
            <w:pPr>
              <w:rPr>
                <w:sz w:val="20"/>
                <w:szCs w:val="20"/>
              </w:rPr>
            </w:pPr>
          </w:p>
          <w:p w14:paraId="0C6069A3" w14:textId="77777777" w:rsidR="002D58E4" w:rsidRDefault="002D58E4">
            <w:pPr>
              <w:rPr>
                <w:sz w:val="20"/>
                <w:szCs w:val="20"/>
              </w:rPr>
            </w:pPr>
          </w:p>
        </w:tc>
      </w:tr>
      <w:tr w:rsidR="002D58E4" w14:paraId="56EC5879" w14:textId="77777777" w:rsidTr="00E40AB3">
        <w:trPr>
          <w:trHeight w:val="541"/>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698891A" w14:textId="77777777" w:rsidR="002D58E4" w:rsidRDefault="00F721D4">
            <w:pPr>
              <w:rPr>
                <w:sz w:val="20"/>
                <w:szCs w:val="20"/>
              </w:rPr>
            </w:pPr>
            <w:r>
              <w:rPr>
                <w:sz w:val="20"/>
                <w:szCs w:val="20"/>
              </w:rPr>
              <w:t>Fryland, 2011</w:t>
            </w:r>
          </w:p>
          <w:p w14:paraId="14D087F5" w14:textId="77777777" w:rsidR="002D58E4" w:rsidRDefault="002D58E4">
            <w:pPr>
              <w:rPr>
                <w:sz w:val="20"/>
                <w:szCs w:val="20"/>
              </w:rPr>
            </w:pPr>
          </w:p>
          <w:p w14:paraId="1EFC8FDB" w14:textId="77777777" w:rsidR="002D58E4" w:rsidRDefault="00F721D4">
            <w:pPr>
              <w:rPr>
                <w:sz w:val="20"/>
                <w:szCs w:val="20"/>
              </w:rPr>
            </w:pPr>
            <w:r>
              <w:rPr>
                <w:sz w:val="20"/>
                <w:szCs w:val="20"/>
              </w:rPr>
              <w:t>Sweden</w:t>
            </w:r>
          </w:p>
        </w:tc>
        <w:tc>
          <w:tcPr>
            <w:tcW w:w="1350" w:type="dxa"/>
            <w:tcBorders>
              <w:top w:val="single" w:sz="6" w:space="0" w:color="AEAEAE"/>
              <w:left w:val="single" w:sz="6" w:space="0" w:color="AEAEAE"/>
              <w:bottom w:val="single" w:sz="6" w:space="0" w:color="AEAEAE"/>
              <w:right w:val="single" w:sz="6" w:space="0" w:color="AEAEAE"/>
            </w:tcBorders>
            <w:vAlign w:val="center"/>
          </w:tcPr>
          <w:p w14:paraId="5A2793D5"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3B5F32F6" w14:textId="77777777" w:rsidR="002D58E4" w:rsidRDefault="00F721D4">
            <w:pPr>
              <w:jc w:val="center"/>
              <w:rPr>
                <w:sz w:val="20"/>
                <w:szCs w:val="20"/>
              </w:rPr>
            </w:pPr>
            <w:r>
              <w:rPr>
                <w:sz w:val="20"/>
                <w:szCs w:val="20"/>
              </w:rPr>
              <w:t>8</w:t>
            </w:r>
          </w:p>
        </w:tc>
        <w:tc>
          <w:tcPr>
            <w:tcW w:w="1080" w:type="dxa"/>
            <w:tcBorders>
              <w:top w:val="single" w:sz="6" w:space="0" w:color="AEAEAE"/>
              <w:left w:val="single" w:sz="6" w:space="0" w:color="AEAEAE"/>
              <w:bottom w:val="single" w:sz="6" w:space="0" w:color="AEAEAE"/>
              <w:right w:val="single" w:sz="6" w:space="0" w:color="AEAEAE"/>
            </w:tcBorders>
            <w:vAlign w:val="center"/>
          </w:tcPr>
          <w:p w14:paraId="4E32E660" w14:textId="77777777" w:rsidR="002D58E4" w:rsidRDefault="00F721D4">
            <w:pPr>
              <w:rPr>
                <w:sz w:val="20"/>
                <w:szCs w:val="20"/>
              </w:rPr>
            </w:pPr>
            <w:r>
              <w:rPr>
                <w:sz w:val="20"/>
                <w:szCs w:val="20"/>
              </w:rPr>
              <w:t>Ticks not specified</w:t>
            </w:r>
          </w:p>
        </w:tc>
        <w:tc>
          <w:tcPr>
            <w:tcW w:w="2610" w:type="dxa"/>
            <w:tcBorders>
              <w:top w:val="single" w:sz="6" w:space="0" w:color="AEAEAE"/>
              <w:left w:val="single" w:sz="6" w:space="0" w:color="AEAEAE"/>
              <w:bottom w:val="single" w:sz="6" w:space="0" w:color="AEAEAE"/>
              <w:right w:val="single" w:sz="6" w:space="0" w:color="AEAEAE"/>
            </w:tcBorders>
            <w:vAlign w:val="center"/>
          </w:tcPr>
          <w:p w14:paraId="11BCD701" w14:textId="77777777" w:rsidR="002D58E4" w:rsidRDefault="00F721D4">
            <w:pPr>
              <w:rPr>
                <w:sz w:val="20"/>
                <w:szCs w:val="20"/>
              </w:rPr>
            </w:pPr>
            <w:r>
              <w:rPr>
                <w:sz w:val="20"/>
                <w:szCs w:val="20"/>
              </w:rPr>
              <w:t>394 subjects ≥18 y.o. who were bitten by a tick and brought it to the primary health center visit.</w:t>
            </w:r>
          </w:p>
          <w:p w14:paraId="14910AF2" w14:textId="77777777" w:rsidR="002D58E4" w:rsidRDefault="00F721D4">
            <w:pPr>
              <w:rPr>
                <w:sz w:val="20"/>
                <w:szCs w:val="20"/>
              </w:rPr>
            </w:pPr>
            <w:r>
              <w:rPr>
                <w:sz w:val="20"/>
                <w:szCs w:val="20"/>
              </w:rPr>
              <w:t xml:space="preserve">Ticks were screened for </w:t>
            </w:r>
            <w:r>
              <w:rPr>
                <w:i/>
                <w:sz w:val="20"/>
                <w:szCs w:val="20"/>
              </w:rPr>
              <w:t xml:space="preserve">Borrelia </w:t>
            </w:r>
            <w:r>
              <w:rPr>
                <w:sz w:val="20"/>
                <w:szCs w:val="20"/>
              </w:rPr>
              <w:t xml:space="preserve">DNA with PCR. </w:t>
            </w:r>
          </w:p>
          <w:p w14:paraId="1B5DA7A1" w14:textId="77777777" w:rsidR="002D58E4" w:rsidRDefault="002D58E4">
            <w:pPr>
              <w:rPr>
                <w:sz w:val="20"/>
                <w:szCs w:val="20"/>
              </w:rPr>
            </w:pPr>
          </w:p>
          <w:p w14:paraId="72F48A6D" w14:textId="77777777" w:rsidR="002D58E4" w:rsidRDefault="00F721D4">
            <w:pPr>
              <w:rPr>
                <w:sz w:val="20"/>
                <w:szCs w:val="20"/>
              </w:rPr>
            </w:pPr>
            <w:r>
              <w:rPr>
                <w:sz w:val="20"/>
                <w:szCs w:val="20"/>
              </w:rPr>
              <w:t>Patients were followed for 3 months.</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A6F679E" w14:textId="77777777" w:rsidR="002D58E4" w:rsidRDefault="00F721D4">
            <w:pPr>
              <w:rPr>
                <w:sz w:val="20"/>
                <w:szCs w:val="20"/>
              </w:rPr>
            </w:pPr>
            <w:r>
              <w:rPr>
                <w:sz w:val="20"/>
                <w:szCs w:val="20"/>
              </w:rPr>
              <w:t xml:space="preserve">Patients were followed for Lyme disease symptoms and seroconversion (using two ELISA assays). </w:t>
            </w:r>
          </w:p>
          <w:p w14:paraId="0EE6E128" w14:textId="77777777" w:rsidR="002D58E4" w:rsidRDefault="00F721D4">
            <w:pPr>
              <w:rPr>
                <w:sz w:val="20"/>
                <w:szCs w:val="20"/>
              </w:rPr>
            </w:pPr>
            <w:r>
              <w:rPr>
                <w:sz w:val="20"/>
                <w:szCs w:val="20"/>
              </w:rPr>
              <w:t>Seroconversion was defined as an at least 2-fold increase in anti-Bb antibodies after 3 months, confirmed using a Strip-Immunoassay.</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A587D51" w14:textId="77777777" w:rsidR="002D58E4" w:rsidRDefault="00F721D4">
            <w:pPr>
              <w:rPr>
                <w:b/>
                <w:sz w:val="20"/>
                <w:szCs w:val="20"/>
              </w:rPr>
            </w:pPr>
            <w:r>
              <w:rPr>
                <w:b/>
                <w:sz w:val="20"/>
                <w:szCs w:val="20"/>
              </w:rPr>
              <w:t>Seroconversion</w:t>
            </w:r>
            <w:r>
              <w:rPr>
                <w:sz w:val="20"/>
                <w:szCs w:val="20"/>
              </w:rPr>
              <w:t xml:space="preserve"> was deemed sufficient for active </w:t>
            </w:r>
            <w:r>
              <w:rPr>
                <w:i/>
                <w:sz w:val="20"/>
                <w:szCs w:val="20"/>
              </w:rPr>
              <w:t>B. burgdorferi</w:t>
            </w:r>
            <w:r>
              <w:rPr>
                <w:sz w:val="20"/>
                <w:szCs w:val="20"/>
              </w:rPr>
              <w:t xml:space="preserve"> infection </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FCC78B3" w14:textId="77777777" w:rsidR="002D58E4" w:rsidRDefault="00F721D4">
            <w:pPr>
              <w:rPr>
                <w:sz w:val="20"/>
                <w:szCs w:val="20"/>
              </w:rPr>
            </w:pPr>
            <w:r>
              <w:rPr>
                <w:sz w:val="20"/>
                <w:szCs w:val="20"/>
              </w:rPr>
              <w:t xml:space="preserve">Overall, </w:t>
            </w:r>
            <w:r>
              <w:rPr>
                <w:b/>
                <w:sz w:val="20"/>
                <w:szCs w:val="20"/>
              </w:rPr>
              <w:t>19% of ticks were positive</w:t>
            </w:r>
            <w:r>
              <w:rPr>
                <w:sz w:val="20"/>
                <w:szCs w:val="20"/>
              </w:rPr>
              <w:t xml:space="preserve"> for </w:t>
            </w:r>
            <w:r>
              <w:rPr>
                <w:i/>
                <w:sz w:val="20"/>
                <w:szCs w:val="20"/>
              </w:rPr>
              <w:t>B. burgdorferi.</w:t>
            </w:r>
            <w:r>
              <w:rPr>
                <w:sz w:val="20"/>
                <w:szCs w:val="20"/>
              </w:rPr>
              <w:t xml:space="preserve">  </w:t>
            </w:r>
          </w:p>
          <w:p w14:paraId="223F3090" w14:textId="77777777" w:rsidR="002D58E4" w:rsidRDefault="002D58E4">
            <w:pPr>
              <w:rPr>
                <w:sz w:val="20"/>
                <w:szCs w:val="20"/>
              </w:rPr>
            </w:pPr>
          </w:p>
          <w:p w14:paraId="6D36CD5D" w14:textId="77777777" w:rsidR="002D58E4" w:rsidRDefault="00F721D4">
            <w:pPr>
              <w:rPr>
                <w:sz w:val="20"/>
                <w:szCs w:val="20"/>
              </w:rPr>
            </w:pPr>
            <w:r>
              <w:rPr>
                <w:sz w:val="20"/>
                <w:szCs w:val="20"/>
              </w:rPr>
              <w:t>Seroconversion at 3 months:</w:t>
            </w:r>
          </w:p>
          <w:p w14:paraId="6A716CCE" w14:textId="77777777" w:rsidR="002D58E4" w:rsidRDefault="00F721D4">
            <w:pPr>
              <w:rPr>
                <w:sz w:val="20"/>
                <w:szCs w:val="20"/>
              </w:rPr>
            </w:pPr>
            <w:r>
              <w:rPr>
                <w:sz w:val="20"/>
                <w:szCs w:val="20"/>
              </w:rPr>
              <w:t xml:space="preserve">Patients bitten by (+) tested ticks: </w:t>
            </w:r>
            <w:r>
              <w:rPr>
                <w:b/>
                <w:sz w:val="20"/>
                <w:szCs w:val="20"/>
              </w:rPr>
              <w:t>6.3%</w:t>
            </w:r>
            <w:r>
              <w:rPr>
                <w:sz w:val="20"/>
                <w:szCs w:val="20"/>
              </w:rPr>
              <w:t xml:space="preserve"> (4 out of 64)</w:t>
            </w:r>
          </w:p>
          <w:p w14:paraId="1C681D24" w14:textId="77777777" w:rsidR="002D58E4" w:rsidRDefault="00F721D4">
            <w:pPr>
              <w:rPr>
                <w:sz w:val="20"/>
                <w:szCs w:val="20"/>
              </w:rPr>
            </w:pPr>
            <w:r>
              <w:rPr>
                <w:sz w:val="20"/>
                <w:szCs w:val="20"/>
              </w:rPr>
              <w:t xml:space="preserve">Patients bitten by (-) tested ticks: </w:t>
            </w:r>
            <w:r>
              <w:rPr>
                <w:b/>
                <w:sz w:val="20"/>
                <w:szCs w:val="20"/>
              </w:rPr>
              <w:t>2.5%</w:t>
            </w:r>
            <w:r>
              <w:rPr>
                <w:sz w:val="20"/>
                <w:szCs w:val="20"/>
              </w:rPr>
              <w:t xml:space="preserve"> (7 out of 277).</w:t>
            </w:r>
          </w:p>
          <w:p w14:paraId="61329CAF" w14:textId="77777777" w:rsidR="002D58E4" w:rsidRDefault="002D58E4">
            <w:pPr>
              <w:rPr>
                <w:sz w:val="20"/>
                <w:szCs w:val="20"/>
              </w:rPr>
            </w:pPr>
          </w:p>
          <w:p w14:paraId="6DB1BEA9" w14:textId="77777777" w:rsidR="002D58E4" w:rsidRDefault="00F721D4">
            <w:pPr>
              <w:rPr>
                <w:sz w:val="20"/>
                <w:szCs w:val="20"/>
              </w:rPr>
            </w:pPr>
            <w:r>
              <w:rPr>
                <w:sz w:val="20"/>
                <w:szCs w:val="20"/>
              </w:rPr>
              <w:t>The only patient with Lyme-specific symptoms (EM + seroconversion) was bitten by a tick that tested negative for Bb.</w:t>
            </w:r>
          </w:p>
        </w:tc>
      </w:tr>
      <w:tr w:rsidR="002D58E4" w14:paraId="60271439" w14:textId="77777777">
        <w:trPr>
          <w:trHeight w:val="388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40AF632" w14:textId="77777777" w:rsidR="002D58E4" w:rsidRDefault="00F721D4">
            <w:pPr>
              <w:rPr>
                <w:sz w:val="20"/>
                <w:szCs w:val="20"/>
              </w:rPr>
            </w:pPr>
            <w:r>
              <w:rPr>
                <w:sz w:val="20"/>
                <w:szCs w:val="20"/>
              </w:rPr>
              <w:lastRenderedPageBreak/>
              <w:t>Huegli, 2011</w:t>
            </w:r>
          </w:p>
          <w:p w14:paraId="7393A6A4" w14:textId="77777777" w:rsidR="002D58E4" w:rsidRDefault="002D58E4">
            <w:pPr>
              <w:rPr>
                <w:sz w:val="20"/>
                <w:szCs w:val="20"/>
              </w:rPr>
            </w:pPr>
          </w:p>
          <w:p w14:paraId="026CD08D" w14:textId="77777777" w:rsidR="002D58E4" w:rsidRDefault="00F721D4">
            <w:pPr>
              <w:rPr>
                <w:sz w:val="20"/>
                <w:szCs w:val="20"/>
              </w:rPr>
            </w:pPr>
            <w:r>
              <w:rPr>
                <w:sz w:val="20"/>
                <w:szCs w:val="20"/>
              </w:rPr>
              <w:t>Switzerland</w:t>
            </w:r>
          </w:p>
        </w:tc>
        <w:tc>
          <w:tcPr>
            <w:tcW w:w="1350" w:type="dxa"/>
            <w:tcBorders>
              <w:top w:val="single" w:sz="6" w:space="0" w:color="AEAEAE"/>
              <w:left w:val="single" w:sz="6" w:space="0" w:color="AEAEAE"/>
              <w:bottom w:val="single" w:sz="6" w:space="0" w:color="AEAEAE"/>
              <w:right w:val="single" w:sz="6" w:space="0" w:color="AEAEAE"/>
            </w:tcBorders>
            <w:vAlign w:val="center"/>
          </w:tcPr>
          <w:p w14:paraId="23896526"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68FA37EC" w14:textId="77777777" w:rsidR="002D58E4" w:rsidRDefault="00F721D4">
            <w:pPr>
              <w:jc w:val="center"/>
              <w:rPr>
                <w:sz w:val="20"/>
                <w:szCs w:val="20"/>
              </w:rPr>
            </w:pPr>
            <w:r>
              <w:rPr>
                <w:sz w:val="20"/>
                <w:szCs w:val="20"/>
              </w:rPr>
              <w:t>7</w:t>
            </w:r>
          </w:p>
        </w:tc>
        <w:tc>
          <w:tcPr>
            <w:tcW w:w="1080" w:type="dxa"/>
            <w:tcBorders>
              <w:top w:val="single" w:sz="6" w:space="0" w:color="AEAEAE"/>
              <w:left w:val="single" w:sz="6" w:space="0" w:color="AEAEAE"/>
              <w:bottom w:val="single" w:sz="6" w:space="0" w:color="AEAEAE"/>
              <w:right w:val="single" w:sz="6" w:space="0" w:color="AEAEAE"/>
            </w:tcBorders>
            <w:vAlign w:val="center"/>
          </w:tcPr>
          <w:p w14:paraId="624056C3" w14:textId="77777777" w:rsidR="002D58E4" w:rsidRDefault="00F721D4">
            <w:pPr>
              <w:rPr>
                <w:i/>
                <w:sz w:val="20"/>
                <w:szCs w:val="20"/>
              </w:rPr>
            </w:pPr>
            <w:r>
              <w:rPr>
                <w:i/>
                <w:sz w:val="20"/>
                <w:szCs w:val="20"/>
              </w:rPr>
              <w:t>I. ricinus</w:t>
            </w:r>
          </w:p>
        </w:tc>
        <w:tc>
          <w:tcPr>
            <w:tcW w:w="2610" w:type="dxa"/>
            <w:tcBorders>
              <w:top w:val="single" w:sz="6" w:space="0" w:color="AEAEAE"/>
              <w:left w:val="single" w:sz="6" w:space="0" w:color="AEAEAE"/>
              <w:bottom w:val="single" w:sz="6" w:space="0" w:color="AEAEAE"/>
              <w:right w:val="single" w:sz="6" w:space="0" w:color="AEAEAE"/>
            </w:tcBorders>
            <w:vAlign w:val="center"/>
          </w:tcPr>
          <w:p w14:paraId="594D649C" w14:textId="77777777" w:rsidR="002D58E4" w:rsidRDefault="00F721D4">
            <w:pPr>
              <w:rPr>
                <w:sz w:val="20"/>
                <w:szCs w:val="20"/>
              </w:rPr>
            </w:pPr>
            <w:r>
              <w:rPr>
                <w:sz w:val="20"/>
                <w:szCs w:val="20"/>
              </w:rPr>
              <w:t>474 patients bitten by ticks and referred to a physician.</w:t>
            </w:r>
          </w:p>
          <w:p w14:paraId="0919927C" w14:textId="77777777" w:rsidR="002D58E4" w:rsidRDefault="00F721D4">
            <w:pPr>
              <w:rPr>
                <w:sz w:val="20"/>
                <w:szCs w:val="20"/>
              </w:rPr>
            </w:pPr>
            <w:r>
              <w:rPr>
                <w:sz w:val="20"/>
                <w:szCs w:val="20"/>
              </w:rPr>
              <w:t xml:space="preserve">Ticks were tested for </w:t>
            </w:r>
            <w:r>
              <w:rPr>
                <w:i/>
                <w:sz w:val="20"/>
                <w:szCs w:val="20"/>
              </w:rPr>
              <w:t>Borrelia</w:t>
            </w:r>
            <w:r>
              <w:rPr>
                <w:sz w:val="20"/>
                <w:szCs w:val="20"/>
              </w:rPr>
              <w:t xml:space="preserve"> infection (</w:t>
            </w:r>
            <w:r>
              <w:rPr>
                <w:b/>
                <w:sz w:val="20"/>
                <w:szCs w:val="20"/>
              </w:rPr>
              <w:t>PCR</w:t>
            </w:r>
            <w:r>
              <w:rPr>
                <w:sz w:val="20"/>
                <w:szCs w:val="20"/>
              </w:rPr>
              <w:t>).</w:t>
            </w:r>
          </w:p>
          <w:p w14:paraId="35156269" w14:textId="77777777" w:rsidR="002D58E4" w:rsidRDefault="002D58E4">
            <w:pPr>
              <w:rPr>
                <w:sz w:val="20"/>
                <w:szCs w:val="20"/>
              </w:rPr>
            </w:pPr>
          </w:p>
          <w:p w14:paraId="106D14F0" w14:textId="77777777" w:rsidR="002D58E4" w:rsidRDefault="00F721D4">
            <w:pPr>
              <w:rPr>
                <w:sz w:val="20"/>
                <w:szCs w:val="20"/>
              </w:rPr>
            </w:pPr>
            <w:r>
              <w:rPr>
                <w:sz w:val="20"/>
                <w:szCs w:val="20"/>
              </w:rPr>
              <w:t>Patients were followed for 8 weeks</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3C8F6E8" w14:textId="77777777" w:rsidR="002D58E4" w:rsidRDefault="00F721D4">
            <w:pPr>
              <w:rPr>
                <w:sz w:val="20"/>
                <w:szCs w:val="20"/>
              </w:rPr>
            </w:pPr>
            <w:r>
              <w:rPr>
                <w:sz w:val="20"/>
                <w:szCs w:val="20"/>
              </w:rPr>
              <w:t>All patients were followed for Lyme disease symptoms and seroconversion.</w:t>
            </w:r>
          </w:p>
          <w:p w14:paraId="0FB4F335" w14:textId="77777777" w:rsidR="002D58E4" w:rsidRDefault="002D58E4">
            <w:pPr>
              <w:rPr>
                <w:sz w:val="20"/>
                <w:szCs w:val="20"/>
              </w:rPr>
            </w:pPr>
          </w:p>
          <w:p w14:paraId="2BE2F253" w14:textId="77777777" w:rsidR="002D58E4" w:rsidRDefault="00F721D4">
            <w:pPr>
              <w:rPr>
                <w:sz w:val="20"/>
                <w:szCs w:val="20"/>
              </w:rPr>
            </w:pPr>
            <w:r>
              <w:rPr>
                <w:sz w:val="20"/>
                <w:szCs w:val="20"/>
              </w:rPr>
              <w:t xml:space="preserve">Patients were screened by EIA tests for IgM and IgG, and </w:t>
            </w:r>
            <w:r>
              <w:rPr>
                <w:b/>
                <w:sz w:val="20"/>
                <w:szCs w:val="20"/>
              </w:rPr>
              <w:t>seroconversion</w:t>
            </w:r>
            <w:r>
              <w:rPr>
                <w:sz w:val="20"/>
                <w:szCs w:val="20"/>
              </w:rPr>
              <w:t xml:space="preserve"> at 8 weeks (change from a (-) to a (+) index, from equivocal to (+) or from (-) to equivocal but with an index increase corresponding to 0.236 for IgM and 0.077 for IgG) was confirmed by immunoblot.</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C772B3A" w14:textId="77777777" w:rsidR="002D58E4" w:rsidRDefault="00F721D4">
            <w:pPr>
              <w:rPr>
                <w:b/>
                <w:sz w:val="20"/>
                <w:szCs w:val="20"/>
              </w:rPr>
            </w:pPr>
            <w:r>
              <w:rPr>
                <w:b/>
                <w:sz w:val="20"/>
                <w:szCs w:val="20"/>
              </w:rPr>
              <w:t xml:space="preserve">Clinical manifestations of infection with </w:t>
            </w:r>
            <w:r>
              <w:rPr>
                <w:b/>
                <w:i/>
                <w:sz w:val="20"/>
                <w:szCs w:val="20"/>
              </w:rPr>
              <w:t>B. burgdorferi</w:t>
            </w:r>
            <w:r>
              <w:rPr>
                <w:b/>
                <w:sz w:val="20"/>
                <w:szCs w:val="20"/>
              </w:rPr>
              <w:t xml:space="preserve"> </w:t>
            </w:r>
            <w:r>
              <w:rPr>
                <w:sz w:val="20"/>
                <w:szCs w:val="20"/>
              </w:rPr>
              <w:t>(defined as</w:t>
            </w:r>
            <w:r>
              <w:rPr>
                <w:b/>
                <w:sz w:val="20"/>
                <w:szCs w:val="20"/>
              </w:rPr>
              <w:t xml:space="preserve"> EM) or seroconversion </w:t>
            </w:r>
            <w:r>
              <w:rPr>
                <w:sz w:val="20"/>
                <w:szCs w:val="20"/>
              </w:rPr>
              <w:t>(“asymptomatic infection”)</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2C21814" w14:textId="77777777" w:rsidR="002D58E4" w:rsidRDefault="00F721D4">
            <w:pPr>
              <w:rPr>
                <w:sz w:val="20"/>
                <w:szCs w:val="20"/>
              </w:rPr>
            </w:pPr>
            <w:r>
              <w:rPr>
                <w:sz w:val="20"/>
                <w:szCs w:val="20"/>
              </w:rPr>
              <w:t xml:space="preserve">Overall, </w:t>
            </w:r>
            <w:r>
              <w:rPr>
                <w:b/>
                <w:sz w:val="20"/>
                <w:szCs w:val="20"/>
              </w:rPr>
              <w:t>33% of ticks were positive</w:t>
            </w:r>
            <w:r>
              <w:rPr>
                <w:sz w:val="20"/>
                <w:szCs w:val="20"/>
              </w:rPr>
              <w:t xml:space="preserve"> for </w:t>
            </w:r>
            <w:r>
              <w:rPr>
                <w:i/>
                <w:sz w:val="20"/>
                <w:szCs w:val="20"/>
              </w:rPr>
              <w:t>B. burgdorferi sensu lato</w:t>
            </w:r>
            <w:r>
              <w:rPr>
                <w:sz w:val="20"/>
                <w:szCs w:val="20"/>
              </w:rPr>
              <w:t xml:space="preserve"> (predominantly </w:t>
            </w:r>
            <w:r>
              <w:rPr>
                <w:i/>
                <w:sz w:val="20"/>
                <w:szCs w:val="20"/>
              </w:rPr>
              <w:t>B. afzelii</w:t>
            </w:r>
            <w:r>
              <w:rPr>
                <w:sz w:val="20"/>
                <w:szCs w:val="20"/>
              </w:rPr>
              <w:t xml:space="preserve">).  EM developed in 5.2% participants overall (14 out of 269). There was a 3.5% seroconversion rate in asymptomatic patients (9 out of 255). </w:t>
            </w:r>
          </w:p>
          <w:p w14:paraId="2B228019" w14:textId="77777777" w:rsidR="002D58E4" w:rsidRDefault="00F721D4">
            <w:pPr>
              <w:rPr>
                <w:sz w:val="20"/>
                <w:szCs w:val="20"/>
              </w:rPr>
            </w:pPr>
            <w:r>
              <w:rPr>
                <w:sz w:val="20"/>
                <w:szCs w:val="20"/>
              </w:rPr>
              <w:t xml:space="preserve"> </w:t>
            </w:r>
          </w:p>
          <w:p w14:paraId="659907D6" w14:textId="77777777" w:rsidR="002D58E4" w:rsidRDefault="00F721D4">
            <w:pPr>
              <w:rPr>
                <w:sz w:val="20"/>
                <w:szCs w:val="20"/>
              </w:rPr>
            </w:pPr>
            <w:r>
              <w:rPr>
                <w:sz w:val="20"/>
                <w:szCs w:val="20"/>
              </w:rPr>
              <w:t>EM at 8 weeks:</w:t>
            </w:r>
          </w:p>
          <w:p w14:paraId="3ACE84E5" w14:textId="77777777" w:rsidR="002D58E4" w:rsidRDefault="00F721D4">
            <w:pPr>
              <w:rPr>
                <w:sz w:val="20"/>
                <w:szCs w:val="20"/>
              </w:rPr>
            </w:pPr>
            <w:r>
              <w:rPr>
                <w:sz w:val="20"/>
                <w:szCs w:val="20"/>
              </w:rPr>
              <w:t xml:space="preserve">Patients bitten by (+) tested ticks: </w:t>
            </w:r>
            <w:r>
              <w:rPr>
                <w:b/>
                <w:sz w:val="20"/>
                <w:szCs w:val="20"/>
              </w:rPr>
              <w:t>6.6%</w:t>
            </w:r>
            <w:r>
              <w:rPr>
                <w:sz w:val="20"/>
                <w:szCs w:val="20"/>
              </w:rPr>
              <w:t xml:space="preserve"> (4 out of 61).</w:t>
            </w:r>
          </w:p>
          <w:p w14:paraId="1FCD0B1A" w14:textId="77777777" w:rsidR="002D58E4" w:rsidRDefault="00F721D4">
            <w:pPr>
              <w:rPr>
                <w:sz w:val="20"/>
                <w:szCs w:val="20"/>
              </w:rPr>
            </w:pPr>
            <w:r>
              <w:rPr>
                <w:sz w:val="20"/>
                <w:szCs w:val="20"/>
              </w:rPr>
              <w:t xml:space="preserve">Patients bitten by (-) tested ticks: </w:t>
            </w:r>
            <w:r>
              <w:rPr>
                <w:b/>
                <w:sz w:val="20"/>
                <w:szCs w:val="20"/>
              </w:rPr>
              <w:t>3.2%</w:t>
            </w:r>
            <w:r>
              <w:rPr>
                <w:sz w:val="20"/>
                <w:szCs w:val="20"/>
              </w:rPr>
              <w:t xml:space="preserve"> (4 out of 125).</w:t>
            </w:r>
          </w:p>
          <w:p w14:paraId="182FA9FB" w14:textId="77777777" w:rsidR="002D58E4" w:rsidRDefault="00F721D4">
            <w:pPr>
              <w:rPr>
                <w:sz w:val="20"/>
                <w:szCs w:val="20"/>
              </w:rPr>
            </w:pPr>
            <w:r>
              <w:rPr>
                <w:sz w:val="20"/>
                <w:szCs w:val="20"/>
              </w:rPr>
              <w:t>Symptomatic or asymptomatic (seroconversion) infection at 8 weeks:</w:t>
            </w:r>
          </w:p>
          <w:p w14:paraId="7798CB3C" w14:textId="77777777" w:rsidR="002D58E4" w:rsidRDefault="00F721D4">
            <w:pPr>
              <w:rPr>
                <w:sz w:val="20"/>
                <w:szCs w:val="20"/>
              </w:rPr>
            </w:pPr>
            <w:r>
              <w:rPr>
                <w:sz w:val="20"/>
                <w:szCs w:val="20"/>
              </w:rPr>
              <w:t xml:space="preserve">Patients bitten by (+) tested ticks: </w:t>
            </w:r>
            <w:r>
              <w:rPr>
                <w:b/>
                <w:sz w:val="20"/>
                <w:szCs w:val="20"/>
              </w:rPr>
              <w:t>8.2%</w:t>
            </w:r>
            <w:r>
              <w:rPr>
                <w:sz w:val="20"/>
                <w:szCs w:val="20"/>
              </w:rPr>
              <w:t xml:space="preserve"> (5 out of 61).</w:t>
            </w:r>
          </w:p>
          <w:p w14:paraId="3BB9C0D2" w14:textId="77777777" w:rsidR="002D58E4" w:rsidRDefault="00F721D4">
            <w:pPr>
              <w:rPr>
                <w:sz w:val="20"/>
                <w:szCs w:val="20"/>
              </w:rPr>
            </w:pPr>
            <w:r>
              <w:rPr>
                <w:sz w:val="20"/>
                <w:szCs w:val="20"/>
              </w:rPr>
              <w:t xml:space="preserve">Patients bitten by (-) tested ticks: </w:t>
            </w:r>
            <w:r>
              <w:rPr>
                <w:b/>
                <w:sz w:val="20"/>
                <w:szCs w:val="20"/>
              </w:rPr>
              <w:t>5.6%</w:t>
            </w:r>
            <w:r>
              <w:rPr>
                <w:sz w:val="20"/>
                <w:szCs w:val="20"/>
              </w:rPr>
              <w:t xml:space="preserve"> (7 out of 125).</w:t>
            </w:r>
          </w:p>
        </w:tc>
      </w:tr>
      <w:tr w:rsidR="002D58E4" w14:paraId="17221990" w14:textId="77777777">
        <w:trPr>
          <w:trHeight w:val="44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63FCA0A" w14:textId="77777777" w:rsidR="002D58E4" w:rsidRDefault="00F721D4">
            <w:pPr>
              <w:rPr>
                <w:sz w:val="20"/>
                <w:szCs w:val="20"/>
              </w:rPr>
            </w:pPr>
            <w:r>
              <w:rPr>
                <w:sz w:val="20"/>
                <w:szCs w:val="20"/>
              </w:rPr>
              <w:lastRenderedPageBreak/>
              <w:t>Wilhelmsson, 2016</w:t>
            </w:r>
          </w:p>
          <w:p w14:paraId="6836BAB8" w14:textId="77777777" w:rsidR="002D58E4" w:rsidRDefault="002D58E4">
            <w:pPr>
              <w:rPr>
                <w:sz w:val="20"/>
                <w:szCs w:val="20"/>
              </w:rPr>
            </w:pPr>
          </w:p>
          <w:p w14:paraId="16A623ED" w14:textId="77777777" w:rsidR="002D58E4" w:rsidRDefault="00F721D4">
            <w:pPr>
              <w:rPr>
                <w:sz w:val="20"/>
                <w:szCs w:val="20"/>
              </w:rPr>
            </w:pPr>
            <w:r>
              <w:rPr>
                <w:sz w:val="20"/>
                <w:szCs w:val="20"/>
              </w:rPr>
              <w:t>Sweden and Finland</w:t>
            </w:r>
          </w:p>
        </w:tc>
        <w:tc>
          <w:tcPr>
            <w:tcW w:w="1350" w:type="dxa"/>
            <w:tcBorders>
              <w:top w:val="single" w:sz="6" w:space="0" w:color="AEAEAE"/>
              <w:left w:val="single" w:sz="6" w:space="0" w:color="AEAEAE"/>
              <w:bottom w:val="single" w:sz="6" w:space="0" w:color="AEAEAE"/>
              <w:right w:val="single" w:sz="6" w:space="0" w:color="AEAEAE"/>
            </w:tcBorders>
            <w:vAlign w:val="center"/>
          </w:tcPr>
          <w:p w14:paraId="7EBCF0F8"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31754AF0" w14:textId="77777777" w:rsidR="002D58E4" w:rsidRDefault="00F721D4">
            <w:pPr>
              <w:jc w:val="center"/>
              <w:rPr>
                <w:sz w:val="20"/>
                <w:szCs w:val="20"/>
              </w:rPr>
            </w:pPr>
            <w:r>
              <w:rPr>
                <w:sz w:val="20"/>
                <w:szCs w:val="20"/>
              </w:rPr>
              <w:t>8</w:t>
            </w:r>
          </w:p>
        </w:tc>
        <w:tc>
          <w:tcPr>
            <w:tcW w:w="1080" w:type="dxa"/>
            <w:tcBorders>
              <w:top w:val="single" w:sz="6" w:space="0" w:color="AEAEAE"/>
              <w:left w:val="single" w:sz="6" w:space="0" w:color="AEAEAE"/>
              <w:bottom w:val="single" w:sz="6" w:space="0" w:color="AEAEAE"/>
              <w:right w:val="single" w:sz="6" w:space="0" w:color="AEAEAE"/>
            </w:tcBorders>
            <w:vAlign w:val="center"/>
          </w:tcPr>
          <w:p w14:paraId="7BC8A1F1" w14:textId="77777777" w:rsidR="002D58E4" w:rsidRDefault="00F721D4">
            <w:pPr>
              <w:rPr>
                <w:i/>
                <w:sz w:val="20"/>
                <w:szCs w:val="20"/>
              </w:rPr>
            </w:pPr>
            <w:r>
              <w:rPr>
                <w:i/>
                <w:sz w:val="20"/>
                <w:szCs w:val="20"/>
              </w:rPr>
              <w:t>I. ricinus</w:t>
            </w:r>
          </w:p>
        </w:tc>
        <w:tc>
          <w:tcPr>
            <w:tcW w:w="2610" w:type="dxa"/>
            <w:tcBorders>
              <w:top w:val="single" w:sz="6" w:space="0" w:color="AEAEAE"/>
              <w:left w:val="single" w:sz="6" w:space="0" w:color="AEAEAE"/>
              <w:bottom w:val="single" w:sz="6" w:space="0" w:color="AEAEAE"/>
              <w:right w:val="single" w:sz="6" w:space="0" w:color="AEAEAE"/>
            </w:tcBorders>
            <w:vAlign w:val="center"/>
          </w:tcPr>
          <w:p w14:paraId="5AF982B3" w14:textId="77777777" w:rsidR="002D58E4" w:rsidRDefault="00F721D4">
            <w:pPr>
              <w:rPr>
                <w:sz w:val="20"/>
                <w:szCs w:val="20"/>
              </w:rPr>
            </w:pPr>
            <w:r>
              <w:rPr>
                <w:sz w:val="20"/>
                <w:szCs w:val="20"/>
              </w:rPr>
              <w:t xml:space="preserve">1896 subjects (1546 completed) ≥18 y.o. who were bitten by a tick and brought it to the primary health center visit. Ticks were tested for </w:t>
            </w:r>
            <w:r>
              <w:rPr>
                <w:i/>
                <w:sz w:val="20"/>
                <w:szCs w:val="20"/>
              </w:rPr>
              <w:t xml:space="preserve">Borrelia </w:t>
            </w:r>
            <w:r>
              <w:rPr>
                <w:sz w:val="20"/>
                <w:szCs w:val="20"/>
              </w:rPr>
              <w:t>infection (</w:t>
            </w:r>
            <w:r>
              <w:rPr>
                <w:b/>
                <w:sz w:val="20"/>
                <w:szCs w:val="20"/>
              </w:rPr>
              <w:t>PCR</w:t>
            </w:r>
            <w:r>
              <w:rPr>
                <w:sz w:val="20"/>
                <w:szCs w:val="20"/>
              </w:rPr>
              <w:t>).</w:t>
            </w:r>
          </w:p>
          <w:p w14:paraId="3117F973" w14:textId="77777777" w:rsidR="002D58E4" w:rsidRDefault="002D58E4">
            <w:pPr>
              <w:rPr>
                <w:sz w:val="20"/>
                <w:szCs w:val="20"/>
              </w:rPr>
            </w:pPr>
          </w:p>
          <w:p w14:paraId="7FC9843E" w14:textId="77777777" w:rsidR="002D58E4" w:rsidRDefault="00F721D4">
            <w:pPr>
              <w:rPr>
                <w:sz w:val="20"/>
                <w:szCs w:val="20"/>
              </w:rPr>
            </w:pPr>
            <w:r>
              <w:rPr>
                <w:sz w:val="20"/>
                <w:szCs w:val="20"/>
              </w:rPr>
              <w:t>Patients were followed for 3 months.</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0E34C0F" w14:textId="77777777" w:rsidR="002D58E4" w:rsidRDefault="00F721D4">
            <w:pPr>
              <w:rPr>
                <w:sz w:val="20"/>
                <w:szCs w:val="20"/>
              </w:rPr>
            </w:pPr>
            <w:r>
              <w:rPr>
                <w:sz w:val="20"/>
                <w:szCs w:val="20"/>
              </w:rPr>
              <w:t xml:space="preserve">Patients were followed for Lyme disease symptoms and seroconversion (using two ELISA assays followed by commercial immunoblot). </w:t>
            </w:r>
          </w:p>
          <w:p w14:paraId="5AE9E04C" w14:textId="77777777" w:rsidR="002D58E4" w:rsidRDefault="00F721D4">
            <w:pPr>
              <w:rPr>
                <w:sz w:val="20"/>
                <w:szCs w:val="20"/>
              </w:rPr>
            </w:pPr>
            <w:r>
              <w:rPr>
                <w:b/>
                <w:sz w:val="20"/>
                <w:szCs w:val="20"/>
              </w:rPr>
              <w:t>Seroconversion</w:t>
            </w:r>
            <w:r>
              <w:rPr>
                <w:sz w:val="20"/>
                <w:szCs w:val="20"/>
              </w:rPr>
              <w:t xml:space="preserve"> was defined as either a change from seronegative to seropositive or an at least 2-fold increase in anti-Bb antibodies after 3 months.</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94E9F65" w14:textId="77777777" w:rsidR="002D58E4" w:rsidRDefault="00F721D4">
            <w:pPr>
              <w:rPr>
                <w:b/>
                <w:sz w:val="20"/>
                <w:szCs w:val="20"/>
              </w:rPr>
            </w:pPr>
            <w:r>
              <w:rPr>
                <w:b/>
                <w:sz w:val="20"/>
                <w:szCs w:val="20"/>
              </w:rPr>
              <w:t>Seroconversion</w:t>
            </w:r>
            <w:r>
              <w:rPr>
                <w:sz w:val="20"/>
                <w:szCs w:val="20"/>
              </w:rPr>
              <w:t xml:space="preserve"> </w:t>
            </w:r>
            <w:r>
              <w:rPr>
                <w:b/>
                <w:sz w:val="20"/>
                <w:szCs w:val="20"/>
              </w:rPr>
              <w:t>and/ or</w:t>
            </w:r>
            <w:r>
              <w:rPr>
                <w:b/>
                <w:sz w:val="21"/>
                <w:szCs w:val="21"/>
              </w:rPr>
              <w:t xml:space="preserve"> </w:t>
            </w:r>
            <w:r>
              <w:rPr>
                <w:b/>
                <w:sz w:val="20"/>
                <w:szCs w:val="20"/>
              </w:rPr>
              <w:t>clinical manifestations (</w:t>
            </w:r>
            <w:r>
              <w:rPr>
                <w:sz w:val="20"/>
                <w:szCs w:val="20"/>
              </w:rPr>
              <w:t>EM, borrelial lymphocytoma, neuroborreliosis, or Lyme arthritis; 2 patients had non-specific symptoms).</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845D316" w14:textId="77777777" w:rsidR="002D58E4" w:rsidRDefault="00F721D4">
            <w:pPr>
              <w:rPr>
                <w:sz w:val="20"/>
                <w:szCs w:val="20"/>
              </w:rPr>
            </w:pPr>
            <w:r>
              <w:rPr>
                <w:sz w:val="20"/>
                <w:szCs w:val="20"/>
              </w:rPr>
              <w:t xml:space="preserve">Out of 1546 patients, 428 </w:t>
            </w:r>
            <w:r>
              <w:rPr>
                <w:b/>
                <w:sz w:val="20"/>
                <w:szCs w:val="20"/>
              </w:rPr>
              <w:t>(28%)</w:t>
            </w:r>
            <w:r>
              <w:rPr>
                <w:sz w:val="20"/>
                <w:szCs w:val="20"/>
              </w:rPr>
              <w:t xml:space="preserve"> were bitten by </w:t>
            </w:r>
            <w:r>
              <w:rPr>
                <w:i/>
                <w:sz w:val="20"/>
                <w:szCs w:val="20"/>
              </w:rPr>
              <w:t>B. burgdorferi</w:t>
            </w:r>
            <w:r>
              <w:rPr>
                <w:sz w:val="20"/>
                <w:szCs w:val="20"/>
              </w:rPr>
              <w:t xml:space="preserve">-(+) ticks. Clinical Lyme borreliosis developed in 2.1% participants overall (33 out of 1546). There was a 3.0% seroconversion rate in asymptomatic patients (45 out of 1513). </w:t>
            </w:r>
          </w:p>
          <w:p w14:paraId="69BFD452" w14:textId="77777777" w:rsidR="002D58E4" w:rsidRDefault="002D58E4">
            <w:pPr>
              <w:rPr>
                <w:sz w:val="20"/>
                <w:szCs w:val="20"/>
              </w:rPr>
            </w:pPr>
          </w:p>
          <w:p w14:paraId="7F414C1D" w14:textId="77777777" w:rsidR="002D58E4" w:rsidRDefault="00F721D4">
            <w:pPr>
              <w:rPr>
                <w:sz w:val="20"/>
                <w:szCs w:val="20"/>
              </w:rPr>
            </w:pPr>
            <w:r>
              <w:rPr>
                <w:sz w:val="20"/>
                <w:szCs w:val="20"/>
              </w:rPr>
              <w:t>Clinical manifestations at 3 months:</w:t>
            </w:r>
          </w:p>
          <w:p w14:paraId="0711FE2F" w14:textId="77777777" w:rsidR="002D58E4" w:rsidRDefault="00F721D4">
            <w:pPr>
              <w:rPr>
                <w:sz w:val="20"/>
                <w:szCs w:val="20"/>
              </w:rPr>
            </w:pPr>
            <w:r>
              <w:rPr>
                <w:sz w:val="20"/>
                <w:szCs w:val="20"/>
              </w:rPr>
              <w:t xml:space="preserve">Patients bitten by ticks tested positive for </w:t>
            </w:r>
            <w:r>
              <w:rPr>
                <w:i/>
                <w:sz w:val="20"/>
                <w:szCs w:val="20"/>
              </w:rPr>
              <w:t xml:space="preserve">Borrelia </w:t>
            </w:r>
            <w:r>
              <w:rPr>
                <w:sz w:val="20"/>
                <w:szCs w:val="20"/>
              </w:rPr>
              <w:t xml:space="preserve">infection:  </w:t>
            </w:r>
            <w:r>
              <w:rPr>
                <w:b/>
                <w:sz w:val="20"/>
                <w:szCs w:val="20"/>
              </w:rPr>
              <w:t>4.0%</w:t>
            </w:r>
            <w:r>
              <w:rPr>
                <w:sz w:val="20"/>
                <w:szCs w:val="20"/>
              </w:rPr>
              <w:t xml:space="preserve"> (17 out of 428, 1 with non-specific symptoms). </w:t>
            </w:r>
          </w:p>
          <w:p w14:paraId="5850F81C" w14:textId="77777777" w:rsidR="002D58E4" w:rsidRDefault="00F721D4">
            <w:pPr>
              <w:rPr>
                <w:sz w:val="20"/>
                <w:szCs w:val="20"/>
              </w:rPr>
            </w:pPr>
            <w:r>
              <w:rPr>
                <w:sz w:val="20"/>
                <w:szCs w:val="20"/>
              </w:rPr>
              <w:t xml:space="preserve">Patients bitten by ticks tested negative for </w:t>
            </w:r>
            <w:r>
              <w:rPr>
                <w:i/>
                <w:sz w:val="20"/>
                <w:szCs w:val="20"/>
              </w:rPr>
              <w:t>Borrelia</w:t>
            </w:r>
            <w:r>
              <w:rPr>
                <w:sz w:val="20"/>
                <w:szCs w:val="20"/>
              </w:rPr>
              <w:t xml:space="preserve"> infection: </w:t>
            </w:r>
            <w:r>
              <w:rPr>
                <w:b/>
                <w:sz w:val="20"/>
                <w:szCs w:val="20"/>
              </w:rPr>
              <w:t>1.4%</w:t>
            </w:r>
            <w:r>
              <w:rPr>
                <w:sz w:val="20"/>
                <w:szCs w:val="20"/>
              </w:rPr>
              <w:t xml:space="preserve"> (16 out of 1118, 1 with non-specific symptoms).</w:t>
            </w:r>
          </w:p>
          <w:p w14:paraId="354B3C5D" w14:textId="77777777" w:rsidR="002D58E4" w:rsidRDefault="002D58E4">
            <w:pPr>
              <w:rPr>
                <w:sz w:val="20"/>
                <w:szCs w:val="20"/>
              </w:rPr>
            </w:pPr>
          </w:p>
          <w:p w14:paraId="22578EBC" w14:textId="77777777" w:rsidR="002D58E4" w:rsidRDefault="00F721D4">
            <w:pPr>
              <w:rPr>
                <w:sz w:val="20"/>
                <w:szCs w:val="20"/>
              </w:rPr>
            </w:pPr>
            <w:r>
              <w:rPr>
                <w:sz w:val="20"/>
                <w:szCs w:val="20"/>
              </w:rPr>
              <w:t>Symptomatic or asymptomatic (seroconversion) infection at 3 months:</w:t>
            </w:r>
          </w:p>
          <w:p w14:paraId="140B78B3" w14:textId="77777777" w:rsidR="002D58E4" w:rsidRDefault="00F721D4">
            <w:pPr>
              <w:rPr>
                <w:sz w:val="20"/>
                <w:szCs w:val="20"/>
              </w:rPr>
            </w:pPr>
            <w:r>
              <w:rPr>
                <w:sz w:val="20"/>
                <w:szCs w:val="20"/>
              </w:rPr>
              <w:t xml:space="preserve">Patients bitten by (+) tested ticks: </w:t>
            </w:r>
            <w:r>
              <w:rPr>
                <w:b/>
                <w:sz w:val="20"/>
                <w:szCs w:val="20"/>
              </w:rPr>
              <w:t>8.2%</w:t>
            </w:r>
            <w:r>
              <w:rPr>
                <w:sz w:val="20"/>
                <w:szCs w:val="20"/>
              </w:rPr>
              <w:t xml:space="preserve"> (35 out of 428). Patients bitten by (-) tested ticks: </w:t>
            </w:r>
            <w:r>
              <w:rPr>
                <w:b/>
                <w:sz w:val="20"/>
                <w:szCs w:val="20"/>
              </w:rPr>
              <w:t>3.8%</w:t>
            </w:r>
            <w:r>
              <w:rPr>
                <w:sz w:val="20"/>
                <w:szCs w:val="20"/>
              </w:rPr>
              <w:t xml:space="preserve"> (43 out of 1118).</w:t>
            </w:r>
          </w:p>
        </w:tc>
      </w:tr>
      <w:tr w:rsidR="002D58E4" w14:paraId="3C7C0226" w14:textId="77777777">
        <w:trPr>
          <w:trHeight w:val="126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23B5513" w14:textId="77777777" w:rsidR="002D58E4" w:rsidRDefault="00F721D4">
            <w:pPr>
              <w:rPr>
                <w:sz w:val="20"/>
                <w:szCs w:val="20"/>
              </w:rPr>
            </w:pPr>
            <w:r>
              <w:rPr>
                <w:sz w:val="20"/>
                <w:szCs w:val="20"/>
              </w:rPr>
              <w:t>Sood, 1997</w:t>
            </w:r>
          </w:p>
          <w:p w14:paraId="093B7061" w14:textId="77777777" w:rsidR="002D58E4" w:rsidRDefault="002D58E4">
            <w:pPr>
              <w:rPr>
                <w:sz w:val="20"/>
                <w:szCs w:val="20"/>
              </w:rPr>
            </w:pPr>
          </w:p>
          <w:p w14:paraId="4852EEBD" w14:textId="77777777" w:rsidR="002D58E4" w:rsidRDefault="00F721D4">
            <w:pPr>
              <w:rPr>
                <w:sz w:val="20"/>
                <w:szCs w:val="20"/>
              </w:rPr>
            </w:pPr>
            <w:r>
              <w:rPr>
                <w:sz w:val="20"/>
                <w:szCs w:val="20"/>
              </w:rPr>
              <w:t>NY, USA</w:t>
            </w:r>
          </w:p>
        </w:tc>
        <w:tc>
          <w:tcPr>
            <w:tcW w:w="1350" w:type="dxa"/>
            <w:tcBorders>
              <w:top w:val="single" w:sz="6" w:space="0" w:color="AEAEAE"/>
              <w:left w:val="single" w:sz="6" w:space="0" w:color="AEAEAE"/>
              <w:bottom w:val="single" w:sz="6" w:space="0" w:color="AEAEAE"/>
              <w:right w:val="single" w:sz="6" w:space="0" w:color="AEAEAE"/>
            </w:tcBorders>
            <w:vAlign w:val="center"/>
          </w:tcPr>
          <w:p w14:paraId="309D96A9"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28A9AE9B" w14:textId="77777777" w:rsidR="002D58E4" w:rsidRDefault="00F721D4">
            <w:pPr>
              <w:jc w:val="center"/>
              <w:rPr>
                <w:sz w:val="20"/>
                <w:szCs w:val="20"/>
              </w:rPr>
            </w:pPr>
            <w:r>
              <w:rPr>
                <w:sz w:val="20"/>
                <w:szCs w:val="20"/>
              </w:rPr>
              <w:t>6</w:t>
            </w:r>
          </w:p>
        </w:tc>
        <w:tc>
          <w:tcPr>
            <w:tcW w:w="1080" w:type="dxa"/>
            <w:tcBorders>
              <w:top w:val="single" w:sz="6" w:space="0" w:color="AEAEAE"/>
              <w:left w:val="single" w:sz="6" w:space="0" w:color="AEAEAE"/>
              <w:bottom w:val="single" w:sz="6" w:space="0" w:color="AEAEAE"/>
              <w:right w:val="single" w:sz="6" w:space="0" w:color="AEAEAE"/>
            </w:tcBorders>
            <w:vAlign w:val="center"/>
          </w:tcPr>
          <w:p w14:paraId="109C48A7" w14:textId="77777777" w:rsidR="002D58E4" w:rsidRDefault="00F721D4">
            <w:pPr>
              <w:rPr>
                <w:i/>
                <w:sz w:val="20"/>
                <w:szCs w:val="20"/>
              </w:rPr>
            </w:pPr>
            <w:r>
              <w:rPr>
                <w:i/>
                <w:sz w:val="20"/>
                <w:szCs w:val="20"/>
              </w:rPr>
              <w:t>I. scapularis</w:t>
            </w:r>
          </w:p>
        </w:tc>
        <w:tc>
          <w:tcPr>
            <w:tcW w:w="2610" w:type="dxa"/>
            <w:tcBorders>
              <w:top w:val="single" w:sz="6" w:space="0" w:color="AEAEAE"/>
              <w:left w:val="single" w:sz="6" w:space="0" w:color="AEAEAE"/>
              <w:bottom w:val="single" w:sz="6" w:space="0" w:color="AEAEAE"/>
              <w:right w:val="single" w:sz="6" w:space="0" w:color="AEAEAE"/>
            </w:tcBorders>
            <w:vAlign w:val="center"/>
          </w:tcPr>
          <w:p w14:paraId="569BE810" w14:textId="77777777" w:rsidR="002D58E4" w:rsidRDefault="00F721D4">
            <w:pPr>
              <w:rPr>
                <w:sz w:val="20"/>
                <w:szCs w:val="20"/>
              </w:rPr>
            </w:pPr>
            <w:r>
              <w:rPr>
                <w:sz w:val="20"/>
                <w:szCs w:val="20"/>
              </w:rPr>
              <w:t xml:space="preserve">225 subjects bitten by confirmed </w:t>
            </w:r>
            <w:r>
              <w:rPr>
                <w:i/>
                <w:sz w:val="20"/>
                <w:szCs w:val="20"/>
              </w:rPr>
              <w:t>I. scapularis</w:t>
            </w:r>
            <w:r>
              <w:rPr>
                <w:sz w:val="20"/>
                <w:szCs w:val="20"/>
              </w:rPr>
              <w:t xml:space="preserve"> ticks in the preceding 72 hours (NY state).</w:t>
            </w:r>
          </w:p>
          <w:p w14:paraId="36228CE6" w14:textId="77777777" w:rsidR="002D58E4" w:rsidRDefault="002D58E4">
            <w:pPr>
              <w:rPr>
                <w:sz w:val="20"/>
                <w:szCs w:val="20"/>
              </w:rPr>
            </w:pPr>
          </w:p>
          <w:p w14:paraId="66841A49" w14:textId="77777777" w:rsidR="002D58E4" w:rsidRDefault="00F721D4">
            <w:pPr>
              <w:rPr>
                <w:sz w:val="20"/>
                <w:szCs w:val="20"/>
              </w:rPr>
            </w:pPr>
            <w:r>
              <w:rPr>
                <w:sz w:val="20"/>
                <w:szCs w:val="20"/>
              </w:rPr>
              <w:t>Ticks were identified, measured for engorgement, and assayed by</w:t>
            </w:r>
            <w:r>
              <w:rPr>
                <w:b/>
                <w:sz w:val="20"/>
                <w:szCs w:val="20"/>
              </w:rPr>
              <w:t xml:space="preserve"> PCR</w:t>
            </w:r>
            <w:r>
              <w:rPr>
                <w:sz w:val="20"/>
                <w:szCs w:val="20"/>
              </w:rPr>
              <w:t xml:space="preserve"> for </w:t>
            </w:r>
            <w:r>
              <w:rPr>
                <w:i/>
                <w:sz w:val="20"/>
                <w:szCs w:val="20"/>
              </w:rPr>
              <w:t>B. burgdorferi</w:t>
            </w:r>
            <w:r>
              <w:rPr>
                <w:sz w:val="20"/>
                <w:szCs w:val="20"/>
              </w:rPr>
              <w:t xml:space="preserve">. </w:t>
            </w:r>
          </w:p>
          <w:p w14:paraId="74F14E57" w14:textId="77777777" w:rsidR="002D58E4" w:rsidRDefault="00F721D4">
            <w:pPr>
              <w:rPr>
                <w:sz w:val="20"/>
                <w:szCs w:val="20"/>
              </w:rPr>
            </w:pPr>
            <w:r>
              <w:rPr>
                <w:sz w:val="20"/>
                <w:szCs w:val="20"/>
              </w:rPr>
              <w:t xml:space="preserve">Duration of attachment was determined from the </w:t>
            </w:r>
            <w:r>
              <w:rPr>
                <w:b/>
                <w:sz w:val="20"/>
                <w:szCs w:val="20"/>
              </w:rPr>
              <w:t>scutal index</w:t>
            </w:r>
            <w:r>
              <w:rPr>
                <w:sz w:val="20"/>
                <w:szCs w:val="20"/>
              </w:rPr>
              <w:t xml:space="preserve"> of engorgement.</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857480E" w14:textId="77777777" w:rsidR="002D58E4" w:rsidRDefault="00F721D4">
            <w:pPr>
              <w:rPr>
                <w:sz w:val="20"/>
                <w:szCs w:val="20"/>
              </w:rPr>
            </w:pPr>
            <w:r>
              <w:rPr>
                <w:sz w:val="20"/>
                <w:szCs w:val="20"/>
              </w:rPr>
              <w:t xml:space="preserve">Sera of 115 subjects were tested at baseline and 4-6 weeks afterwards (EIA + immunoblot).  The rest of the patients were followed for Lyme disease symptoms. </w:t>
            </w:r>
          </w:p>
          <w:p w14:paraId="77742304" w14:textId="77777777" w:rsidR="002D58E4" w:rsidRDefault="002D58E4">
            <w:pPr>
              <w:rPr>
                <w:sz w:val="20"/>
                <w:szCs w:val="20"/>
              </w:rPr>
            </w:pPr>
          </w:p>
          <w:p w14:paraId="3D7039CE" w14:textId="77777777" w:rsidR="002D58E4" w:rsidRDefault="002D58E4">
            <w:pPr>
              <w:rPr>
                <w:sz w:val="20"/>
                <w:szCs w:val="20"/>
              </w:rPr>
            </w:pP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566564D" w14:textId="77777777" w:rsidR="002D58E4" w:rsidRDefault="00F721D4">
            <w:pPr>
              <w:rPr>
                <w:sz w:val="20"/>
                <w:szCs w:val="20"/>
              </w:rPr>
            </w:pPr>
            <w:r>
              <w:rPr>
                <w:sz w:val="20"/>
                <w:szCs w:val="20"/>
              </w:rPr>
              <w:t xml:space="preserve">Lyme disease (+) case was defined as </w:t>
            </w:r>
            <w:r>
              <w:rPr>
                <w:b/>
                <w:sz w:val="20"/>
                <w:szCs w:val="20"/>
              </w:rPr>
              <w:t>EM developed between the two visits, asymptomatic seroconversion (AS), or both</w:t>
            </w:r>
            <w:r>
              <w:rPr>
                <w:sz w:val="20"/>
                <w:szCs w:val="20"/>
              </w:rPr>
              <w:t xml:space="preserve">. </w:t>
            </w:r>
          </w:p>
          <w:p w14:paraId="12097FDF" w14:textId="77777777" w:rsidR="002D58E4" w:rsidRDefault="002D58E4">
            <w:pPr>
              <w:rPr>
                <w:sz w:val="20"/>
                <w:szCs w:val="20"/>
              </w:rPr>
            </w:pPr>
          </w:p>
          <w:p w14:paraId="117B54D2" w14:textId="77777777" w:rsidR="002D58E4" w:rsidRDefault="00F721D4">
            <w:pPr>
              <w:rPr>
                <w:sz w:val="20"/>
                <w:szCs w:val="20"/>
              </w:rPr>
            </w:pPr>
            <w:r>
              <w:rPr>
                <w:sz w:val="20"/>
                <w:szCs w:val="20"/>
                <w:u w:val="single"/>
              </w:rPr>
              <w:t>Note</w:t>
            </w:r>
            <w:r>
              <w:rPr>
                <w:sz w:val="20"/>
                <w:szCs w:val="20"/>
              </w:rPr>
              <w:t xml:space="preserve">: If subjects with AS were excluded, the incidence rates would be 1.8% (2 out of 109) in </w:t>
            </w:r>
            <w:r>
              <w:rPr>
                <w:sz w:val="20"/>
                <w:szCs w:val="20"/>
              </w:rPr>
              <w:lastRenderedPageBreak/>
              <w:t>the tested and 0.9% (2 out of 225) in the total sample, and 6.7% (1 out of 15) for ≥72 h vs. 1.1% (1 out of 94) for &lt;72 h attachment duration. For patients after a tick-test-(+) bite, the rate would be 50% (1 out of 2), and after a tick-test-(-) bite it would be 0.9% (1 out of 107).</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371C8B7" w14:textId="13669B79" w:rsidR="002D58E4" w:rsidRDefault="00F721D4">
            <w:pPr>
              <w:rPr>
                <w:sz w:val="20"/>
                <w:szCs w:val="20"/>
              </w:rPr>
            </w:pPr>
            <w:r>
              <w:rPr>
                <w:sz w:val="20"/>
                <w:szCs w:val="20"/>
              </w:rPr>
              <w:lastRenderedPageBreak/>
              <w:t xml:space="preserve">Overall, </w:t>
            </w:r>
            <w:r>
              <w:rPr>
                <w:b/>
                <w:sz w:val="20"/>
                <w:szCs w:val="20"/>
              </w:rPr>
              <w:t>14% of ticks were positive</w:t>
            </w:r>
            <w:r>
              <w:rPr>
                <w:sz w:val="20"/>
                <w:szCs w:val="20"/>
              </w:rPr>
              <w:t xml:space="preserve"> for </w:t>
            </w:r>
            <w:r>
              <w:rPr>
                <w:i/>
                <w:sz w:val="20"/>
                <w:szCs w:val="20"/>
              </w:rPr>
              <w:t>B. burgdorferi</w:t>
            </w:r>
            <w:r>
              <w:rPr>
                <w:sz w:val="20"/>
                <w:szCs w:val="20"/>
              </w:rPr>
              <w:t xml:space="preserve"> (32 out of 227); however, in the sample subjected to scutal index measurement</w:t>
            </w:r>
            <w:r w:rsidR="00A81DBE">
              <w:rPr>
                <w:sz w:val="20"/>
                <w:szCs w:val="20"/>
              </w:rPr>
              <w:t xml:space="preserve"> (with a high scutal index being indicative of prolonged feeding)</w:t>
            </w:r>
            <w:r>
              <w:rPr>
                <w:sz w:val="20"/>
                <w:szCs w:val="20"/>
              </w:rPr>
              <w:t>, the prevalence was only 1.8% (2 out of 109)</w:t>
            </w:r>
            <w:r>
              <w:rPr>
                <w:b/>
                <w:sz w:val="20"/>
                <w:szCs w:val="20"/>
              </w:rPr>
              <w:t>.</w:t>
            </w:r>
          </w:p>
          <w:p w14:paraId="51871E19" w14:textId="77777777" w:rsidR="002D58E4" w:rsidRDefault="00F721D4">
            <w:pPr>
              <w:rPr>
                <w:sz w:val="20"/>
                <w:szCs w:val="20"/>
              </w:rPr>
            </w:pPr>
            <w:r>
              <w:rPr>
                <w:b/>
                <w:sz w:val="20"/>
                <w:szCs w:val="20"/>
              </w:rPr>
              <w:t>Overall, the Lyme disease incidence rate was 3.7% in subjects with tested sera</w:t>
            </w:r>
            <w:r>
              <w:rPr>
                <w:sz w:val="20"/>
                <w:szCs w:val="20"/>
              </w:rPr>
              <w:t xml:space="preserve"> (4 </w:t>
            </w:r>
            <w:r>
              <w:rPr>
                <w:sz w:val="20"/>
                <w:szCs w:val="20"/>
              </w:rPr>
              <w:lastRenderedPageBreak/>
              <w:t xml:space="preserve">Lyme disease cases out of 109 bites) </w:t>
            </w:r>
            <w:r>
              <w:rPr>
                <w:b/>
                <w:sz w:val="20"/>
                <w:szCs w:val="20"/>
              </w:rPr>
              <w:t>or 1.8%</w:t>
            </w:r>
            <w:r>
              <w:rPr>
                <w:sz w:val="20"/>
                <w:szCs w:val="20"/>
              </w:rPr>
              <w:t xml:space="preserve"> (4 out of 225) in the total sample. The incidence was significantly higher for duration of attachment </w:t>
            </w:r>
            <w:r>
              <w:rPr>
                <w:b/>
                <w:sz w:val="20"/>
                <w:szCs w:val="20"/>
              </w:rPr>
              <w:t>≥72 h (20%,</w:t>
            </w:r>
            <w:r>
              <w:rPr>
                <w:sz w:val="20"/>
                <w:szCs w:val="20"/>
              </w:rPr>
              <w:t xml:space="preserve"> or 3 out of 15) than for </w:t>
            </w:r>
            <w:r>
              <w:rPr>
                <w:b/>
                <w:sz w:val="20"/>
                <w:szCs w:val="20"/>
              </w:rPr>
              <w:t>&lt;72 h (1.1%,</w:t>
            </w:r>
            <w:r>
              <w:rPr>
                <w:sz w:val="20"/>
                <w:szCs w:val="20"/>
              </w:rPr>
              <w:t xml:space="preserve"> or 1 out of 94) (</w:t>
            </w:r>
            <w:r>
              <w:rPr>
                <w:i/>
                <w:sz w:val="20"/>
                <w:szCs w:val="20"/>
              </w:rPr>
              <w:t xml:space="preserve">P </w:t>
            </w:r>
            <w:r>
              <w:rPr>
                <w:sz w:val="20"/>
                <w:szCs w:val="20"/>
              </w:rPr>
              <w:t>=0.008).</w:t>
            </w:r>
          </w:p>
          <w:p w14:paraId="479A8F55" w14:textId="77777777" w:rsidR="002D58E4" w:rsidRDefault="002D58E4">
            <w:pPr>
              <w:rPr>
                <w:sz w:val="20"/>
                <w:szCs w:val="20"/>
              </w:rPr>
            </w:pPr>
          </w:p>
          <w:p w14:paraId="0F797916" w14:textId="77777777" w:rsidR="002D58E4" w:rsidRDefault="00F721D4">
            <w:pPr>
              <w:rPr>
                <w:i/>
                <w:sz w:val="20"/>
                <w:szCs w:val="20"/>
              </w:rPr>
            </w:pPr>
            <w:r>
              <w:rPr>
                <w:i/>
                <w:sz w:val="20"/>
                <w:szCs w:val="20"/>
              </w:rPr>
              <w:t xml:space="preserve">4-6 weeks after bite: </w:t>
            </w:r>
          </w:p>
          <w:p w14:paraId="4227063A" w14:textId="77777777" w:rsidR="002D58E4" w:rsidRDefault="00F721D4">
            <w:pPr>
              <w:rPr>
                <w:sz w:val="20"/>
                <w:szCs w:val="20"/>
              </w:rPr>
            </w:pPr>
            <w:r>
              <w:rPr>
                <w:sz w:val="20"/>
                <w:szCs w:val="20"/>
              </w:rPr>
              <w:t xml:space="preserve">Patients bitten by </w:t>
            </w:r>
            <w:r>
              <w:rPr>
                <w:sz w:val="20"/>
                <w:szCs w:val="20"/>
                <w:u w:val="single"/>
              </w:rPr>
              <w:t>ticks tested positive</w:t>
            </w:r>
            <w:r>
              <w:rPr>
                <w:sz w:val="20"/>
                <w:szCs w:val="20"/>
              </w:rPr>
              <w:t xml:space="preserve"> for</w:t>
            </w:r>
            <w:r>
              <w:rPr>
                <w:i/>
                <w:sz w:val="20"/>
                <w:szCs w:val="20"/>
              </w:rPr>
              <w:t xml:space="preserve"> Borrelia </w:t>
            </w:r>
            <w:r>
              <w:rPr>
                <w:sz w:val="20"/>
                <w:szCs w:val="20"/>
              </w:rPr>
              <w:t xml:space="preserve">infection:  </w:t>
            </w:r>
            <w:r>
              <w:rPr>
                <w:b/>
                <w:sz w:val="20"/>
                <w:szCs w:val="20"/>
              </w:rPr>
              <w:t>100%</w:t>
            </w:r>
            <w:r>
              <w:rPr>
                <w:sz w:val="20"/>
                <w:szCs w:val="20"/>
              </w:rPr>
              <w:t xml:space="preserve"> (2 out of 2).</w:t>
            </w:r>
          </w:p>
          <w:p w14:paraId="6E26B29D" w14:textId="77777777" w:rsidR="002D58E4" w:rsidRDefault="00F721D4">
            <w:pPr>
              <w:rPr>
                <w:sz w:val="20"/>
                <w:szCs w:val="20"/>
              </w:rPr>
            </w:pPr>
            <w:r>
              <w:rPr>
                <w:sz w:val="20"/>
                <w:szCs w:val="20"/>
              </w:rPr>
              <w:t xml:space="preserve">Patients bitten by </w:t>
            </w:r>
            <w:r>
              <w:rPr>
                <w:sz w:val="20"/>
                <w:szCs w:val="20"/>
                <w:u w:val="single"/>
              </w:rPr>
              <w:t>ticks tested negative</w:t>
            </w:r>
            <w:r>
              <w:rPr>
                <w:sz w:val="20"/>
                <w:szCs w:val="20"/>
              </w:rPr>
              <w:t xml:space="preserve"> for </w:t>
            </w:r>
            <w:r>
              <w:rPr>
                <w:i/>
                <w:sz w:val="20"/>
                <w:szCs w:val="20"/>
              </w:rPr>
              <w:t>Borrelia</w:t>
            </w:r>
            <w:r>
              <w:rPr>
                <w:sz w:val="20"/>
                <w:szCs w:val="20"/>
              </w:rPr>
              <w:t xml:space="preserve"> infection: </w:t>
            </w:r>
            <w:r>
              <w:rPr>
                <w:b/>
                <w:sz w:val="20"/>
                <w:szCs w:val="20"/>
              </w:rPr>
              <w:t>1.9%</w:t>
            </w:r>
            <w:r>
              <w:rPr>
                <w:sz w:val="20"/>
                <w:szCs w:val="20"/>
              </w:rPr>
              <w:t xml:space="preserve"> (2 out of 107).</w:t>
            </w:r>
          </w:p>
          <w:p w14:paraId="5D9F1F2E" w14:textId="77777777" w:rsidR="002D58E4" w:rsidRDefault="00F721D4">
            <w:pPr>
              <w:rPr>
                <w:sz w:val="20"/>
                <w:szCs w:val="20"/>
              </w:rPr>
            </w:pPr>
            <w:r>
              <w:rPr>
                <w:b/>
                <w:sz w:val="20"/>
                <w:szCs w:val="20"/>
              </w:rPr>
              <w:t xml:space="preserve">PCR test </w:t>
            </w:r>
            <w:r>
              <w:rPr>
                <w:sz w:val="20"/>
                <w:szCs w:val="20"/>
              </w:rPr>
              <w:t xml:space="preserve">was 100% positive in predicting </w:t>
            </w:r>
            <w:r>
              <w:rPr>
                <w:i/>
                <w:sz w:val="20"/>
                <w:szCs w:val="20"/>
              </w:rPr>
              <w:t xml:space="preserve">Borrelial </w:t>
            </w:r>
            <w:r>
              <w:rPr>
                <w:sz w:val="20"/>
                <w:szCs w:val="20"/>
              </w:rPr>
              <w:t>infection after a nymph attachment for ≥72 h (N=2; 1 EM + 1 AS) but was negative when the infection occurred after a bite by an adult female tick attached for either &lt;72 h (N=1; EM) or ≥72 h (N=1; AS).</w:t>
            </w:r>
          </w:p>
        </w:tc>
      </w:tr>
      <w:tr w:rsidR="002D58E4" w14:paraId="0C0CF7AF" w14:textId="77777777">
        <w:trPr>
          <w:trHeight w:val="100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C6B4EDB" w14:textId="77777777" w:rsidR="002D58E4" w:rsidRDefault="00F721D4">
            <w:pPr>
              <w:rPr>
                <w:sz w:val="20"/>
                <w:szCs w:val="20"/>
              </w:rPr>
            </w:pPr>
            <w:r>
              <w:rPr>
                <w:sz w:val="20"/>
                <w:szCs w:val="20"/>
              </w:rPr>
              <w:t>Briciu, 2016</w:t>
            </w:r>
          </w:p>
          <w:p w14:paraId="3BBD2CB5" w14:textId="77777777" w:rsidR="002D58E4" w:rsidRDefault="002D58E4">
            <w:pPr>
              <w:rPr>
                <w:sz w:val="20"/>
                <w:szCs w:val="20"/>
              </w:rPr>
            </w:pPr>
          </w:p>
          <w:p w14:paraId="6368ED0D" w14:textId="77777777" w:rsidR="002D58E4" w:rsidRDefault="00F721D4">
            <w:pPr>
              <w:rPr>
                <w:sz w:val="20"/>
                <w:szCs w:val="20"/>
              </w:rPr>
            </w:pPr>
            <w:r>
              <w:rPr>
                <w:sz w:val="20"/>
                <w:szCs w:val="20"/>
              </w:rPr>
              <w:t>Romania</w:t>
            </w:r>
          </w:p>
        </w:tc>
        <w:tc>
          <w:tcPr>
            <w:tcW w:w="1350" w:type="dxa"/>
            <w:tcBorders>
              <w:top w:val="single" w:sz="6" w:space="0" w:color="AEAEAE"/>
              <w:left w:val="single" w:sz="6" w:space="0" w:color="AEAEAE"/>
              <w:bottom w:val="single" w:sz="6" w:space="0" w:color="AEAEAE"/>
              <w:right w:val="single" w:sz="6" w:space="0" w:color="AEAEAE"/>
            </w:tcBorders>
            <w:vAlign w:val="center"/>
          </w:tcPr>
          <w:p w14:paraId="4B5AE8A2"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799B71AE" w14:textId="77777777" w:rsidR="002D58E4" w:rsidRDefault="00F721D4">
            <w:pPr>
              <w:jc w:val="center"/>
              <w:rPr>
                <w:sz w:val="20"/>
                <w:szCs w:val="20"/>
              </w:rPr>
            </w:pPr>
            <w:r>
              <w:rPr>
                <w:sz w:val="20"/>
                <w:szCs w:val="20"/>
              </w:rPr>
              <w:t>6</w:t>
            </w:r>
          </w:p>
        </w:tc>
        <w:tc>
          <w:tcPr>
            <w:tcW w:w="1080" w:type="dxa"/>
            <w:tcBorders>
              <w:top w:val="single" w:sz="6" w:space="0" w:color="AEAEAE"/>
              <w:left w:val="single" w:sz="6" w:space="0" w:color="AEAEAE"/>
              <w:bottom w:val="single" w:sz="6" w:space="0" w:color="AEAEAE"/>
              <w:right w:val="single" w:sz="6" w:space="0" w:color="AEAEAE"/>
            </w:tcBorders>
            <w:vAlign w:val="center"/>
          </w:tcPr>
          <w:p w14:paraId="5B651074" w14:textId="77777777" w:rsidR="002D58E4" w:rsidRDefault="00F721D4">
            <w:pPr>
              <w:rPr>
                <w:i/>
                <w:sz w:val="20"/>
                <w:szCs w:val="20"/>
              </w:rPr>
            </w:pPr>
            <w:r>
              <w:rPr>
                <w:i/>
                <w:sz w:val="20"/>
                <w:szCs w:val="20"/>
              </w:rPr>
              <w:t>I. ricinus</w:t>
            </w:r>
          </w:p>
        </w:tc>
        <w:tc>
          <w:tcPr>
            <w:tcW w:w="2610" w:type="dxa"/>
            <w:tcBorders>
              <w:top w:val="single" w:sz="6" w:space="0" w:color="AEAEAE"/>
              <w:left w:val="single" w:sz="6" w:space="0" w:color="AEAEAE"/>
              <w:bottom w:val="single" w:sz="6" w:space="0" w:color="AEAEAE"/>
              <w:right w:val="single" w:sz="6" w:space="0" w:color="AEAEAE"/>
            </w:tcBorders>
            <w:vAlign w:val="center"/>
          </w:tcPr>
          <w:p w14:paraId="4F350FE0" w14:textId="77777777" w:rsidR="002D58E4" w:rsidRDefault="00F721D4">
            <w:pPr>
              <w:rPr>
                <w:sz w:val="20"/>
                <w:szCs w:val="20"/>
              </w:rPr>
            </w:pPr>
            <w:r>
              <w:rPr>
                <w:sz w:val="20"/>
                <w:szCs w:val="20"/>
              </w:rPr>
              <w:t xml:space="preserve">386 patients who presented after a tick bite at the Clinical Hospital of Infectious Diseases. </w:t>
            </w:r>
          </w:p>
          <w:p w14:paraId="41AEE721" w14:textId="77777777" w:rsidR="002D58E4" w:rsidRDefault="002D58E4">
            <w:pPr>
              <w:rPr>
                <w:sz w:val="20"/>
                <w:szCs w:val="20"/>
              </w:rPr>
            </w:pPr>
          </w:p>
          <w:p w14:paraId="6DE5C643" w14:textId="77777777" w:rsidR="002D58E4" w:rsidRDefault="00F721D4">
            <w:pPr>
              <w:rPr>
                <w:sz w:val="20"/>
                <w:szCs w:val="20"/>
              </w:rPr>
            </w:pPr>
            <w:r>
              <w:rPr>
                <w:sz w:val="20"/>
                <w:szCs w:val="20"/>
              </w:rPr>
              <w:t xml:space="preserve">Ticks were identified and tested for </w:t>
            </w:r>
            <w:r>
              <w:rPr>
                <w:i/>
                <w:sz w:val="20"/>
                <w:szCs w:val="20"/>
              </w:rPr>
              <w:t>B. burgdorferi sensu lato</w:t>
            </w:r>
            <w:r>
              <w:rPr>
                <w:sz w:val="20"/>
                <w:szCs w:val="20"/>
              </w:rPr>
              <w:t xml:space="preserve"> infection using </w:t>
            </w:r>
            <w:r>
              <w:rPr>
                <w:b/>
                <w:sz w:val="20"/>
                <w:szCs w:val="20"/>
              </w:rPr>
              <w:t>PCR</w:t>
            </w:r>
            <w:r>
              <w:rPr>
                <w:sz w:val="20"/>
                <w:szCs w:val="20"/>
              </w:rPr>
              <w:t xml:space="preserve">. </w:t>
            </w:r>
            <w:r>
              <w:rPr>
                <w:b/>
                <w:sz w:val="20"/>
                <w:szCs w:val="20"/>
              </w:rPr>
              <w:t>20 out of 38</w:t>
            </w:r>
            <w:r>
              <w:rPr>
                <w:sz w:val="20"/>
                <w:szCs w:val="20"/>
              </w:rPr>
              <w:t xml:space="preserve"> patients bitten </w:t>
            </w:r>
            <w:r>
              <w:rPr>
                <w:i/>
                <w:sz w:val="20"/>
                <w:szCs w:val="20"/>
              </w:rPr>
              <w:t>by B. burgdorferi</w:t>
            </w:r>
            <w:r>
              <w:rPr>
                <w:sz w:val="20"/>
                <w:szCs w:val="20"/>
              </w:rPr>
              <w:t xml:space="preserve">-infected ticks and a control group (age, sex, and residence-matched individuals bitten by </w:t>
            </w:r>
            <w:r>
              <w:rPr>
                <w:i/>
                <w:sz w:val="20"/>
                <w:szCs w:val="20"/>
              </w:rPr>
              <w:t>B. burgdorferi</w:t>
            </w:r>
            <w:r>
              <w:rPr>
                <w:sz w:val="20"/>
                <w:szCs w:val="20"/>
              </w:rPr>
              <w:t xml:space="preserve">-negative ticks, </w:t>
            </w:r>
            <w:r>
              <w:rPr>
                <w:b/>
                <w:sz w:val="20"/>
                <w:szCs w:val="20"/>
              </w:rPr>
              <w:t>N=20</w:t>
            </w:r>
            <w:r>
              <w:rPr>
                <w:sz w:val="20"/>
                <w:szCs w:val="20"/>
              </w:rPr>
              <w:t>) were followed up for 1 year.</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2F3DA0C" w14:textId="77777777" w:rsidR="002D58E4" w:rsidRDefault="00F721D4">
            <w:pPr>
              <w:rPr>
                <w:sz w:val="20"/>
                <w:szCs w:val="20"/>
              </w:rPr>
            </w:pPr>
            <w:r>
              <w:rPr>
                <w:sz w:val="20"/>
                <w:szCs w:val="20"/>
              </w:rPr>
              <w:t>Patients were followed up for Lyme disease symptoms. Sera were tested at baseline and at 1 year (2-tiered test: ELISA and immunoblot) for seroconversion.</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000D2CF" w14:textId="77777777" w:rsidR="002D58E4" w:rsidRDefault="00F721D4">
            <w:pPr>
              <w:rPr>
                <w:sz w:val="20"/>
                <w:szCs w:val="20"/>
              </w:rPr>
            </w:pPr>
            <w:r>
              <w:rPr>
                <w:b/>
                <w:sz w:val="20"/>
                <w:szCs w:val="20"/>
              </w:rPr>
              <w:t>Symptoms of Lyme disease</w:t>
            </w:r>
            <w:r>
              <w:rPr>
                <w:sz w:val="20"/>
                <w:szCs w:val="20"/>
              </w:rPr>
              <w:t xml:space="preserve"> (according to European guidelines – Stanek, 2011) </w:t>
            </w:r>
            <w:r>
              <w:rPr>
                <w:b/>
                <w:sz w:val="20"/>
                <w:szCs w:val="20"/>
              </w:rPr>
              <w:t>and/ or seroconversion</w:t>
            </w:r>
            <w:r>
              <w:rPr>
                <w:sz w:val="20"/>
                <w:szCs w:val="20"/>
              </w:rPr>
              <w:t xml:space="preserve"> at one-year follow-up.</w:t>
            </w:r>
          </w:p>
          <w:p w14:paraId="3AA3F783" w14:textId="77777777" w:rsidR="002D58E4" w:rsidRDefault="002D58E4">
            <w:pPr>
              <w:rPr>
                <w:sz w:val="20"/>
                <w:szCs w:val="20"/>
              </w:rPr>
            </w:pPr>
          </w:p>
          <w:p w14:paraId="3F5B2BCA" w14:textId="77777777" w:rsidR="002D58E4" w:rsidRDefault="00F721D4">
            <w:pPr>
              <w:rPr>
                <w:sz w:val="20"/>
                <w:szCs w:val="20"/>
              </w:rPr>
            </w:pPr>
            <w:r>
              <w:rPr>
                <w:sz w:val="20"/>
                <w:szCs w:val="20"/>
                <w:u w:val="single"/>
              </w:rPr>
              <w:t>Note:</w:t>
            </w:r>
            <w:r>
              <w:rPr>
                <w:sz w:val="20"/>
                <w:szCs w:val="20"/>
              </w:rPr>
              <w:t xml:space="preserve"> 18 out of 20 tick-test (+) and 19 out of 20 tick-test (-) patients received antibiotic prophylaxis after the bite, which may have biased the results.  Also, </w:t>
            </w:r>
            <w:r>
              <w:rPr>
                <w:sz w:val="20"/>
                <w:szCs w:val="20"/>
              </w:rPr>
              <w:lastRenderedPageBreak/>
              <w:t>additional tick bites were recorded during the long follow-up – another source of bias.</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7ABCBC9" w14:textId="77777777" w:rsidR="002D58E4" w:rsidRDefault="00F721D4">
            <w:pPr>
              <w:rPr>
                <w:sz w:val="20"/>
                <w:szCs w:val="20"/>
              </w:rPr>
            </w:pPr>
            <w:r>
              <w:rPr>
                <w:sz w:val="20"/>
                <w:szCs w:val="20"/>
              </w:rPr>
              <w:lastRenderedPageBreak/>
              <w:t xml:space="preserve">Overall, 11% of ticks were positive for </w:t>
            </w:r>
            <w:r>
              <w:rPr>
                <w:i/>
                <w:sz w:val="20"/>
                <w:szCs w:val="20"/>
              </w:rPr>
              <w:t>B. burgdorferi s.l.</w:t>
            </w:r>
            <w:r>
              <w:rPr>
                <w:sz w:val="20"/>
                <w:szCs w:val="20"/>
              </w:rPr>
              <w:t xml:space="preserve"> (43 out of 389) (mainly </w:t>
            </w:r>
            <w:r>
              <w:rPr>
                <w:i/>
                <w:sz w:val="20"/>
                <w:szCs w:val="20"/>
              </w:rPr>
              <w:t>B. afzelii</w:t>
            </w:r>
            <w:r>
              <w:rPr>
                <w:sz w:val="20"/>
                <w:szCs w:val="20"/>
              </w:rPr>
              <w:t xml:space="preserve">, but </w:t>
            </w:r>
            <w:r>
              <w:rPr>
                <w:i/>
                <w:sz w:val="20"/>
                <w:szCs w:val="20"/>
              </w:rPr>
              <w:t>also B. garinii, B. burgdorferi sensu stricto, B. spielmanii/ B. valaisiana and B. lusitaniae</w:t>
            </w:r>
            <w:r>
              <w:rPr>
                <w:sz w:val="20"/>
                <w:szCs w:val="20"/>
              </w:rPr>
              <w:t>).</w:t>
            </w:r>
          </w:p>
          <w:p w14:paraId="04B5AAFA" w14:textId="77777777" w:rsidR="002D58E4" w:rsidRDefault="002D58E4">
            <w:pPr>
              <w:rPr>
                <w:sz w:val="20"/>
                <w:szCs w:val="20"/>
              </w:rPr>
            </w:pPr>
          </w:p>
          <w:p w14:paraId="486CDAD6" w14:textId="77777777" w:rsidR="002D58E4" w:rsidRDefault="00F721D4">
            <w:pPr>
              <w:rPr>
                <w:sz w:val="20"/>
                <w:szCs w:val="20"/>
              </w:rPr>
            </w:pPr>
            <w:r>
              <w:rPr>
                <w:b/>
                <w:sz w:val="20"/>
                <w:szCs w:val="20"/>
              </w:rPr>
              <w:t>Lyme disease (EM) incidence rate</w:t>
            </w:r>
            <w:r>
              <w:rPr>
                <w:sz w:val="20"/>
                <w:szCs w:val="20"/>
              </w:rPr>
              <w:t xml:space="preserve"> 1 year after bite: </w:t>
            </w:r>
          </w:p>
          <w:p w14:paraId="13142F6B" w14:textId="77777777" w:rsidR="002D58E4" w:rsidRDefault="00F721D4">
            <w:pPr>
              <w:rPr>
                <w:sz w:val="20"/>
                <w:szCs w:val="20"/>
              </w:rPr>
            </w:pPr>
            <w:r>
              <w:rPr>
                <w:sz w:val="20"/>
                <w:szCs w:val="20"/>
              </w:rPr>
              <w:t xml:space="preserve">Patients bitten by ticks tested positive for </w:t>
            </w:r>
            <w:r>
              <w:rPr>
                <w:i/>
                <w:sz w:val="20"/>
                <w:szCs w:val="20"/>
              </w:rPr>
              <w:t>Borrelia</w:t>
            </w:r>
            <w:r>
              <w:rPr>
                <w:sz w:val="20"/>
                <w:szCs w:val="20"/>
              </w:rPr>
              <w:t xml:space="preserve"> infection:  </w:t>
            </w:r>
            <w:r>
              <w:rPr>
                <w:b/>
                <w:sz w:val="20"/>
                <w:szCs w:val="20"/>
              </w:rPr>
              <w:t>10%</w:t>
            </w:r>
            <w:r>
              <w:rPr>
                <w:sz w:val="20"/>
                <w:szCs w:val="20"/>
              </w:rPr>
              <w:t xml:space="preserve"> (2 out of 20) – both after prophylaxis with amoxicillin.</w:t>
            </w:r>
          </w:p>
          <w:p w14:paraId="086BD006" w14:textId="77777777" w:rsidR="002D58E4" w:rsidRDefault="00F721D4">
            <w:pPr>
              <w:rPr>
                <w:sz w:val="20"/>
                <w:szCs w:val="20"/>
              </w:rPr>
            </w:pPr>
            <w:r>
              <w:rPr>
                <w:sz w:val="20"/>
                <w:szCs w:val="20"/>
              </w:rPr>
              <w:lastRenderedPageBreak/>
              <w:t xml:space="preserve">Patients bitten by ticks tested negative for </w:t>
            </w:r>
            <w:r>
              <w:rPr>
                <w:i/>
                <w:sz w:val="20"/>
                <w:szCs w:val="20"/>
              </w:rPr>
              <w:t>Borrelia</w:t>
            </w:r>
            <w:r>
              <w:rPr>
                <w:sz w:val="20"/>
                <w:szCs w:val="20"/>
              </w:rPr>
              <w:t xml:space="preserve"> infection: </w:t>
            </w:r>
            <w:r>
              <w:rPr>
                <w:b/>
                <w:sz w:val="20"/>
                <w:szCs w:val="20"/>
              </w:rPr>
              <w:t>0%</w:t>
            </w:r>
            <w:r>
              <w:rPr>
                <w:sz w:val="20"/>
                <w:szCs w:val="20"/>
              </w:rPr>
              <w:t xml:space="preserve"> (0 out of 20).</w:t>
            </w:r>
          </w:p>
          <w:p w14:paraId="2B1839D7" w14:textId="77777777" w:rsidR="002D58E4" w:rsidRDefault="00F721D4">
            <w:pPr>
              <w:rPr>
                <w:sz w:val="20"/>
                <w:szCs w:val="20"/>
              </w:rPr>
            </w:pPr>
            <w:r>
              <w:rPr>
                <w:b/>
                <w:sz w:val="20"/>
                <w:szCs w:val="20"/>
              </w:rPr>
              <w:t>Seroconversion</w:t>
            </w:r>
            <w:r>
              <w:rPr>
                <w:sz w:val="20"/>
                <w:szCs w:val="20"/>
              </w:rPr>
              <w:t xml:space="preserve"> after 1 year: </w:t>
            </w:r>
          </w:p>
          <w:p w14:paraId="5B6FC7C4" w14:textId="77777777" w:rsidR="002D58E4" w:rsidRDefault="00F721D4">
            <w:pPr>
              <w:rPr>
                <w:sz w:val="20"/>
                <w:szCs w:val="20"/>
              </w:rPr>
            </w:pPr>
            <w:r>
              <w:rPr>
                <w:sz w:val="20"/>
                <w:szCs w:val="20"/>
              </w:rPr>
              <w:t xml:space="preserve">Patients bitten by ticks tested positive:  </w:t>
            </w:r>
            <w:r>
              <w:rPr>
                <w:b/>
                <w:sz w:val="20"/>
                <w:szCs w:val="20"/>
              </w:rPr>
              <w:t>10%</w:t>
            </w:r>
            <w:r>
              <w:rPr>
                <w:sz w:val="20"/>
                <w:szCs w:val="20"/>
              </w:rPr>
              <w:t xml:space="preserve"> (2 out of 20)</w:t>
            </w:r>
          </w:p>
          <w:p w14:paraId="6A4FA229" w14:textId="77777777" w:rsidR="002D58E4" w:rsidRDefault="00F721D4">
            <w:pPr>
              <w:rPr>
                <w:sz w:val="20"/>
                <w:szCs w:val="20"/>
              </w:rPr>
            </w:pPr>
            <w:r>
              <w:rPr>
                <w:sz w:val="20"/>
                <w:szCs w:val="20"/>
              </w:rPr>
              <w:t xml:space="preserve">Patients bitten by ticks tested negative:  </w:t>
            </w:r>
            <w:r>
              <w:rPr>
                <w:b/>
                <w:sz w:val="20"/>
                <w:szCs w:val="20"/>
              </w:rPr>
              <w:t>15%</w:t>
            </w:r>
            <w:r>
              <w:rPr>
                <w:sz w:val="20"/>
                <w:szCs w:val="20"/>
              </w:rPr>
              <w:t xml:space="preserve"> (3 out of 20).</w:t>
            </w:r>
          </w:p>
        </w:tc>
      </w:tr>
      <w:tr w:rsidR="002D58E4" w14:paraId="246A8341" w14:textId="77777777">
        <w:trPr>
          <w:trHeight w:val="100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886A08E" w14:textId="77777777" w:rsidR="002D58E4" w:rsidRDefault="00F721D4">
            <w:pPr>
              <w:rPr>
                <w:sz w:val="20"/>
                <w:szCs w:val="20"/>
              </w:rPr>
            </w:pPr>
            <w:r>
              <w:rPr>
                <w:sz w:val="20"/>
                <w:szCs w:val="20"/>
              </w:rPr>
              <w:t>Tijsse-Klasen, 2011</w:t>
            </w:r>
          </w:p>
          <w:p w14:paraId="0FCA5955" w14:textId="77777777" w:rsidR="002D58E4" w:rsidRDefault="002D58E4">
            <w:pPr>
              <w:rPr>
                <w:sz w:val="20"/>
                <w:szCs w:val="20"/>
              </w:rPr>
            </w:pPr>
          </w:p>
          <w:p w14:paraId="60D1BB03" w14:textId="77777777" w:rsidR="002D58E4" w:rsidRDefault="00F721D4">
            <w:pPr>
              <w:rPr>
                <w:sz w:val="20"/>
                <w:szCs w:val="20"/>
              </w:rPr>
            </w:pPr>
            <w:r>
              <w:rPr>
                <w:sz w:val="20"/>
                <w:szCs w:val="20"/>
              </w:rPr>
              <w:t>Netherlands</w:t>
            </w:r>
          </w:p>
        </w:tc>
        <w:tc>
          <w:tcPr>
            <w:tcW w:w="1350" w:type="dxa"/>
            <w:tcBorders>
              <w:top w:val="single" w:sz="6" w:space="0" w:color="AEAEAE"/>
              <w:left w:val="single" w:sz="6" w:space="0" w:color="AEAEAE"/>
              <w:bottom w:val="single" w:sz="6" w:space="0" w:color="AEAEAE"/>
              <w:right w:val="single" w:sz="6" w:space="0" w:color="AEAEAE"/>
            </w:tcBorders>
            <w:vAlign w:val="center"/>
          </w:tcPr>
          <w:p w14:paraId="69005793"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4D2C9B69" w14:textId="77777777" w:rsidR="002D58E4" w:rsidRDefault="00F721D4">
            <w:pPr>
              <w:jc w:val="center"/>
              <w:rPr>
                <w:sz w:val="20"/>
                <w:szCs w:val="20"/>
              </w:rPr>
            </w:pPr>
            <w:r>
              <w:rPr>
                <w:sz w:val="20"/>
                <w:szCs w:val="20"/>
              </w:rPr>
              <w:t>4</w:t>
            </w:r>
          </w:p>
        </w:tc>
        <w:tc>
          <w:tcPr>
            <w:tcW w:w="1080" w:type="dxa"/>
            <w:tcBorders>
              <w:top w:val="single" w:sz="6" w:space="0" w:color="AEAEAE"/>
              <w:left w:val="single" w:sz="6" w:space="0" w:color="AEAEAE"/>
              <w:bottom w:val="single" w:sz="6" w:space="0" w:color="AEAEAE"/>
              <w:right w:val="single" w:sz="6" w:space="0" w:color="AEAEAE"/>
            </w:tcBorders>
            <w:vAlign w:val="center"/>
          </w:tcPr>
          <w:p w14:paraId="4352F265" w14:textId="77777777" w:rsidR="002D58E4" w:rsidRDefault="00F721D4">
            <w:pPr>
              <w:rPr>
                <w:i/>
                <w:sz w:val="20"/>
                <w:szCs w:val="20"/>
              </w:rPr>
            </w:pPr>
            <w:r>
              <w:rPr>
                <w:i/>
                <w:sz w:val="20"/>
                <w:szCs w:val="20"/>
              </w:rPr>
              <w:t>I. ricinus</w:t>
            </w:r>
          </w:p>
        </w:tc>
        <w:tc>
          <w:tcPr>
            <w:tcW w:w="2610" w:type="dxa"/>
            <w:tcBorders>
              <w:top w:val="single" w:sz="6" w:space="0" w:color="AEAEAE"/>
              <w:left w:val="single" w:sz="6" w:space="0" w:color="AEAEAE"/>
              <w:bottom w:val="single" w:sz="6" w:space="0" w:color="AEAEAE"/>
              <w:right w:val="single" w:sz="6" w:space="0" w:color="AEAEAE"/>
            </w:tcBorders>
            <w:vAlign w:val="center"/>
          </w:tcPr>
          <w:p w14:paraId="6029F211" w14:textId="77777777" w:rsidR="002D58E4" w:rsidRDefault="00F721D4">
            <w:pPr>
              <w:rPr>
                <w:sz w:val="20"/>
                <w:szCs w:val="20"/>
              </w:rPr>
            </w:pPr>
            <w:r>
              <w:rPr>
                <w:sz w:val="20"/>
                <w:szCs w:val="20"/>
              </w:rPr>
              <w:t xml:space="preserve">246 participants who had consulted a general practitioner for tick bites were included. </w:t>
            </w:r>
          </w:p>
          <w:p w14:paraId="44386D29" w14:textId="77777777" w:rsidR="002D58E4" w:rsidRDefault="002D58E4">
            <w:pPr>
              <w:rPr>
                <w:sz w:val="20"/>
                <w:szCs w:val="20"/>
              </w:rPr>
            </w:pPr>
          </w:p>
          <w:p w14:paraId="43C0A8D1" w14:textId="77777777" w:rsidR="002D58E4" w:rsidRDefault="00F721D4">
            <w:pPr>
              <w:rPr>
                <w:sz w:val="20"/>
                <w:szCs w:val="20"/>
              </w:rPr>
            </w:pPr>
            <w:r>
              <w:rPr>
                <w:sz w:val="20"/>
                <w:szCs w:val="20"/>
              </w:rPr>
              <w:t xml:space="preserve">Ticks were identified and tested for </w:t>
            </w:r>
            <w:r>
              <w:rPr>
                <w:i/>
                <w:sz w:val="20"/>
                <w:szCs w:val="20"/>
              </w:rPr>
              <w:t>Borrelia burgdorferi s.l., Rickettsia spp., Babesia spp. or Ehrlichia/Anaplasma spp</w:t>
            </w:r>
            <w:r>
              <w:rPr>
                <w:sz w:val="20"/>
                <w:szCs w:val="20"/>
              </w:rPr>
              <w:t xml:space="preserve"> infection using </w:t>
            </w:r>
            <w:r>
              <w:rPr>
                <w:b/>
                <w:sz w:val="20"/>
                <w:szCs w:val="20"/>
              </w:rPr>
              <w:t>PCR</w:t>
            </w:r>
            <w:r>
              <w:rPr>
                <w:sz w:val="20"/>
                <w:szCs w:val="20"/>
              </w:rPr>
              <w:t>.</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1193B7B" w14:textId="77777777" w:rsidR="002D58E4" w:rsidRDefault="00F721D4">
            <w:pPr>
              <w:rPr>
                <w:sz w:val="20"/>
                <w:szCs w:val="20"/>
              </w:rPr>
            </w:pPr>
            <w:r>
              <w:rPr>
                <w:sz w:val="20"/>
                <w:szCs w:val="20"/>
              </w:rPr>
              <w:t xml:space="preserve">Patients received an initial questionnaire concerning number of tick bites and duration of tick attachment. </w:t>
            </w:r>
          </w:p>
          <w:p w14:paraId="500BCA8E" w14:textId="77777777" w:rsidR="002D58E4" w:rsidRDefault="002D58E4">
            <w:pPr>
              <w:rPr>
                <w:sz w:val="20"/>
                <w:szCs w:val="20"/>
              </w:rPr>
            </w:pPr>
          </w:p>
          <w:p w14:paraId="6F668080" w14:textId="77777777" w:rsidR="002D58E4" w:rsidRDefault="00F721D4">
            <w:pPr>
              <w:rPr>
                <w:sz w:val="20"/>
                <w:szCs w:val="20"/>
              </w:rPr>
            </w:pPr>
            <w:r>
              <w:rPr>
                <w:sz w:val="20"/>
                <w:szCs w:val="20"/>
              </w:rPr>
              <w:t>Patients were followed up approximately 6 months later and received a questionnaire assessing the presence of potential Lyme disease symptoms.</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A5CA350" w14:textId="77777777" w:rsidR="002D58E4" w:rsidRDefault="00F721D4">
            <w:pPr>
              <w:rPr>
                <w:sz w:val="20"/>
                <w:szCs w:val="20"/>
              </w:rPr>
            </w:pPr>
            <w:r>
              <w:rPr>
                <w:sz w:val="20"/>
                <w:szCs w:val="20"/>
              </w:rPr>
              <w:t>Potential Lyme disease cases were identified by self-reported symptoms related to the tick bite, including local redness or erythema migrans and systemic symptoms as fever, malaise, palpitations, joint problems, or neurological symptoms</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EF214CB" w14:textId="77777777" w:rsidR="002D58E4" w:rsidRDefault="00F721D4">
            <w:pPr>
              <w:rPr>
                <w:i/>
                <w:sz w:val="20"/>
                <w:szCs w:val="20"/>
              </w:rPr>
            </w:pPr>
            <w:r>
              <w:rPr>
                <w:sz w:val="20"/>
                <w:szCs w:val="20"/>
              </w:rPr>
              <w:t xml:space="preserve">Overall, 16% of ticks were positive for </w:t>
            </w:r>
            <w:r>
              <w:rPr>
                <w:i/>
                <w:sz w:val="20"/>
                <w:szCs w:val="20"/>
              </w:rPr>
              <w:t>B. burgdorferi s.l.</w:t>
            </w:r>
          </w:p>
          <w:p w14:paraId="08149CB2" w14:textId="77777777" w:rsidR="002D58E4" w:rsidRDefault="002D58E4">
            <w:pPr>
              <w:rPr>
                <w:i/>
                <w:sz w:val="20"/>
                <w:szCs w:val="20"/>
              </w:rPr>
            </w:pPr>
          </w:p>
          <w:p w14:paraId="19CC1030" w14:textId="77777777" w:rsidR="002D58E4" w:rsidRDefault="00F721D4">
            <w:pPr>
              <w:rPr>
                <w:sz w:val="20"/>
                <w:szCs w:val="20"/>
              </w:rPr>
            </w:pPr>
            <w:r>
              <w:rPr>
                <w:rFonts w:ascii="Arial Unicode MS" w:eastAsia="Arial Unicode MS" w:hAnsi="Arial Unicode MS" w:cs="Arial Unicode MS"/>
                <w:sz w:val="20"/>
                <w:szCs w:val="20"/>
              </w:rPr>
              <w:t>≥</w:t>
            </w:r>
            <w:r>
              <w:rPr>
                <w:sz w:val="20"/>
                <w:szCs w:val="20"/>
              </w:rPr>
              <w:t>6 months after tick bite, 14 out of 193 participants (8.3%) reported reddening at the bite site and 6 participants (4.1%) reported systemic symptoms. No association between symptoms and tick-borne microorganisms was found.</w:t>
            </w:r>
            <w:r>
              <w:t xml:space="preserve"> </w:t>
            </w:r>
          </w:p>
          <w:p w14:paraId="4495CBC4" w14:textId="77777777" w:rsidR="002D58E4" w:rsidRDefault="002D58E4">
            <w:pPr>
              <w:rPr>
                <w:sz w:val="20"/>
                <w:szCs w:val="20"/>
              </w:rPr>
            </w:pPr>
          </w:p>
          <w:p w14:paraId="41B6FF3C" w14:textId="77777777" w:rsidR="002D58E4" w:rsidRDefault="00F721D4">
            <w:pPr>
              <w:rPr>
                <w:sz w:val="20"/>
                <w:szCs w:val="20"/>
              </w:rPr>
            </w:pPr>
            <w:r>
              <w:rPr>
                <w:sz w:val="20"/>
                <w:szCs w:val="20"/>
              </w:rPr>
              <w:t>Attachment duration ≥24 h was positively associated with reddening at the bite site and systemic symptoms.</w:t>
            </w:r>
          </w:p>
        </w:tc>
      </w:tr>
      <w:tr w:rsidR="002D58E4" w14:paraId="64A32D67" w14:textId="77777777">
        <w:trPr>
          <w:trHeight w:val="100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53A2204" w14:textId="77777777" w:rsidR="002D58E4" w:rsidRDefault="00F721D4">
            <w:pPr>
              <w:rPr>
                <w:sz w:val="20"/>
                <w:szCs w:val="20"/>
              </w:rPr>
            </w:pPr>
            <w:r>
              <w:rPr>
                <w:sz w:val="20"/>
                <w:szCs w:val="20"/>
              </w:rPr>
              <w:t>Hofhuis, 2013</w:t>
            </w:r>
          </w:p>
          <w:p w14:paraId="4237BF48" w14:textId="77777777" w:rsidR="002D58E4" w:rsidRDefault="002D58E4">
            <w:pPr>
              <w:rPr>
                <w:sz w:val="20"/>
                <w:szCs w:val="20"/>
              </w:rPr>
            </w:pPr>
          </w:p>
          <w:p w14:paraId="6FB20019" w14:textId="77777777" w:rsidR="002D58E4" w:rsidRDefault="00F721D4">
            <w:pPr>
              <w:rPr>
                <w:sz w:val="20"/>
                <w:szCs w:val="20"/>
              </w:rPr>
            </w:pPr>
            <w:r>
              <w:rPr>
                <w:sz w:val="20"/>
                <w:szCs w:val="20"/>
              </w:rPr>
              <w:t>Netherlands</w:t>
            </w:r>
          </w:p>
        </w:tc>
        <w:tc>
          <w:tcPr>
            <w:tcW w:w="1350" w:type="dxa"/>
            <w:tcBorders>
              <w:top w:val="single" w:sz="6" w:space="0" w:color="AEAEAE"/>
              <w:left w:val="single" w:sz="6" w:space="0" w:color="AEAEAE"/>
              <w:bottom w:val="single" w:sz="6" w:space="0" w:color="AEAEAE"/>
              <w:right w:val="single" w:sz="6" w:space="0" w:color="AEAEAE"/>
            </w:tcBorders>
            <w:vAlign w:val="center"/>
          </w:tcPr>
          <w:p w14:paraId="1ABAC236" w14:textId="77777777" w:rsidR="002D58E4" w:rsidRDefault="00F721D4">
            <w:pPr>
              <w:rPr>
                <w:sz w:val="20"/>
                <w:szCs w:val="20"/>
              </w:rPr>
            </w:pPr>
            <w:r>
              <w:rPr>
                <w:sz w:val="20"/>
                <w:szCs w:val="20"/>
              </w:rPr>
              <w:t>Prospective cohort</w:t>
            </w:r>
          </w:p>
        </w:tc>
        <w:tc>
          <w:tcPr>
            <w:tcW w:w="720" w:type="dxa"/>
            <w:tcBorders>
              <w:top w:val="single" w:sz="6" w:space="0" w:color="AEAEAE"/>
              <w:left w:val="single" w:sz="6" w:space="0" w:color="AEAEAE"/>
              <w:bottom w:val="single" w:sz="6" w:space="0" w:color="AEAEAE"/>
              <w:right w:val="single" w:sz="6" w:space="0" w:color="AEAEAE"/>
            </w:tcBorders>
            <w:vAlign w:val="center"/>
          </w:tcPr>
          <w:p w14:paraId="09B9404D" w14:textId="77777777" w:rsidR="002D58E4" w:rsidRDefault="00F721D4">
            <w:pPr>
              <w:jc w:val="center"/>
              <w:rPr>
                <w:sz w:val="20"/>
                <w:szCs w:val="20"/>
              </w:rPr>
            </w:pPr>
            <w:r>
              <w:rPr>
                <w:sz w:val="20"/>
                <w:szCs w:val="20"/>
              </w:rPr>
              <w:t>8</w:t>
            </w:r>
          </w:p>
        </w:tc>
        <w:tc>
          <w:tcPr>
            <w:tcW w:w="1080" w:type="dxa"/>
            <w:tcBorders>
              <w:top w:val="single" w:sz="6" w:space="0" w:color="AEAEAE"/>
              <w:left w:val="single" w:sz="6" w:space="0" w:color="AEAEAE"/>
              <w:bottom w:val="single" w:sz="6" w:space="0" w:color="AEAEAE"/>
              <w:right w:val="single" w:sz="6" w:space="0" w:color="AEAEAE"/>
            </w:tcBorders>
            <w:vAlign w:val="center"/>
          </w:tcPr>
          <w:p w14:paraId="22E483AB" w14:textId="77777777" w:rsidR="002D58E4" w:rsidRDefault="00F721D4">
            <w:pPr>
              <w:rPr>
                <w:i/>
                <w:sz w:val="20"/>
                <w:szCs w:val="20"/>
              </w:rPr>
            </w:pPr>
            <w:r>
              <w:rPr>
                <w:i/>
                <w:sz w:val="20"/>
                <w:szCs w:val="20"/>
              </w:rPr>
              <w:t>I. ricinus (94%)</w:t>
            </w:r>
          </w:p>
        </w:tc>
        <w:tc>
          <w:tcPr>
            <w:tcW w:w="2610" w:type="dxa"/>
            <w:tcBorders>
              <w:top w:val="single" w:sz="6" w:space="0" w:color="AEAEAE"/>
              <w:left w:val="single" w:sz="6" w:space="0" w:color="AEAEAE"/>
              <w:bottom w:val="single" w:sz="6" w:space="0" w:color="AEAEAE"/>
              <w:right w:val="single" w:sz="6" w:space="0" w:color="AEAEAE"/>
            </w:tcBorders>
            <w:vAlign w:val="center"/>
          </w:tcPr>
          <w:p w14:paraId="339C0BB7" w14:textId="77777777" w:rsidR="002D58E4" w:rsidRDefault="00F721D4">
            <w:pPr>
              <w:rPr>
                <w:sz w:val="20"/>
                <w:szCs w:val="20"/>
              </w:rPr>
            </w:pPr>
            <w:r>
              <w:rPr>
                <w:sz w:val="20"/>
                <w:szCs w:val="20"/>
              </w:rPr>
              <w:t>644 patients who consulted a cooperating general practitioner for a recent EM or tick bite were included. 361 cases (55%) consulted their physician for a tick bite, and 283 (43%) consulted their physician at baseline with an EM that was undisputed by their physician</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47A4819" w14:textId="77777777" w:rsidR="002D58E4" w:rsidRDefault="00F721D4">
            <w:pPr>
              <w:rPr>
                <w:sz w:val="20"/>
                <w:szCs w:val="20"/>
              </w:rPr>
            </w:pPr>
            <w:r>
              <w:rPr>
                <w:sz w:val="20"/>
                <w:szCs w:val="20"/>
              </w:rPr>
              <w:t>Blood samples were collected at baseline and ticks were removed. Over half (56%) of the cases reported tick removal within 24 hours.</w:t>
            </w:r>
            <w:r>
              <w:t xml:space="preserve"> </w:t>
            </w:r>
            <w:r>
              <w:rPr>
                <w:sz w:val="20"/>
                <w:szCs w:val="20"/>
              </w:rPr>
              <w:t xml:space="preserve">Ticks removed from patients at baseline were tested for presence of </w:t>
            </w:r>
            <w:r>
              <w:rPr>
                <w:i/>
                <w:sz w:val="20"/>
                <w:szCs w:val="20"/>
              </w:rPr>
              <w:t xml:space="preserve">Borrelia </w:t>
            </w:r>
            <w:r>
              <w:rPr>
                <w:sz w:val="20"/>
                <w:szCs w:val="20"/>
              </w:rPr>
              <w:t xml:space="preserve">by </w:t>
            </w:r>
            <w:r>
              <w:rPr>
                <w:b/>
                <w:sz w:val="20"/>
                <w:szCs w:val="20"/>
              </w:rPr>
              <w:t>PCR</w:t>
            </w:r>
            <w:r>
              <w:rPr>
                <w:sz w:val="20"/>
                <w:szCs w:val="20"/>
              </w:rPr>
              <w:t>. Patients also received a questionnaire about baseline data.</w:t>
            </w:r>
          </w:p>
          <w:p w14:paraId="622C87AD" w14:textId="77777777" w:rsidR="002D58E4" w:rsidRDefault="002D58E4">
            <w:pPr>
              <w:rPr>
                <w:sz w:val="20"/>
                <w:szCs w:val="20"/>
              </w:rPr>
            </w:pPr>
          </w:p>
          <w:p w14:paraId="615DD236" w14:textId="77777777" w:rsidR="002D58E4" w:rsidRDefault="00F721D4">
            <w:pPr>
              <w:rPr>
                <w:sz w:val="20"/>
                <w:szCs w:val="20"/>
              </w:rPr>
            </w:pPr>
            <w:r>
              <w:rPr>
                <w:sz w:val="20"/>
                <w:szCs w:val="20"/>
              </w:rPr>
              <w:lastRenderedPageBreak/>
              <w:t>A follow-up questionnaire was sent and blood samples were collected 3 months later.</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7563DB4" w14:textId="77777777" w:rsidR="002D58E4" w:rsidRDefault="00F721D4">
            <w:pPr>
              <w:rPr>
                <w:sz w:val="20"/>
                <w:szCs w:val="20"/>
              </w:rPr>
            </w:pPr>
            <w:r>
              <w:rPr>
                <w:i/>
                <w:sz w:val="20"/>
                <w:szCs w:val="20"/>
              </w:rPr>
              <w:lastRenderedPageBreak/>
              <w:t>Borrelia</w:t>
            </w:r>
            <w:r>
              <w:rPr>
                <w:sz w:val="20"/>
                <w:szCs w:val="20"/>
              </w:rPr>
              <w:t xml:space="preserve"> infection was defined as development of physician-confirmed clinical Lyme borreliosis such as EM, </w:t>
            </w:r>
            <w:r>
              <w:rPr>
                <w:b/>
                <w:sz w:val="20"/>
                <w:szCs w:val="20"/>
              </w:rPr>
              <w:t>and/or</w:t>
            </w:r>
            <w:r>
              <w:rPr>
                <w:sz w:val="20"/>
                <w:szCs w:val="20"/>
              </w:rPr>
              <w:t xml:space="preserve"> seroconversion for </w:t>
            </w:r>
            <w:r>
              <w:rPr>
                <w:i/>
                <w:sz w:val="20"/>
                <w:szCs w:val="20"/>
              </w:rPr>
              <w:t>Borrelia</w:t>
            </w:r>
            <w:r>
              <w:rPr>
                <w:sz w:val="20"/>
                <w:szCs w:val="20"/>
              </w:rPr>
              <w:t xml:space="preserve">-specific antibodies confirmed by two-tiered testing via C6 ELISA and IgM/IgG Immunoblots. </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28A054B" w14:textId="77777777" w:rsidR="002D58E4" w:rsidRDefault="00F721D4">
            <w:pPr>
              <w:rPr>
                <w:sz w:val="20"/>
                <w:szCs w:val="20"/>
              </w:rPr>
            </w:pPr>
            <w:r>
              <w:rPr>
                <w:i/>
                <w:sz w:val="20"/>
                <w:szCs w:val="20"/>
              </w:rPr>
              <w:t>Borrelia burgdorferi</w:t>
            </w:r>
            <w:r>
              <w:rPr>
                <w:sz w:val="20"/>
                <w:szCs w:val="20"/>
              </w:rPr>
              <w:t xml:space="preserve"> sensu lato</w:t>
            </w:r>
          </w:p>
          <w:p w14:paraId="33FA0575" w14:textId="77777777" w:rsidR="002D58E4" w:rsidRDefault="00F721D4">
            <w:pPr>
              <w:rPr>
                <w:sz w:val="20"/>
                <w:szCs w:val="20"/>
              </w:rPr>
            </w:pPr>
            <w:r>
              <w:rPr>
                <w:sz w:val="20"/>
                <w:szCs w:val="20"/>
              </w:rPr>
              <w:t xml:space="preserve">DNA was detected in 92 out of 314 ticks collected (29.3%). </w:t>
            </w:r>
          </w:p>
          <w:p w14:paraId="19B0330C" w14:textId="77777777" w:rsidR="002D58E4" w:rsidRDefault="002D58E4">
            <w:pPr>
              <w:rPr>
                <w:sz w:val="20"/>
                <w:szCs w:val="20"/>
              </w:rPr>
            </w:pPr>
          </w:p>
          <w:p w14:paraId="17A30929" w14:textId="77777777" w:rsidR="002D58E4" w:rsidRDefault="00F721D4">
            <w:pPr>
              <w:rPr>
                <w:sz w:val="20"/>
                <w:szCs w:val="20"/>
              </w:rPr>
            </w:pPr>
            <w:r>
              <w:rPr>
                <w:sz w:val="20"/>
                <w:szCs w:val="20"/>
              </w:rPr>
              <w:t xml:space="preserve">Seroconversion for </w:t>
            </w:r>
            <w:r>
              <w:rPr>
                <w:i/>
                <w:sz w:val="20"/>
                <w:szCs w:val="20"/>
              </w:rPr>
              <w:t>Borrelia</w:t>
            </w:r>
            <w:r>
              <w:rPr>
                <w:sz w:val="20"/>
                <w:szCs w:val="20"/>
              </w:rPr>
              <w:t xml:space="preserve">-specific antibodies was observed in 3.2% of tick bite cases. 14 tick bite cases had evidence of early </w:t>
            </w:r>
            <w:r>
              <w:rPr>
                <w:i/>
                <w:sz w:val="20"/>
                <w:szCs w:val="20"/>
              </w:rPr>
              <w:t>Borrelia</w:t>
            </w:r>
            <w:r>
              <w:rPr>
                <w:sz w:val="20"/>
                <w:szCs w:val="20"/>
              </w:rPr>
              <w:t xml:space="preserve"> infection, with EM developing in seven cases. The risk of developing EM after tick bites was 2.6% (95%CI: 1.1%–5.0%), and the risk of either EM or seroconversion was 5.1% </w:t>
            </w:r>
            <w:r>
              <w:rPr>
                <w:sz w:val="20"/>
                <w:szCs w:val="20"/>
              </w:rPr>
              <w:lastRenderedPageBreak/>
              <w:t>(95%CI: 2.9%–8.2%).</w:t>
            </w:r>
            <w:r>
              <w:t xml:space="preserve"> </w:t>
            </w:r>
            <w:r>
              <w:rPr>
                <w:b/>
                <w:sz w:val="20"/>
                <w:szCs w:val="20"/>
              </w:rPr>
              <w:t xml:space="preserve">Participants with </w:t>
            </w:r>
            <w:r>
              <w:rPr>
                <w:b/>
                <w:i/>
                <w:sz w:val="20"/>
                <w:szCs w:val="20"/>
              </w:rPr>
              <w:t>Borrelia</w:t>
            </w:r>
            <w:r>
              <w:rPr>
                <w:b/>
                <w:sz w:val="20"/>
                <w:szCs w:val="20"/>
              </w:rPr>
              <w:t>-positive ticks had a significantly higher risk of either EM or seroconversion (odds ratio 4.8, 95%CI: 1.1–20.4).</w:t>
            </w:r>
          </w:p>
        </w:tc>
      </w:tr>
      <w:tr w:rsidR="002D58E4" w14:paraId="1A2B059C" w14:textId="77777777">
        <w:trPr>
          <w:trHeight w:val="100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311BB82" w14:textId="77777777" w:rsidR="002D58E4" w:rsidRDefault="00F721D4">
            <w:pPr>
              <w:rPr>
                <w:sz w:val="20"/>
                <w:szCs w:val="20"/>
              </w:rPr>
            </w:pPr>
            <w:r>
              <w:rPr>
                <w:sz w:val="20"/>
                <w:szCs w:val="20"/>
              </w:rPr>
              <w:t>Hofhuis, 2017</w:t>
            </w:r>
          </w:p>
          <w:p w14:paraId="3A534411" w14:textId="77777777" w:rsidR="002D58E4" w:rsidRDefault="002D58E4">
            <w:pPr>
              <w:rPr>
                <w:sz w:val="20"/>
                <w:szCs w:val="20"/>
              </w:rPr>
            </w:pPr>
          </w:p>
          <w:p w14:paraId="276711D9" w14:textId="77777777" w:rsidR="002D58E4" w:rsidRDefault="00F721D4">
            <w:pPr>
              <w:rPr>
                <w:sz w:val="20"/>
                <w:szCs w:val="20"/>
              </w:rPr>
            </w:pPr>
            <w:r>
              <w:rPr>
                <w:sz w:val="20"/>
                <w:szCs w:val="20"/>
              </w:rPr>
              <w:t>Netherlands</w:t>
            </w:r>
          </w:p>
        </w:tc>
        <w:tc>
          <w:tcPr>
            <w:tcW w:w="1350" w:type="dxa"/>
            <w:tcBorders>
              <w:top w:val="single" w:sz="6" w:space="0" w:color="AEAEAE"/>
              <w:left w:val="single" w:sz="6" w:space="0" w:color="AEAEAE"/>
              <w:bottom w:val="single" w:sz="6" w:space="0" w:color="AEAEAE"/>
              <w:right w:val="single" w:sz="6" w:space="0" w:color="AEAEAE"/>
            </w:tcBorders>
            <w:vAlign w:val="center"/>
          </w:tcPr>
          <w:p w14:paraId="38248B39" w14:textId="77777777" w:rsidR="002D58E4" w:rsidRDefault="00F721D4">
            <w:pPr>
              <w:rPr>
                <w:sz w:val="20"/>
                <w:szCs w:val="20"/>
              </w:rPr>
            </w:pPr>
            <w:r>
              <w:rPr>
                <w:sz w:val="20"/>
                <w:szCs w:val="20"/>
              </w:rPr>
              <w:t>Pooled analysis of Hofhuis 2013, Wilhelmsson 2016, and Sprong 2013 (Parasit Vectors. 2013 Dec 4;6:338)</w:t>
            </w:r>
          </w:p>
        </w:tc>
        <w:tc>
          <w:tcPr>
            <w:tcW w:w="720" w:type="dxa"/>
            <w:tcBorders>
              <w:top w:val="single" w:sz="6" w:space="0" w:color="AEAEAE"/>
              <w:left w:val="single" w:sz="6" w:space="0" w:color="AEAEAE"/>
              <w:bottom w:val="single" w:sz="6" w:space="0" w:color="AEAEAE"/>
              <w:right w:val="single" w:sz="6" w:space="0" w:color="AEAEAE"/>
            </w:tcBorders>
            <w:vAlign w:val="center"/>
          </w:tcPr>
          <w:p w14:paraId="6CFDD7EE" w14:textId="77777777" w:rsidR="002D58E4" w:rsidRDefault="00F721D4">
            <w:pPr>
              <w:jc w:val="center"/>
              <w:rPr>
                <w:sz w:val="20"/>
                <w:szCs w:val="20"/>
              </w:rPr>
            </w:pPr>
            <w:r>
              <w:rPr>
                <w:sz w:val="20"/>
                <w:szCs w:val="20"/>
              </w:rPr>
              <w:t>NA</w:t>
            </w:r>
          </w:p>
        </w:tc>
        <w:tc>
          <w:tcPr>
            <w:tcW w:w="1080" w:type="dxa"/>
            <w:tcBorders>
              <w:top w:val="single" w:sz="6" w:space="0" w:color="AEAEAE"/>
              <w:left w:val="single" w:sz="6" w:space="0" w:color="AEAEAE"/>
              <w:bottom w:val="single" w:sz="6" w:space="0" w:color="AEAEAE"/>
              <w:right w:val="single" w:sz="6" w:space="0" w:color="AEAEAE"/>
            </w:tcBorders>
            <w:vAlign w:val="center"/>
          </w:tcPr>
          <w:p w14:paraId="6151B793" w14:textId="77777777" w:rsidR="002D58E4" w:rsidRDefault="00F721D4">
            <w:pPr>
              <w:rPr>
                <w:i/>
                <w:sz w:val="20"/>
                <w:szCs w:val="20"/>
              </w:rPr>
            </w:pPr>
            <w:r>
              <w:rPr>
                <w:i/>
                <w:sz w:val="20"/>
                <w:szCs w:val="20"/>
              </w:rPr>
              <w:t>I. ricinus</w:t>
            </w:r>
          </w:p>
        </w:tc>
        <w:tc>
          <w:tcPr>
            <w:tcW w:w="2610" w:type="dxa"/>
            <w:tcBorders>
              <w:top w:val="single" w:sz="6" w:space="0" w:color="AEAEAE"/>
              <w:left w:val="single" w:sz="6" w:space="0" w:color="AEAEAE"/>
              <w:bottom w:val="single" w:sz="6" w:space="0" w:color="AEAEAE"/>
              <w:right w:val="single" w:sz="6" w:space="0" w:color="AEAEAE"/>
            </w:tcBorders>
            <w:vAlign w:val="center"/>
          </w:tcPr>
          <w:p w14:paraId="16FC74D2" w14:textId="77777777" w:rsidR="002D58E4" w:rsidRDefault="00F721D4">
            <w:pPr>
              <w:rPr>
                <w:sz w:val="20"/>
                <w:szCs w:val="20"/>
              </w:rPr>
            </w:pPr>
            <w:r>
              <w:rPr>
                <w:sz w:val="20"/>
                <w:szCs w:val="20"/>
              </w:rPr>
              <w:t>3,525 single tick bite reports extracted from three large prospective studies, with 50 reports of Lyme borreliosis during the 2-3 month follow-up period, among 1,973 reports with known outcome.</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E1A5DC6" w14:textId="77777777" w:rsidR="002D58E4" w:rsidRDefault="00F721D4">
            <w:pPr>
              <w:rPr>
                <w:sz w:val="20"/>
                <w:szCs w:val="20"/>
              </w:rPr>
            </w:pPr>
            <w:r>
              <w:rPr>
                <w:sz w:val="20"/>
                <w:szCs w:val="20"/>
              </w:rPr>
              <w:t>All study participants were asked to fill out questionnaires at enrollment and at follow-up, including questions on duration of tick attachment in the skin, the number of tick bites, and development of Lyme borreliosis.</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48C6BB2" w14:textId="77777777" w:rsidR="002D58E4" w:rsidRDefault="00F721D4">
            <w:pPr>
              <w:rPr>
                <w:sz w:val="20"/>
                <w:szCs w:val="20"/>
              </w:rPr>
            </w:pPr>
            <w:r>
              <w:rPr>
                <w:sz w:val="20"/>
                <w:szCs w:val="20"/>
              </w:rPr>
              <w:t>Lyme borreliosis within three months after a tick bite was categorized as “physician-confirmed erythema migrans” or “physician-confirmed disseminated Lyme borreliosis” when patient-reported Lyme borreliosis was confirmed by the general practitioner through an additional questionnaire.</w:t>
            </w:r>
            <w:r>
              <w:t xml:space="preserve"> </w:t>
            </w:r>
            <w:r>
              <w:rPr>
                <w:sz w:val="20"/>
                <w:szCs w:val="20"/>
              </w:rPr>
              <w:t>If no report from a general practitioner was available, researchers used patient-reported EM and looked at antibiotic records.</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A0C3B65" w14:textId="77777777" w:rsidR="002D58E4" w:rsidRDefault="00F721D4">
            <w:pPr>
              <w:rPr>
                <w:sz w:val="20"/>
                <w:szCs w:val="20"/>
              </w:rPr>
            </w:pPr>
            <w:r>
              <w:rPr>
                <w:sz w:val="20"/>
                <w:szCs w:val="20"/>
              </w:rPr>
              <w:t xml:space="preserve">The overall risk of developing Lyme borreliosis after a tick bite was 2.6% (95%CI 1.4–5.1). The risk increased with degree of tick engorgement, increased duration of tick attachment, and detection of Borrelia burgdorferi s.l. DNA in ticks. </w:t>
            </w:r>
          </w:p>
          <w:p w14:paraId="624F6037" w14:textId="77777777" w:rsidR="002D58E4" w:rsidRDefault="00F721D4">
            <w:pPr>
              <w:rPr>
                <w:sz w:val="20"/>
                <w:szCs w:val="20"/>
              </w:rPr>
            </w:pPr>
            <w:r>
              <w:rPr>
                <w:sz w:val="20"/>
                <w:szCs w:val="20"/>
              </w:rPr>
              <w:t>Detection of Borrelia DNA in the tick was the strongest and statistically significant predictor for the risk of developing Lyme borreliosis.</w:t>
            </w:r>
          </w:p>
        </w:tc>
      </w:tr>
      <w:tr w:rsidR="002D58E4" w14:paraId="561E14DC" w14:textId="77777777" w:rsidTr="00F721D4">
        <w:trPr>
          <w:trHeight w:val="100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F82ED29" w14:textId="77777777" w:rsidR="002D58E4" w:rsidRDefault="00F721D4">
            <w:pPr>
              <w:rPr>
                <w:sz w:val="20"/>
                <w:szCs w:val="20"/>
              </w:rPr>
            </w:pPr>
            <w:r>
              <w:rPr>
                <w:sz w:val="20"/>
                <w:szCs w:val="20"/>
              </w:rPr>
              <w:t>Steere, 2003</w:t>
            </w:r>
          </w:p>
          <w:p w14:paraId="5CD146A3" w14:textId="77777777" w:rsidR="002D58E4" w:rsidRDefault="002D58E4">
            <w:pPr>
              <w:rPr>
                <w:sz w:val="20"/>
                <w:szCs w:val="20"/>
              </w:rPr>
            </w:pPr>
          </w:p>
          <w:p w14:paraId="638FC815" w14:textId="77777777" w:rsidR="002D58E4" w:rsidRDefault="00F721D4">
            <w:pPr>
              <w:rPr>
                <w:sz w:val="20"/>
                <w:szCs w:val="20"/>
              </w:rPr>
            </w:pPr>
            <w:r>
              <w:rPr>
                <w:sz w:val="20"/>
                <w:szCs w:val="20"/>
              </w:rPr>
              <w:t>10 US states</w:t>
            </w:r>
          </w:p>
        </w:tc>
        <w:tc>
          <w:tcPr>
            <w:tcW w:w="1350" w:type="dxa"/>
            <w:tcBorders>
              <w:top w:val="single" w:sz="6" w:space="0" w:color="AEAEAE"/>
              <w:left w:val="single" w:sz="6" w:space="0" w:color="AEAEAE"/>
              <w:bottom w:val="single" w:sz="6" w:space="0" w:color="AEAEAE"/>
              <w:right w:val="single" w:sz="6" w:space="0" w:color="AEAEAE"/>
            </w:tcBorders>
            <w:vAlign w:val="center"/>
          </w:tcPr>
          <w:p w14:paraId="1DFBCAE9" w14:textId="77777777" w:rsidR="002D58E4" w:rsidRDefault="00F721D4">
            <w:pPr>
              <w:rPr>
                <w:sz w:val="20"/>
                <w:szCs w:val="20"/>
              </w:rPr>
            </w:pPr>
            <w:r>
              <w:rPr>
                <w:i/>
                <w:sz w:val="20"/>
                <w:szCs w:val="20"/>
              </w:rPr>
              <w:t>Post hoc</w:t>
            </w:r>
            <w:r>
              <w:rPr>
                <w:sz w:val="20"/>
                <w:szCs w:val="20"/>
              </w:rPr>
              <w:t xml:space="preserve"> analysis of a randomized controlled trial</w:t>
            </w:r>
          </w:p>
        </w:tc>
        <w:tc>
          <w:tcPr>
            <w:tcW w:w="720" w:type="dxa"/>
            <w:tcBorders>
              <w:top w:val="single" w:sz="6" w:space="0" w:color="AEAEAE"/>
              <w:left w:val="single" w:sz="6" w:space="0" w:color="AEAEAE"/>
              <w:bottom w:val="single" w:sz="6" w:space="0" w:color="AEAEAE"/>
              <w:right w:val="single" w:sz="6" w:space="0" w:color="AEAEAE"/>
            </w:tcBorders>
            <w:vAlign w:val="center"/>
          </w:tcPr>
          <w:p w14:paraId="5FA41B18" w14:textId="77777777" w:rsidR="002D58E4" w:rsidRDefault="00F721D4">
            <w:pPr>
              <w:jc w:val="center"/>
              <w:rPr>
                <w:sz w:val="20"/>
                <w:szCs w:val="20"/>
              </w:rPr>
            </w:pPr>
            <w:r>
              <w:rPr>
                <w:sz w:val="20"/>
                <w:szCs w:val="20"/>
              </w:rPr>
              <w:t>NA</w:t>
            </w:r>
          </w:p>
        </w:tc>
        <w:tc>
          <w:tcPr>
            <w:tcW w:w="1080" w:type="dxa"/>
            <w:tcBorders>
              <w:top w:val="single" w:sz="6" w:space="0" w:color="AEAEAE"/>
              <w:left w:val="single" w:sz="6" w:space="0" w:color="AEAEAE"/>
              <w:bottom w:val="single" w:sz="6" w:space="0" w:color="AEAEAE"/>
              <w:right w:val="single" w:sz="6" w:space="0" w:color="AEAEAE"/>
            </w:tcBorders>
            <w:vAlign w:val="center"/>
          </w:tcPr>
          <w:p w14:paraId="35B04861" w14:textId="77777777" w:rsidR="002D58E4" w:rsidRDefault="00F721D4">
            <w:pPr>
              <w:rPr>
                <w:sz w:val="20"/>
                <w:szCs w:val="20"/>
              </w:rPr>
            </w:pPr>
            <w:r>
              <w:rPr>
                <w:sz w:val="20"/>
                <w:szCs w:val="20"/>
              </w:rPr>
              <w:t>Ticks not specified</w:t>
            </w:r>
          </w:p>
        </w:tc>
        <w:tc>
          <w:tcPr>
            <w:tcW w:w="2610" w:type="dxa"/>
            <w:tcBorders>
              <w:top w:val="single" w:sz="6" w:space="0" w:color="AEAEAE"/>
              <w:left w:val="single" w:sz="6" w:space="0" w:color="AEAEAE"/>
              <w:bottom w:val="single" w:sz="6" w:space="0" w:color="AEAEAE"/>
              <w:right w:val="single" w:sz="6" w:space="0" w:color="AEAEAE"/>
            </w:tcBorders>
            <w:shd w:val="clear" w:color="auto" w:fill="auto"/>
          </w:tcPr>
          <w:p w14:paraId="46D570DA" w14:textId="77777777" w:rsidR="002D58E4" w:rsidRDefault="00F721D4">
            <w:pPr>
              <w:rPr>
                <w:sz w:val="20"/>
                <w:szCs w:val="20"/>
              </w:rPr>
            </w:pPr>
            <w:r>
              <w:rPr>
                <w:sz w:val="20"/>
                <w:szCs w:val="20"/>
              </w:rPr>
              <w:t>269 study participants who participated in a randomized controlled trial (RCT) assessing the efficacy of a Lyme disease vaccine versus placebo who met the criteria for Lyme disease were assessed for incidence of asymptomatic conversion.</w:t>
            </w:r>
          </w:p>
        </w:tc>
        <w:tc>
          <w:tcPr>
            <w:tcW w:w="24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tcPr>
          <w:p w14:paraId="05573D35" w14:textId="77777777" w:rsidR="002D58E4" w:rsidRDefault="00F721D4">
            <w:pPr>
              <w:rPr>
                <w:b/>
                <w:color w:val="000000"/>
                <w:sz w:val="20"/>
                <w:szCs w:val="20"/>
              </w:rPr>
            </w:pPr>
            <w:r>
              <w:rPr>
                <w:sz w:val="20"/>
                <w:szCs w:val="20"/>
              </w:rPr>
              <w:t xml:space="preserve">As part of the RCT protocol, participants received injections of recombinant outer-surface protein A (OspA) of </w:t>
            </w:r>
            <w:r>
              <w:rPr>
                <w:i/>
                <w:sz w:val="20"/>
                <w:szCs w:val="20"/>
              </w:rPr>
              <w:t>B. burgdorferi</w:t>
            </w:r>
            <w:r>
              <w:rPr>
                <w:sz w:val="20"/>
                <w:szCs w:val="20"/>
              </w:rPr>
              <w:t xml:space="preserve"> in adjuvant or of placebo at study entry and at 1 and 12 months after study entry.</w:t>
            </w:r>
          </w:p>
        </w:tc>
        <w:tc>
          <w:tcPr>
            <w:tcW w:w="23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tcPr>
          <w:p w14:paraId="7ED3BDD7" w14:textId="77777777" w:rsidR="002D58E4" w:rsidRDefault="00F721D4">
            <w:pPr>
              <w:rPr>
                <w:sz w:val="20"/>
                <w:szCs w:val="20"/>
              </w:rPr>
            </w:pPr>
            <w:r>
              <w:rPr>
                <w:sz w:val="20"/>
                <w:szCs w:val="20"/>
              </w:rPr>
              <w:t>Asymptomatic</w:t>
            </w:r>
          </w:p>
          <w:p w14:paraId="1C26EC06" w14:textId="77777777" w:rsidR="002D58E4" w:rsidRDefault="00F721D4">
            <w:pPr>
              <w:rPr>
                <w:sz w:val="20"/>
                <w:szCs w:val="20"/>
              </w:rPr>
            </w:pPr>
            <w:r>
              <w:rPr>
                <w:sz w:val="20"/>
                <w:szCs w:val="20"/>
              </w:rPr>
              <w:t xml:space="preserve">seroconversion was defined as development of IgG antibody response to </w:t>
            </w:r>
            <w:r>
              <w:rPr>
                <w:i/>
                <w:sz w:val="20"/>
                <w:szCs w:val="20"/>
              </w:rPr>
              <w:t>B. burgdorferi</w:t>
            </w:r>
            <w:r>
              <w:rPr>
                <w:sz w:val="20"/>
                <w:szCs w:val="20"/>
              </w:rPr>
              <w:t xml:space="preserve">, by whole-cell sonicate Western blotting during the intervals encompassing the 2 summer transmission seasons (2-12 months or 12-20 months). Testing </w:t>
            </w:r>
            <w:r>
              <w:rPr>
                <w:sz w:val="20"/>
                <w:szCs w:val="20"/>
              </w:rPr>
              <w:lastRenderedPageBreak/>
              <w:t>by sonicate ELISA was not done.</w:t>
            </w:r>
          </w:p>
        </w:tc>
        <w:tc>
          <w:tcPr>
            <w:tcW w:w="297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tcPr>
          <w:p w14:paraId="1C397308" w14:textId="77777777" w:rsidR="002D58E4" w:rsidRDefault="00F721D4">
            <w:pPr>
              <w:rPr>
                <w:sz w:val="20"/>
                <w:szCs w:val="20"/>
              </w:rPr>
            </w:pPr>
            <w:r>
              <w:rPr>
                <w:sz w:val="20"/>
                <w:szCs w:val="20"/>
              </w:rPr>
              <w:lastRenderedPageBreak/>
              <w:t xml:space="preserve">30 patients (11%) were classified as having asymptomatic IgG seroconversion to </w:t>
            </w:r>
            <w:r>
              <w:rPr>
                <w:i/>
                <w:sz w:val="20"/>
                <w:szCs w:val="20"/>
              </w:rPr>
              <w:t>B. burgdorferi</w:t>
            </w:r>
            <w:r>
              <w:rPr>
                <w:sz w:val="20"/>
                <w:szCs w:val="20"/>
              </w:rPr>
              <w:t xml:space="preserve">. </w:t>
            </w:r>
          </w:p>
          <w:p w14:paraId="62FEAD01" w14:textId="77777777" w:rsidR="002D58E4" w:rsidRDefault="002D58E4">
            <w:pPr>
              <w:rPr>
                <w:sz w:val="20"/>
                <w:szCs w:val="20"/>
              </w:rPr>
            </w:pPr>
          </w:p>
          <w:p w14:paraId="5F3FFAEB" w14:textId="20EA81DB" w:rsidR="002D58E4" w:rsidRDefault="00F721D4">
            <w:pPr>
              <w:rPr>
                <w:sz w:val="20"/>
                <w:szCs w:val="20"/>
              </w:rPr>
            </w:pPr>
            <w:r>
              <w:rPr>
                <w:sz w:val="20"/>
                <w:szCs w:val="20"/>
              </w:rPr>
              <w:t xml:space="preserve">28 of these 30 patients were shown to </w:t>
            </w:r>
            <w:r w:rsidR="00E40AB3">
              <w:rPr>
                <w:sz w:val="20"/>
                <w:szCs w:val="20"/>
              </w:rPr>
              <w:t xml:space="preserve">have </w:t>
            </w:r>
            <w:r>
              <w:rPr>
                <w:sz w:val="20"/>
                <w:szCs w:val="20"/>
              </w:rPr>
              <w:t xml:space="preserve">a ≥4-fold increases in antibody levels to the VlsE (IR6) peptide between pre- and post-summer serum samples, in addition to an increase in the number of bands seen on Western blots; however </w:t>
            </w:r>
            <w:r>
              <w:rPr>
                <w:sz w:val="20"/>
                <w:szCs w:val="20"/>
              </w:rPr>
              <w:lastRenderedPageBreak/>
              <w:t>6 patients were suspected to have been reinfected.</w:t>
            </w:r>
          </w:p>
          <w:p w14:paraId="3489F75E" w14:textId="77777777" w:rsidR="002D58E4" w:rsidRDefault="002D58E4">
            <w:pPr>
              <w:rPr>
                <w:sz w:val="20"/>
                <w:szCs w:val="20"/>
              </w:rPr>
            </w:pPr>
          </w:p>
          <w:p w14:paraId="2BE39D80" w14:textId="77777777" w:rsidR="002D58E4" w:rsidRDefault="00F721D4">
            <w:pPr>
              <w:rPr>
                <w:sz w:val="20"/>
                <w:szCs w:val="20"/>
              </w:rPr>
            </w:pPr>
            <w:r>
              <w:rPr>
                <w:sz w:val="20"/>
                <w:szCs w:val="20"/>
              </w:rPr>
              <w:t xml:space="preserve">The authors conclude that infection with </w:t>
            </w:r>
            <w:r>
              <w:rPr>
                <w:i/>
                <w:sz w:val="20"/>
                <w:szCs w:val="20"/>
              </w:rPr>
              <w:t xml:space="preserve">B. burgdorferi </w:t>
            </w:r>
            <w:r>
              <w:rPr>
                <w:sz w:val="20"/>
                <w:szCs w:val="20"/>
              </w:rPr>
              <w:t>may be asymptomatic, but that asymptomatic infection is rare in the United States.</w:t>
            </w:r>
          </w:p>
        </w:tc>
      </w:tr>
    </w:tbl>
    <w:p w14:paraId="5B132233" w14:textId="77777777" w:rsidR="002D58E4" w:rsidRDefault="00F721D4">
      <w:pPr>
        <w:widowControl w:val="0"/>
        <w:pBdr>
          <w:top w:val="nil"/>
          <w:left w:val="nil"/>
          <w:bottom w:val="nil"/>
          <w:right w:val="nil"/>
          <w:between w:val="nil"/>
        </w:pBdr>
        <w:spacing w:after="0"/>
      </w:pPr>
      <w:r>
        <w:rPr>
          <w:sz w:val="20"/>
          <w:szCs w:val="20"/>
        </w:rPr>
        <w:t>* Risk of Bias of Randomized Controlled Trial Data was assessed using the Cochrane Risk of Bias Tool and assigned an overall rating of “High risk” “Unclear Risk” or “Low Risk”. Risk of Bias of Observational Data was rated on a scale from 0 (worst) to 9 (best) using the Newcastle-Ottawa Quality Assessment Scale for Observational Studies</w:t>
      </w:r>
      <w:r>
        <w:t>.</w:t>
      </w:r>
    </w:p>
    <w:p w14:paraId="0813D60C" w14:textId="77777777" w:rsidR="002D58E4" w:rsidRDefault="00F721D4">
      <w:pPr>
        <w:widowControl w:val="0"/>
        <w:pBdr>
          <w:top w:val="nil"/>
          <w:left w:val="nil"/>
          <w:bottom w:val="nil"/>
          <w:right w:val="nil"/>
          <w:between w:val="nil"/>
        </w:pBdr>
        <w:spacing w:after="0"/>
        <w:rPr>
          <w:sz w:val="16"/>
          <w:szCs w:val="16"/>
        </w:rPr>
        <w:sectPr w:rsidR="002D58E4" w:rsidSect="00DD4E2B">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531" w:bottom="720" w:left="720" w:header="576" w:footer="720" w:gutter="0"/>
          <w:pgNumType w:start="1"/>
          <w:cols w:space="720" w:equalWidth="0">
            <w:col w:w="14778"/>
          </w:cols>
          <w:docGrid w:linePitch="299"/>
        </w:sectPr>
      </w:pPr>
      <w:r>
        <w:br w:type="page"/>
      </w:r>
    </w:p>
    <w:p w14:paraId="7C0743D3" w14:textId="77777777" w:rsidR="002D58E4" w:rsidRDefault="00F721D4">
      <w:pPr>
        <w:spacing w:after="0"/>
        <w:rPr>
          <w:b/>
        </w:rPr>
      </w:pPr>
      <w:r>
        <w:rPr>
          <w:b/>
          <w:sz w:val="32"/>
          <w:szCs w:val="32"/>
        </w:rPr>
        <w:lastRenderedPageBreak/>
        <w:t>III.Who should receive antibiotic prophylaxis to prevent Lyme disease following presentation with a tick bite?</w:t>
      </w:r>
    </w:p>
    <w:tbl>
      <w:tblPr>
        <w:tblStyle w:val="a5"/>
        <w:tblpPr w:leftFromText="180" w:rightFromText="180" w:vertAnchor="text" w:tblpY="1"/>
        <w:tblOverlap w:val="never"/>
        <w:tblW w:w="14578" w:type="dxa"/>
        <w:tblLayout w:type="fixed"/>
        <w:tblLook w:val="0600" w:firstRow="0" w:lastRow="0" w:firstColumn="0" w:lastColumn="0" w:noHBand="1" w:noVBand="1"/>
      </w:tblPr>
      <w:tblGrid>
        <w:gridCol w:w="1110"/>
        <w:gridCol w:w="875"/>
        <w:gridCol w:w="540"/>
        <w:gridCol w:w="1870"/>
        <w:gridCol w:w="1984"/>
        <w:gridCol w:w="2410"/>
        <w:gridCol w:w="2126"/>
        <w:gridCol w:w="3663"/>
      </w:tblGrid>
      <w:tr w:rsidR="002D58E4" w:rsidRPr="00154D17" w14:paraId="56D62F4D" w14:textId="77777777" w:rsidTr="00E70FE5">
        <w:trPr>
          <w:trHeight w:val="780"/>
        </w:trPr>
        <w:tc>
          <w:tcPr>
            <w:tcW w:w="14578" w:type="dxa"/>
            <w:gridSpan w:val="8"/>
            <w:tcBorders>
              <w:bottom w:val="single" w:sz="6" w:space="0" w:color="AEAEAE"/>
            </w:tcBorders>
            <w:shd w:val="clear" w:color="auto" w:fill="auto"/>
            <w:tcMar>
              <w:top w:w="15" w:type="dxa"/>
              <w:left w:w="30" w:type="dxa"/>
              <w:bottom w:w="0" w:type="dxa"/>
              <w:right w:w="30" w:type="dxa"/>
            </w:tcMar>
          </w:tcPr>
          <w:p w14:paraId="3DC20212" w14:textId="77777777" w:rsidR="002D58E4" w:rsidRPr="00C10663" w:rsidRDefault="00F721D4" w:rsidP="002914A2">
            <w:pPr>
              <w:spacing w:after="200" w:line="276" w:lineRule="auto"/>
              <w:rPr>
                <w:b/>
                <w:color w:val="000000"/>
                <w:sz w:val="20"/>
                <w:szCs w:val="20"/>
                <w:lang w:val="fr-CA"/>
              </w:rPr>
            </w:pPr>
            <w:r>
              <w:rPr>
                <w:b/>
                <w:color w:val="000000"/>
                <w:sz w:val="18"/>
                <w:szCs w:val="18"/>
              </w:rPr>
              <w:t>Bibliography:</w:t>
            </w:r>
            <w:r>
              <w:rPr>
                <w:color w:val="000000"/>
                <w:sz w:val="18"/>
                <w:szCs w:val="18"/>
              </w:rPr>
              <w:t xml:space="preserve"> 1. Magid, et al.</w:t>
            </w:r>
            <w:r>
              <w:rPr>
                <w:sz w:val="18"/>
                <w:szCs w:val="18"/>
              </w:rPr>
              <w:t xml:space="preserve"> </w:t>
            </w:r>
            <w:r>
              <w:rPr>
                <w:i/>
                <w:sz w:val="18"/>
                <w:szCs w:val="18"/>
              </w:rPr>
              <w:t>N Engl J Med</w:t>
            </w:r>
            <w:r>
              <w:rPr>
                <w:sz w:val="18"/>
                <w:szCs w:val="18"/>
              </w:rPr>
              <w:t xml:space="preserve">. 1992 Aug 20;327(8):534-41. 2. Piesman, et al. </w:t>
            </w:r>
            <w:r>
              <w:rPr>
                <w:i/>
                <w:sz w:val="18"/>
                <w:szCs w:val="18"/>
              </w:rPr>
              <w:t>J Vector Ecol</w:t>
            </w:r>
            <w:r>
              <w:rPr>
                <w:sz w:val="18"/>
                <w:szCs w:val="18"/>
              </w:rPr>
              <w:t xml:space="preserve">. 1999 Jun;24(1):91-8; 3. Diuk-Wasser, et al. Am J Trop Med Hyg. 2012 Feb;86(2):320-7; 4. Nelder, et al. </w:t>
            </w:r>
            <w:r>
              <w:rPr>
                <w:i/>
                <w:sz w:val="18"/>
                <w:szCs w:val="18"/>
              </w:rPr>
              <w:t>Parasit Vectors.</w:t>
            </w:r>
            <w:r>
              <w:rPr>
                <w:sz w:val="18"/>
                <w:szCs w:val="18"/>
              </w:rPr>
              <w:t xml:space="preserve"> 2016 May 5;9:265; 5. Nadelman, et al. </w:t>
            </w:r>
            <w:r>
              <w:rPr>
                <w:i/>
                <w:sz w:val="18"/>
                <w:szCs w:val="18"/>
              </w:rPr>
              <w:t>N Engl J Med.</w:t>
            </w:r>
            <w:r>
              <w:rPr>
                <w:sz w:val="18"/>
                <w:szCs w:val="18"/>
              </w:rPr>
              <w:t xml:space="preserve"> 2001 Jul 12;345(2):79-84; 6. Shapiro, et al. </w:t>
            </w:r>
            <w:r>
              <w:rPr>
                <w:i/>
                <w:sz w:val="18"/>
                <w:szCs w:val="18"/>
              </w:rPr>
              <w:t>N Engl J Med.</w:t>
            </w:r>
            <w:r>
              <w:rPr>
                <w:sz w:val="18"/>
                <w:szCs w:val="18"/>
              </w:rPr>
              <w:t xml:space="preserve"> 1992 Dec 17;327(25):1769-73; 7. Costello, et.al. </w:t>
            </w:r>
            <w:r>
              <w:rPr>
                <w:i/>
                <w:sz w:val="18"/>
                <w:szCs w:val="18"/>
              </w:rPr>
              <w:t>J Infect Dis.</w:t>
            </w:r>
            <w:r>
              <w:rPr>
                <w:sz w:val="18"/>
                <w:szCs w:val="18"/>
              </w:rPr>
              <w:t xml:space="preserve"> 1989 Jan;159(1):136-9; 8. </w:t>
            </w:r>
            <w:r w:rsidRPr="00E20834">
              <w:rPr>
                <w:sz w:val="18"/>
                <w:szCs w:val="18"/>
              </w:rPr>
              <w:t xml:space="preserve">Maiwald, et al. </w:t>
            </w:r>
            <w:r w:rsidRPr="00E20834">
              <w:rPr>
                <w:i/>
                <w:sz w:val="18"/>
                <w:szCs w:val="18"/>
              </w:rPr>
              <w:t>Epidemiol Infect</w:t>
            </w:r>
            <w:r w:rsidRPr="00E20834">
              <w:rPr>
                <w:sz w:val="18"/>
                <w:szCs w:val="18"/>
              </w:rPr>
              <w:t xml:space="preserve">. 1998 Aug;121(1):103-8; 9. Fryland, et al. </w:t>
            </w:r>
            <w:r w:rsidRPr="00E20834">
              <w:rPr>
                <w:i/>
                <w:sz w:val="18"/>
                <w:szCs w:val="18"/>
              </w:rPr>
              <w:t>Int J Infect Dis.</w:t>
            </w:r>
            <w:r w:rsidRPr="00E20834">
              <w:rPr>
                <w:sz w:val="18"/>
                <w:szCs w:val="18"/>
              </w:rPr>
              <w:t xml:space="preserve"> 2011 Mar;15(3):e174-81. Epub 2010 Dec 17; 10. Huegli, et al. </w:t>
            </w:r>
            <w:r>
              <w:rPr>
                <w:i/>
                <w:sz w:val="18"/>
                <w:szCs w:val="18"/>
              </w:rPr>
              <w:t>Ticks Tick Borne Dis</w:t>
            </w:r>
            <w:r>
              <w:rPr>
                <w:sz w:val="18"/>
                <w:szCs w:val="18"/>
              </w:rPr>
              <w:t xml:space="preserve">. 2011 Sep;2(3):129-36. Epub 2011 Jul 28; 11. Wilhelmson, et al. </w:t>
            </w:r>
            <w:r>
              <w:rPr>
                <w:i/>
                <w:sz w:val="18"/>
                <w:szCs w:val="18"/>
              </w:rPr>
              <w:t>Ticks Tick Borne Dis</w:t>
            </w:r>
            <w:r>
              <w:rPr>
                <w:sz w:val="18"/>
                <w:szCs w:val="18"/>
              </w:rPr>
              <w:t xml:space="preserve">. 2016 Feb;7(1):71-9. </w:t>
            </w:r>
            <w:r w:rsidRPr="00C10663">
              <w:rPr>
                <w:sz w:val="18"/>
                <w:szCs w:val="18"/>
                <w:lang w:val="en-CA"/>
              </w:rPr>
              <w:t xml:space="preserve">Epub 2015 Aug 22; 12. </w:t>
            </w:r>
            <w:r w:rsidRPr="00E20834">
              <w:rPr>
                <w:sz w:val="18"/>
                <w:szCs w:val="18"/>
                <w:lang w:val="fr-CA"/>
              </w:rPr>
              <w:t xml:space="preserve">Sood, et al. </w:t>
            </w:r>
            <w:r w:rsidRPr="00E20834">
              <w:rPr>
                <w:i/>
                <w:sz w:val="18"/>
                <w:szCs w:val="18"/>
                <w:lang w:val="fr-CA"/>
              </w:rPr>
              <w:t>J Infect Dis.</w:t>
            </w:r>
            <w:r w:rsidRPr="00E20834">
              <w:rPr>
                <w:sz w:val="18"/>
                <w:szCs w:val="18"/>
                <w:lang w:val="fr-CA"/>
              </w:rPr>
              <w:t xml:space="preserve"> 1997 Apr;175(4):996-9; 13. Falco, et al. </w:t>
            </w:r>
            <w:r>
              <w:rPr>
                <w:i/>
                <w:sz w:val="18"/>
                <w:szCs w:val="18"/>
              </w:rPr>
              <w:t>Am J Epidemiol.</w:t>
            </w:r>
            <w:r>
              <w:rPr>
                <w:sz w:val="18"/>
                <w:szCs w:val="18"/>
              </w:rPr>
              <w:t xml:space="preserve"> 1996 Jan 15;143(2):187-92; 14. Yeh, et al.  </w:t>
            </w:r>
            <w:r>
              <w:rPr>
                <w:i/>
                <w:sz w:val="18"/>
                <w:szCs w:val="18"/>
              </w:rPr>
              <w:t>J Med Entomol</w:t>
            </w:r>
            <w:r>
              <w:rPr>
                <w:sz w:val="18"/>
                <w:szCs w:val="18"/>
              </w:rPr>
              <w:t xml:space="preserve">. </w:t>
            </w:r>
            <w:r w:rsidRPr="00C10663">
              <w:rPr>
                <w:sz w:val="18"/>
                <w:szCs w:val="18"/>
                <w:lang w:val="en-CA"/>
              </w:rPr>
              <w:t xml:space="preserve">1995 Nov;32(6):853-8; 15.  </w:t>
            </w:r>
            <w:r w:rsidRPr="00F721D4">
              <w:rPr>
                <w:sz w:val="18"/>
                <w:szCs w:val="18"/>
                <w:lang w:val="fr-CA"/>
              </w:rPr>
              <w:t xml:space="preserve">Schwameis, et al. </w:t>
            </w:r>
            <w:r w:rsidRPr="00F721D4">
              <w:rPr>
                <w:lang w:val="fr-CA"/>
              </w:rPr>
              <w:t xml:space="preserve"> </w:t>
            </w:r>
            <w:r w:rsidRPr="00F721D4">
              <w:rPr>
                <w:sz w:val="18"/>
                <w:szCs w:val="18"/>
                <w:lang w:val="fr-CA"/>
              </w:rPr>
              <w:t xml:space="preserve">Lancet Infect Dis. 2017 Mar; 17(3):322-329; 16. Briciu, et al. Infectious Diseases, 49(4), pp.277-285; 17. </w:t>
            </w:r>
            <w:r w:rsidRPr="00F721D4">
              <w:rPr>
                <w:color w:val="000000"/>
                <w:sz w:val="18"/>
                <w:szCs w:val="18"/>
                <w:lang w:val="fr-CA"/>
              </w:rPr>
              <w:t xml:space="preserve">Tijsse-Klasen, et al., Parasit Vectors. 2011 Feb 10;4:17; 18. Hofhuis, et al. </w:t>
            </w:r>
            <w:r w:rsidRPr="00C10663">
              <w:rPr>
                <w:color w:val="000000"/>
                <w:sz w:val="18"/>
                <w:szCs w:val="18"/>
                <w:lang w:val="fr-CA"/>
              </w:rPr>
              <w:t>PLoS One. 2013 May 16;8(5):e64361; 19. Hofhuis, et al.</w:t>
            </w:r>
            <w:r w:rsidRPr="00C10663">
              <w:rPr>
                <w:lang w:val="fr-CA"/>
              </w:rPr>
              <w:t xml:space="preserve"> </w:t>
            </w:r>
            <w:r w:rsidRPr="00C10663">
              <w:rPr>
                <w:color w:val="000000"/>
                <w:sz w:val="18"/>
                <w:szCs w:val="18"/>
                <w:lang w:val="fr-CA"/>
              </w:rPr>
              <w:t>PLoS One. 2017 Jul 24;12(7):e0181807.</w:t>
            </w:r>
          </w:p>
        </w:tc>
      </w:tr>
      <w:tr w:rsidR="002D58E4" w14:paraId="55820A6A" w14:textId="77777777" w:rsidTr="00E70FE5">
        <w:trPr>
          <w:trHeight w:val="780"/>
        </w:trPr>
        <w:tc>
          <w:tcPr>
            <w:tcW w:w="111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1E170BD" w14:textId="77777777" w:rsidR="002D58E4" w:rsidRDefault="00F721D4" w:rsidP="002914A2">
            <w:pPr>
              <w:jc w:val="center"/>
              <w:rPr>
                <w:sz w:val="20"/>
                <w:szCs w:val="20"/>
              </w:rPr>
            </w:pPr>
            <w:r>
              <w:rPr>
                <w:b/>
                <w:color w:val="000000"/>
                <w:sz w:val="20"/>
                <w:szCs w:val="20"/>
              </w:rPr>
              <w:t>Study</w:t>
            </w:r>
          </w:p>
        </w:tc>
        <w:tc>
          <w:tcPr>
            <w:tcW w:w="875" w:type="dxa"/>
            <w:tcBorders>
              <w:top w:val="single" w:sz="6" w:space="0" w:color="AEAEAE"/>
              <w:left w:val="single" w:sz="6" w:space="0" w:color="AEAEAE"/>
              <w:bottom w:val="single" w:sz="6" w:space="0" w:color="AEAEAE"/>
              <w:right w:val="single" w:sz="6" w:space="0" w:color="AEAEAE"/>
            </w:tcBorders>
            <w:shd w:val="clear" w:color="auto" w:fill="D9D9D9"/>
          </w:tcPr>
          <w:p w14:paraId="70AF05B5" w14:textId="77777777" w:rsidR="002D58E4" w:rsidRDefault="00F721D4" w:rsidP="002914A2">
            <w:pPr>
              <w:jc w:val="center"/>
              <w:rPr>
                <w:b/>
                <w:color w:val="000000"/>
                <w:sz w:val="20"/>
                <w:szCs w:val="20"/>
              </w:rPr>
            </w:pPr>
            <w:r>
              <w:rPr>
                <w:b/>
                <w:color w:val="000000"/>
                <w:sz w:val="20"/>
                <w:szCs w:val="20"/>
              </w:rPr>
              <w:t>Study Design</w:t>
            </w:r>
          </w:p>
        </w:tc>
        <w:tc>
          <w:tcPr>
            <w:tcW w:w="540" w:type="dxa"/>
            <w:tcBorders>
              <w:top w:val="single" w:sz="6" w:space="0" w:color="AEAEAE"/>
              <w:left w:val="single" w:sz="6" w:space="0" w:color="AEAEAE"/>
              <w:bottom w:val="single" w:sz="6" w:space="0" w:color="AEAEAE"/>
              <w:right w:val="single" w:sz="6" w:space="0" w:color="AEAEAE"/>
            </w:tcBorders>
            <w:shd w:val="clear" w:color="auto" w:fill="D9D9D9"/>
          </w:tcPr>
          <w:p w14:paraId="057AE51F" w14:textId="77777777" w:rsidR="002D58E4" w:rsidRDefault="00F721D4" w:rsidP="002914A2">
            <w:pPr>
              <w:jc w:val="center"/>
              <w:rPr>
                <w:b/>
                <w:color w:val="000000"/>
                <w:sz w:val="20"/>
                <w:szCs w:val="20"/>
              </w:rPr>
            </w:pPr>
            <w:r>
              <w:rPr>
                <w:b/>
                <w:color w:val="000000"/>
                <w:sz w:val="20"/>
                <w:szCs w:val="20"/>
              </w:rPr>
              <w:t>Risk of bias*</w:t>
            </w:r>
          </w:p>
        </w:tc>
        <w:tc>
          <w:tcPr>
            <w:tcW w:w="1870" w:type="dxa"/>
            <w:tcBorders>
              <w:top w:val="single" w:sz="6" w:space="0" w:color="AEAEAE"/>
              <w:left w:val="single" w:sz="6" w:space="0" w:color="AEAEAE"/>
              <w:bottom w:val="single" w:sz="6" w:space="0" w:color="AEAEAE"/>
              <w:right w:val="single" w:sz="6" w:space="0" w:color="AEAEAE"/>
            </w:tcBorders>
            <w:shd w:val="clear" w:color="auto" w:fill="D9D9D9"/>
          </w:tcPr>
          <w:p w14:paraId="56B48D2F" w14:textId="77777777" w:rsidR="002D58E4" w:rsidRDefault="00F721D4" w:rsidP="002914A2">
            <w:pPr>
              <w:jc w:val="center"/>
              <w:rPr>
                <w:b/>
                <w:color w:val="000000"/>
                <w:sz w:val="20"/>
                <w:szCs w:val="20"/>
              </w:rPr>
            </w:pPr>
            <w:r>
              <w:rPr>
                <w:b/>
                <w:color w:val="000000"/>
                <w:sz w:val="20"/>
                <w:szCs w:val="20"/>
              </w:rPr>
              <w:t>Population characteristics</w:t>
            </w:r>
          </w:p>
        </w:tc>
        <w:tc>
          <w:tcPr>
            <w:tcW w:w="1984"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67992362" w14:textId="77777777" w:rsidR="002D58E4" w:rsidRDefault="00F721D4" w:rsidP="002914A2">
            <w:pPr>
              <w:jc w:val="center"/>
              <w:rPr>
                <w:sz w:val="20"/>
                <w:szCs w:val="20"/>
              </w:rPr>
            </w:pPr>
            <w:r>
              <w:rPr>
                <w:b/>
                <w:color w:val="000000"/>
                <w:sz w:val="20"/>
                <w:szCs w:val="20"/>
              </w:rPr>
              <w:t>Interventions and comparisons</w:t>
            </w:r>
          </w:p>
        </w:tc>
        <w:tc>
          <w:tcPr>
            <w:tcW w:w="241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8EF423C" w14:textId="77777777" w:rsidR="002D58E4" w:rsidRDefault="00F721D4" w:rsidP="002914A2">
            <w:pPr>
              <w:jc w:val="center"/>
              <w:rPr>
                <w:b/>
                <w:sz w:val="20"/>
                <w:szCs w:val="20"/>
              </w:rPr>
            </w:pPr>
            <w:r>
              <w:rPr>
                <w:b/>
                <w:sz w:val="20"/>
                <w:szCs w:val="20"/>
              </w:rPr>
              <w:t xml:space="preserve">Probability of </w:t>
            </w:r>
            <w:r>
              <w:rPr>
                <w:b/>
                <w:i/>
                <w:sz w:val="20"/>
                <w:szCs w:val="20"/>
              </w:rPr>
              <w:t>Borrelia burgdorferi</w:t>
            </w:r>
            <w:r>
              <w:rPr>
                <w:b/>
                <w:sz w:val="20"/>
                <w:szCs w:val="20"/>
              </w:rPr>
              <w:t xml:space="preserve"> infection after a tick bite (P:BB) formula</w:t>
            </w:r>
          </w:p>
        </w:tc>
        <w:tc>
          <w:tcPr>
            <w:tcW w:w="2126" w:type="dxa"/>
            <w:tcBorders>
              <w:top w:val="single" w:sz="6" w:space="0" w:color="AEAEAE"/>
              <w:left w:val="single" w:sz="6" w:space="0" w:color="AEAEAE"/>
              <w:bottom w:val="single" w:sz="6" w:space="0" w:color="AEAEAE"/>
              <w:right w:val="single" w:sz="6" w:space="0" w:color="AEAEAE"/>
            </w:tcBorders>
            <w:shd w:val="clear" w:color="auto" w:fill="D9D9D9"/>
          </w:tcPr>
          <w:p w14:paraId="0DCCFD9F" w14:textId="77777777" w:rsidR="002D58E4" w:rsidRDefault="00F721D4" w:rsidP="002914A2">
            <w:pPr>
              <w:jc w:val="center"/>
              <w:rPr>
                <w:b/>
                <w:color w:val="000000"/>
                <w:sz w:val="20"/>
                <w:szCs w:val="20"/>
              </w:rPr>
            </w:pPr>
            <w:r>
              <w:rPr>
                <w:b/>
                <w:color w:val="000000"/>
                <w:sz w:val="20"/>
                <w:szCs w:val="20"/>
              </w:rPr>
              <w:t>Outcomes</w:t>
            </w:r>
          </w:p>
        </w:tc>
        <w:tc>
          <w:tcPr>
            <w:tcW w:w="3661"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C2A8020" w14:textId="77777777" w:rsidR="002D58E4" w:rsidRDefault="00F721D4" w:rsidP="002914A2">
            <w:pPr>
              <w:jc w:val="center"/>
              <w:rPr>
                <w:sz w:val="20"/>
                <w:szCs w:val="20"/>
              </w:rPr>
            </w:pPr>
            <w:r>
              <w:rPr>
                <w:b/>
                <w:color w:val="000000"/>
                <w:sz w:val="20"/>
                <w:szCs w:val="20"/>
              </w:rPr>
              <w:t>Study conclusions</w:t>
            </w:r>
          </w:p>
        </w:tc>
      </w:tr>
      <w:tr w:rsidR="002D58E4" w14:paraId="155D77DF" w14:textId="77777777" w:rsidTr="00E70FE5">
        <w:trPr>
          <w:trHeight w:val="144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8D66696" w14:textId="77777777" w:rsidR="002D58E4" w:rsidRDefault="00F721D4" w:rsidP="002914A2">
            <w:pPr>
              <w:rPr>
                <w:sz w:val="20"/>
                <w:szCs w:val="20"/>
              </w:rPr>
            </w:pPr>
            <w:r>
              <w:rPr>
                <w:sz w:val="20"/>
                <w:szCs w:val="20"/>
              </w:rPr>
              <w:t>Magid, 1992</w:t>
            </w:r>
          </w:p>
        </w:tc>
        <w:tc>
          <w:tcPr>
            <w:tcW w:w="875" w:type="dxa"/>
            <w:tcBorders>
              <w:top w:val="single" w:sz="6" w:space="0" w:color="AEAEAE"/>
              <w:left w:val="single" w:sz="6" w:space="0" w:color="AEAEAE"/>
              <w:bottom w:val="single" w:sz="6" w:space="0" w:color="AEAEAE"/>
              <w:right w:val="single" w:sz="6" w:space="0" w:color="AEAEAE"/>
            </w:tcBorders>
            <w:vAlign w:val="center"/>
          </w:tcPr>
          <w:p w14:paraId="542A7FC7" w14:textId="77777777" w:rsidR="002D58E4" w:rsidRDefault="00F721D4" w:rsidP="002914A2">
            <w:pPr>
              <w:rPr>
                <w:sz w:val="20"/>
                <w:szCs w:val="20"/>
              </w:rPr>
            </w:pPr>
            <w:r>
              <w:rPr>
                <w:sz w:val="20"/>
                <w:szCs w:val="20"/>
              </w:rPr>
              <w:t>Cost-effectiveness analysis</w:t>
            </w:r>
          </w:p>
        </w:tc>
        <w:tc>
          <w:tcPr>
            <w:tcW w:w="540" w:type="dxa"/>
            <w:tcBorders>
              <w:top w:val="single" w:sz="6" w:space="0" w:color="AEAEAE"/>
              <w:left w:val="single" w:sz="6" w:space="0" w:color="AEAEAE"/>
              <w:bottom w:val="single" w:sz="6" w:space="0" w:color="AEAEAE"/>
              <w:right w:val="single" w:sz="6" w:space="0" w:color="AEAEAE"/>
            </w:tcBorders>
            <w:vAlign w:val="center"/>
          </w:tcPr>
          <w:p w14:paraId="7D74D5B9" w14:textId="77777777" w:rsidR="002D58E4" w:rsidRDefault="00F721D4" w:rsidP="002914A2">
            <w:pPr>
              <w:jc w:val="center"/>
              <w:rPr>
                <w:sz w:val="20"/>
                <w:szCs w:val="20"/>
              </w:rPr>
            </w:pPr>
            <w:r>
              <w:rPr>
                <w:sz w:val="20"/>
                <w:szCs w:val="20"/>
              </w:rPr>
              <w:t>NA</w:t>
            </w:r>
          </w:p>
        </w:tc>
        <w:tc>
          <w:tcPr>
            <w:tcW w:w="1870" w:type="dxa"/>
            <w:tcBorders>
              <w:top w:val="single" w:sz="6" w:space="0" w:color="AEAEAE"/>
              <w:left w:val="single" w:sz="6" w:space="0" w:color="AEAEAE"/>
              <w:bottom w:val="single" w:sz="6" w:space="0" w:color="AEAEAE"/>
              <w:right w:val="single" w:sz="6" w:space="0" w:color="AEAEAE"/>
            </w:tcBorders>
            <w:vAlign w:val="center"/>
          </w:tcPr>
          <w:p w14:paraId="063811A6" w14:textId="77777777" w:rsidR="002D58E4" w:rsidRDefault="00F721D4" w:rsidP="002914A2">
            <w:pPr>
              <w:rPr>
                <w:sz w:val="20"/>
                <w:szCs w:val="20"/>
              </w:rPr>
            </w:pPr>
            <w:r>
              <w:rPr>
                <w:sz w:val="20"/>
                <w:szCs w:val="20"/>
              </w:rPr>
              <w:t>Patients bitten by Ixodes ticks in areas of endemic Lyme disease</w:t>
            </w:r>
          </w:p>
          <w:p w14:paraId="3009AF19" w14:textId="77777777" w:rsidR="002D58E4" w:rsidRDefault="002D58E4" w:rsidP="002914A2">
            <w:pPr>
              <w:rPr>
                <w:sz w:val="20"/>
                <w:szCs w:val="20"/>
              </w:rPr>
            </w:pP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E8F28D8" w14:textId="77777777" w:rsidR="002D58E4" w:rsidRDefault="00F721D4" w:rsidP="002914A2">
            <w:pPr>
              <w:rPr>
                <w:sz w:val="20"/>
                <w:szCs w:val="20"/>
              </w:rPr>
            </w:pPr>
            <w:r>
              <w:rPr>
                <w:sz w:val="20"/>
                <w:szCs w:val="20"/>
              </w:rPr>
              <w:t xml:space="preserve">Three alternative strategies: </w:t>
            </w:r>
          </w:p>
          <w:p w14:paraId="551EF3B5" w14:textId="77777777" w:rsidR="002D58E4" w:rsidRDefault="002D58E4" w:rsidP="002914A2">
            <w:pPr>
              <w:rPr>
                <w:sz w:val="20"/>
                <w:szCs w:val="20"/>
              </w:rPr>
            </w:pPr>
          </w:p>
          <w:p w14:paraId="1F784FBB" w14:textId="77777777" w:rsidR="002D58E4" w:rsidRDefault="00F721D4" w:rsidP="002914A2">
            <w:pPr>
              <w:rPr>
                <w:sz w:val="20"/>
                <w:szCs w:val="20"/>
              </w:rPr>
            </w:pPr>
            <w:r>
              <w:rPr>
                <w:sz w:val="20"/>
                <w:szCs w:val="20"/>
              </w:rPr>
              <w:t xml:space="preserve">1. </w:t>
            </w:r>
            <w:r>
              <w:rPr>
                <w:b/>
                <w:sz w:val="20"/>
                <w:szCs w:val="20"/>
              </w:rPr>
              <w:t>Treat all</w:t>
            </w:r>
            <w:r>
              <w:rPr>
                <w:sz w:val="20"/>
                <w:szCs w:val="20"/>
              </w:rPr>
              <w:t xml:space="preserve">: empirically treat all patients with two weeks of doxycycline; </w:t>
            </w:r>
          </w:p>
          <w:p w14:paraId="65977EC4" w14:textId="77777777" w:rsidR="002D58E4" w:rsidRDefault="002D58E4" w:rsidP="002914A2">
            <w:pPr>
              <w:rPr>
                <w:sz w:val="20"/>
                <w:szCs w:val="20"/>
              </w:rPr>
            </w:pPr>
          </w:p>
          <w:p w14:paraId="7FE70A21" w14:textId="77777777" w:rsidR="002D58E4" w:rsidRDefault="00F721D4" w:rsidP="002914A2">
            <w:pPr>
              <w:rPr>
                <w:sz w:val="20"/>
                <w:szCs w:val="20"/>
              </w:rPr>
            </w:pPr>
            <w:r>
              <w:rPr>
                <w:sz w:val="20"/>
                <w:szCs w:val="20"/>
              </w:rPr>
              <w:t xml:space="preserve">2. </w:t>
            </w:r>
            <w:r>
              <w:rPr>
                <w:b/>
                <w:sz w:val="20"/>
                <w:szCs w:val="20"/>
              </w:rPr>
              <w:t>Follow</w:t>
            </w:r>
            <w:r>
              <w:rPr>
                <w:sz w:val="20"/>
                <w:szCs w:val="20"/>
              </w:rPr>
              <w:t xml:space="preserve">: treat only patients in whom erythema migrans develops; </w:t>
            </w:r>
          </w:p>
          <w:p w14:paraId="5D7C8787" w14:textId="77777777" w:rsidR="002D58E4" w:rsidRDefault="002D58E4" w:rsidP="002914A2">
            <w:pPr>
              <w:rPr>
                <w:sz w:val="20"/>
                <w:szCs w:val="20"/>
              </w:rPr>
            </w:pPr>
          </w:p>
          <w:p w14:paraId="0D68237B" w14:textId="77777777" w:rsidR="002D58E4" w:rsidRDefault="00F721D4" w:rsidP="002914A2">
            <w:pPr>
              <w:rPr>
                <w:sz w:val="20"/>
                <w:szCs w:val="20"/>
              </w:rPr>
            </w:pPr>
            <w:r>
              <w:rPr>
                <w:sz w:val="20"/>
                <w:szCs w:val="20"/>
              </w:rPr>
              <w:t xml:space="preserve">3. </w:t>
            </w:r>
            <w:r>
              <w:rPr>
                <w:b/>
                <w:sz w:val="20"/>
                <w:szCs w:val="20"/>
              </w:rPr>
              <w:t>Test</w:t>
            </w:r>
            <w:r>
              <w:rPr>
                <w:sz w:val="20"/>
                <w:szCs w:val="20"/>
              </w:rPr>
              <w:t>: treat only patients with erythema migrans or a positive serologic test for Lyme disease one month after exposure.</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F25EC90" w14:textId="77777777" w:rsidR="002D58E4" w:rsidRDefault="00F721D4" w:rsidP="002914A2">
            <w:pPr>
              <w:rPr>
                <w:sz w:val="20"/>
                <w:szCs w:val="20"/>
              </w:rPr>
            </w:pPr>
            <w:r>
              <w:rPr>
                <w:b/>
                <w:sz w:val="20"/>
                <w:szCs w:val="20"/>
                <w:u w:val="single"/>
              </w:rPr>
              <w:t>P:BB</w:t>
            </w:r>
            <w:r>
              <w:rPr>
                <w:b/>
                <w:sz w:val="20"/>
                <w:szCs w:val="20"/>
              </w:rPr>
              <w:t xml:space="preserve"> = probability of the tick to be</w:t>
            </w:r>
            <w:r>
              <w:rPr>
                <w:b/>
                <w:i/>
                <w:sz w:val="20"/>
                <w:szCs w:val="20"/>
              </w:rPr>
              <w:t xml:space="preserve"> Ixodes</w:t>
            </w:r>
            <w:r>
              <w:rPr>
                <w:sz w:val="20"/>
                <w:szCs w:val="20"/>
              </w:rPr>
              <w:t xml:space="preserve"> (ideally =1.0 after tick identification</w:t>
            </w:r>
            <w:r>
              <w:rPr>
                <w:i/>
                <w:sz w:val="20"/>
                <w:szCs w:val="20"/>
              </w:rPr>
              <w:t xml:space="preserve">) </w:t>
            </w:r>
            <w:r>
              <w:rPr>
                <w:b/>
                <w:sz w:val="20"/>
                <w:szCs w:val="20"/>
              </w:rPr>
              <w:t>multiplied by</w:t>
            </w:r>
            <w:r>
              <w:rPr>
                <w:b/>
                <w:i/>
                <w:sz w:val="20"/>
                <w:szCs w:val="20"/>
              </w:rPr>
              <w:t xml:space="preserve"> </w:t>
            </w:r>
            <w:r>
              <w:rPr>
                <w:b/>
                <w:sz w:val="20"/>
                <w:szCs w:val="20"/>
              </w:rPr>
              <w:t>prevalence of ticks infected with</w:t>
            </w:r>
            <w:r>
              <w:rPr>
                <w:b/>
                <w:i/>
                <w:sz w:val="20"/>
                <w:szCs w:val="20"/>
              </w:rPr>
              <w:t xml:space="preserve"> B. burgdorferi </w:t>
            </w:r>
            <w:r>
              <w:rPr>
                <w:b/>
                <w:sz w:val="20"/>
                <w:szCs w:val="20"/>
              </w:rPr>
              <w:t>in the area †  multiplied by probability of the</w:t>
            </w:r>
            <w:r>
              <w:rPr>
                <w:b/>
                <w:i/>
                <w:sz w:val="20"/>
                <w:szCs w:val="20"/>
              </w:rPr>
              <w:t xml:space="preserve"> Borrelia </w:t>
            </w:r>
            <w:r>
              <w:rPr>
                <w:b/>
                <w:sz w:val="20"/>
                <w:szCs w:val="20"/>
              </w:rPr>
              <w:t>transmission after the bite by the infected tick</w:t>
            </w:r>
            <w:r>
              <w:rPr>
                <w:sz w:val="20"/>
                <w:szCs w:val="20"/>
              </w:rPr>
              <w:t xml:space="preserve"> </w:t>
            </w:r>
          </w:p>
          <w:p w14:paraId="1CF14A13" w14:textId="77777777" w:rsidR="002D58E4" w:rsidRDefault="002D58E4" w:rsidP="002914A2">
            <w:pPr>
              <w:rPr>
                <w:sz w:val="20"/>
                <w:szCs w:val="20"/>
              </w:rPr>
            </w:pPr>
          </w:p>
          <w:p w14:paraId="6FB374D2" w14:textId="77777777" w:rsidR="002D58E4" w:rsidRDefault="00F721D4" w:rsidP="002914A2">
            <w:pPr>
              <w:rPr>
                <w:sz w:val="20"/>
                <w:szCs w:val="20"/>
              </w:rPr>
            </w:pPr>
            <w:r>
              <w:rPr>
                <w:b/>
                <w:sz w:val="20"/>
                <w:szCs w:val="20"/>
              </w:rPr>
              <w:t>†</w:t>
            </w:r>
            <w:r>
              <w:rPr>
                <w:sz w:val="20"/>
                <w:szCs w:val="20"/>
              </w:rPr>
              <w:t xml:space="preserve"> The prevalence of ticks infected with </w:t>
            </w:r>
            <w:r>
              <w:rPr>
                <w:i/>
                <w:sz w:val="20"/>
                <w:szCs w:val="20"/>
              </w:rPr>
              <w:t>B. burgdorferi</w:t>
            </w:r>
            <w:r>
              <w:rPr>
                <w:sz w:val="20"/>
                <w:szCs w:val="20"/>
              </w:rPr>
              <w:t xml:space="preserve"> in the pacific states, where </w:t>
            </w:r>
            <w:r>
              <w:rPr>
                <w:i/>
                <w:sz w:val="20"/>
                <w:szCs w:val="20"/>
              </w:rPr>
              <w:t>I. Pacificus</w:t>
            </w:r>
            <w:r>
              <w:rPr>
                <w:sz w:val="20"/>
                <w:szCs w:val="20"/>
              </w:rPr>
              <w:t xml:space="preserve"> is found, was estimated as 1-3%; and in New England, Mid-Atlantic states, and upper Midwest it was between 25% of nymphs and 50% of adult ticks (citations from Magid 1992)</w:t>
            </w:r>
          </w:p>
        </w:tc>
        <w:tc>
          <w:tcPr>
            <w:tcW w:w="2126" w:type="dxa"/>
            <w:tcBorders>
              <w:top w:val="single" w:sz="6" w:space="0" w:color="AEAEAE"/>
              <w:left w:val="single" w:sz="6" w:space="0" w:color="AEAEAE"/>
              <w:bottom w:val="single" w:sz="6" w:space="0" w:color="AEAEAE"/>
              <w:right w:val="single" w:sz="6" w:space="0" w:color="AEAEAE"/>
            </w:tcBorders>
            <w:vAlign w:val="center"/>
          </w:tcPr>
          <w:p w14:paraId="529585CA" w14:textId="77777777" w:rsidR="002D58E4" w:rsidRDefault="00F721D4" w:rsidP="002914A2">
            <w:pPr>
              <w:rPr>
                <w:sz w:val="20"/>
                <w:szCs w:val="20"/>
              </w:rPr>
            </w:pPr>
            <w:r>
              <w:rPr>
                <w:sz w:val="20"/>
                <w:szCs w:val="20"/>
              </w:rPr>
              <w:t xml:space="preserve">Number of </w:t>
            </w:r>
            <w:r>
              <w:rPr>
                <w:sz w:val="20"/>
                <w:szCs w:val="20"/>
                <w:u w:val="single"/>
              </w:rPr>
              <w:t>Lyme disease cases</w:t>
            </w:r>
            <w:r>
              <w:rPr>
                <w:sz w:val="20"/>
                <w:szCs w:val="20"/>
              </w:rPr>
              <w:t>.</w:t>
            </w:r>
          </w:p>
          <w:p w14:paraId="4D3A66A1" w14:textId="77777777" w:rsidR="002D58E4" w:rsidRDefault="002D58E4" w:rsidP="002914A2">
            <w:pPr>
              <w:rPr>
                <w:sz w:val="20"/>
                <w:szCs w:val="20"/>
              </w:rPr>
            </w:pPr>
          </w:p>
          <w:p w14:paraId="54801CEF" w14:textId="77777777" w:rsidR="002D58E4" w:rsidRDefault="00F721D4" w:rsidP="002914A2">
            <w:pPr>
              <w:rPr>
                <w:sz w:val="20"/>
                <w:szCs w:val="20"/>
              </w:rPr>
            </w:pPr>
            <w:r>
              <w:rPr>
                <w:sz w:val="20"/>
                <w:szCs w:val="20"/>
              </w:rPr>
              <w:t xml:space="preserve">Number of </w:t>
            </w:r>
            <w:r>
              <w:rPr>
                <w:sz w:val="20"/>
                <w:szCs w:val="20"/>
                <w:u w:val="single"/>
              </w:rPr>
              <w:t>major complications</w:t>
            </w:r>
            <w:r>
              <w:t xml:space="preserve"> </w:t>
            </w:r>
            <w:r>
              <w:rPr>
                <w:b/>
                <w:sz w:val="20"/>
                <w:szCs w:val="20"/>
              </w:rPr>
              <w:t xml:space="preserve">‡ </w:t>
            </w:r>
            <w:r>
              <w:rPr>
                <w:sz w:val="20"/>
                <w:szCs w:val="20"/>
              </w:rPr>
              <w:t xml:space="preserve"> (both from Lyme disease and antibiotics).</w:t>
            </w:r>
          </w:p>
          <w:p w14:paraId="51E2CC9F" w14:textId="77777777" w:rsidR="002D58E4" w:rsidRDefault="002D58E4" w:rsidP="002914A2">
            <w:pPr>
              <w:rPr>
                <w:sz w:val="20"/>
                <w:szCs w:val="20"/>
              </w:rPr>
            </w:pPr>
          </w:p>
          <w:p w14:paraId="04D0DAC3" w14:textId="77777777" w:rsidR="002D58E4" w:rsidRDefault="00F721D4" w:rsidP="002914A2">
            <w:pPr>
              <w:rPr>
                <w:sz w:val="20"/>
                <w:szCs w:val="20"/>
              </w:rPr>
            </w:pPr>
            <w:r>
              <w:rPr>
                <w:sz w:val="20"/>
                <w:szCs w:val="20"/>
              </w:rPr>
              <w:t xml:space="preserve">Number of </w:t>
            </w:r>
            <w:r>
              <w:rPr>
                <w:sz w:val="20"/>
                <w:szCs w:val="20"/>
                <w:u w:val="single"/>
              </w:rPr>
              <w:t>minor complications</w:t>
            </w:r>
            <w:r>
              <w:rPr>
                <w:sz w:val="20"/>
                <w:szCs w:val="20"/>
              </w:rPr>
              <w:t xml:space="preserve"> (both from Lyme disease and antibiotics).</w:t>
            </w:r>
          </w:p>
          <w:p w14:paraId="5B652D00" w14:textId="77777777" w:rsidR="002D58E4" w:rsidRDefault="002D58E4" w:rsidP="002914A2">
            <w:pPr>
              <w:rPr>
                <w:sz w:val="20"/>
                <w:szCs w:val="20"/>
              </w:rPr>
            </w:pPr>
          </w:p>
          <w:p w14:paraId="537C41C0" w14:textId="77777777" w:rsidR="002D58E4" w:rsidRDefault="00F721D4" w:rsidP="002914A2">
            <w:pPr>
              <w:rPr>
                <w:sz w:val="20"/>
                <w:szCs w:val="20"/>
                <w:u w:val="single"/>
              </w:rPr>
            </w:pPr>
            <w:r>
              <w:rPr>
                <w:b/>
                <w:sz w:val="20"/>
                <w:szCs w:val="20"/>
              </w:rPr>
              <w:t>‡</w:t>
            </w:r>
            <w:r>
              <w:rPr>
                <w:sz w:val="20"/>
                <w:szCs w:val="20"/>
              </w:rPr>
              <w:t xml:space="preserve"> Erythema migrans was considered minor, and cardiac, neurologic, and rheumatologic complications of late Lyme disease were considered major sequelae.</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0F33A0A" w14:textId="77777777" w:rsidR="002D58E4" w:rsidRDefault="00F721D4" w:rsidP="002914A2">
            <w:pPr>
              <w:rPr>
                <w:sz w:val="20"/>
                <w:szCs w:val="20"/>
              </w:rPr>
            </w:pPr>
            <w:r>
              <w:rPr>
                <w:sz w:val="20"/>
                <w:szCs w:val="20"/>
              </w:rPr>
              <w:t xml:space="preserve">When </w:t>
            </w:r>
            <w:r>
              <w:rPr>
                <w:b/>
                <w:sz w:val="20"/>
                <w:szCs w:val="20"/>
              </w:rPr>
              <w:t>P:BB is ≥0.036</w:t>
            </w:r>
            <w:r>
              <w:rPr>
                <w:sz w:val="20"/>
                <w:szCs w:val="20"/>
              </w:rPr>
              <w:t>, empirical treatment was found to have fewest N of cases of Lyme disease, fewest N of complications overall, and fewest N of major complications.</w:t>
            </w:r>
          </w:p>
          <w:p w14:paraId="6E0682EC" w14:textId="77777777" w:rsidR="002D58E4" w:rsidRDefault="00F721D4" w:rsidP="002914A2">
            <w:pPr>
              <w:rPr>
                <w:sz w:val="20"/>
                <w:szCs w:val="20"/>
              </w:rPr>
            </w:pPr>
            <w:r>
              <w:rPr>
                <w:sz w:val="20"/>
                <w:szCs w:val="20"/>
              </w:rPr>
              <w:t xml:space="preserve">When </w:t>
            </w:r>
            <w:r>
              <w:rPr>
                <w:b/>
                <w:sz w:val="20"/>
                <w:szCs w:val="20"/>
              </w:rPr>
              <w:t>P:BB is ≥0.01 - &lt;0.036</w:t>
            </w:r>
            <w:r>
              <w:rPr>
                <w:sz w:val="20"/>
                <w:szCs w:val="20"/>
              </w:rPr>
              <w:t>, empirical treatment still has fewest N of major complications, and it incurs relatively few additional minor complications.</w:t>
            </w:r>
          </w:p>
          <w:p w14:paraId="0AD98A27" w14:textId="77777777" w:rsidR="002D58E4" w:rsidRDefault="00F721D4" w:rsidP="002914A2">
            <w:pPr>
              <w:rPr>
                <w:sz w:val="20"/>
                <w:szCs w:val="20"/>
              </w:rPr>
            </w:pPr>
            <w:r>
              <w:rPr>
                <w:sz w:val="20"/>
                <w:szCs w:val="20"/>
              </w:rPr>
              <w:t xml:space="preserve">When </w:t>
            </w:r>
            <w:r>
              <w:rPr>
                <w:b/>
                <w:sz w:val="20"/>
                <w:szCs w:val="20"/>
              </w:rPr>
              <w:t>P:BB is &lt;0.01</w:t>
            </w:r>
            <w:r>
              <w:rPr>
                <w:sz w:val="20"/>
                <w:szCs w:val="20"/>
              </w:rPr>
              <w:t>, “Follow” is the best strategy as the N of excess minor complications incurred by empirical treatment strategy greatly exceeds the N of major disease sequelae averted.</w:t>
            </w:r>
          </w:p>
          <w:p w14:paraId="5695BBBB" w14:textId="77777777" w:rsidR="002D58E4" w:rsidRDefault="002D58E4" w:rsidP="002914A2">
            <w:pPr>
              <w:rPr>
                <w:sz w:val="20"/>
                <w:szCs w:val="20"/>
              </w:rPr>
            </w:pPr>
          </w:p>
          <w:p w14:paraId="494FCC4D" w14:textId="77777777" w:rsidR="002D58E4" w:rsidRDefault="00F721D4" w:rsidP="002914A2">
            <w:pPr>
              <w:rPr>
                <w:sz w:val="20"/>
                <w:szCs w:val="20"/>
              </w:rPr>
            </w:pPr>
            <w:r>
              <w:rPr>
                <w:sz w:val="20"/>
                <w:szCs w:val="20"/>
              </w:rPr>
              <w:t xml:space="preserve">Therefore, with the cut-off point of P:BB of 0.01 for the “Treat all” strategy and the average probability of the </w:t>
            </w:r>
            <w:r>
              <w:rPr>
                <w:i/>
                <w:sz w:val="20"/>
                <w:szCs w:val="20"/>
              </w:rPr>
              <w:t>Borrelia</w:t>
            </w:r>
            <w:r>
              <w:rPr>
                <w:sz w:val="20"/>
                <w:szCs w:val="20"/>
              </w:rPr>
              <w:t xml:space="preserve"> transmission after an infected tick’s bite of 0.1 (as per Magid 1992), </w:t>
            </w:r>
            <w:r>
              <w:rPr>
                <w:b/>
                <w:sz w:val="20"/>
                <w:szCs w:val="20"/>
              </w:rPr>
              <w:t>the empirical therapy is warranted in all areas with the prevalence of infected ticks of 10% or greater</w:t>
            </w:r>
            <w:r>
              <w:rPr>
                <w:sz w:val="20"/>
                <w:szCs w:val="20"/>
              </w:rPr>
              <w:t xml:space="preserve"> (0.1 x 0.1 = 0.01).</w:t>
            </w:r>
          </w:p>
        </w:tc>
      </w:tr>
      <w:tr w:rsidR="002D58E4" w14:paraId="7D124B51" w14:textId="77777777" w:rsidTr="00E70FE5">
        <w:trPr>
          <w:trHeight w:val="144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DCC6DF1" w14:textId="77777777" w:rsidR="002D58E4" w:rsidRDefault="00F721D4" w:rsidP="002914A2">
            <w:pPr>
              <w:rPr>
                <w:sz w:val="20"/>
                <w:szCs w:val="20"/>
              </w:rPr>
            </w:pPr>
            <w:r>
              <w:rPr>
                <w:sz w:val="20"/>
                <w:szCs w:val="20"/>
              </w:rPr>
              <w:lastRenderedPageBreak/>
              <w:t>Diuk-Wasser, 2012</w:t>
            </w:r>
          </w:p>
        </w:tc>
        <w:tc>
          <w:tcPr>
            <w:tcW w:w="875" w:type="dxa"/>
            <w:tcBorders>
              <w:top w:val="single" w:sz="6" w:space="0" w:color="AEAEAE"/>
              <w:left w:val="single" w:sz="6" w:space="0" w:color="AEAEAE"/>
              <w:bottom w:val="single" w:sz="6" w:space="0" w:color="AEAEAE"/>
              <w:right w:val="single" w:sz="6" w:space="0" w:color="AEAEAE"/>
            </w:tcBorders>
            <w:vAlign w:val="center"/>
          </w:tcPr>
          <w:p w14:paraId="66A29EC6" w14:textId="77777777" w:rsidR="002D58E4" w:rsidRDefault="00F721D4" w:rsidP="002914A2">
            <w:pPr>
              <w:rPr>
                <w:sz w:val="20"/>
                <w:szCs w:val="20"/>
              </w:rPr>
            </w:pPr>
            <w:r>
              <w:rPr>
                <w:sz w:val="20"/>
                <w:szCs w:val="20"/>
              </w:rPr>
              <w:t xml:space="preserve">Geographic survey of vector ticks for infection with </w:t>
            </w:r>
            <w:r>
              <w:rPr>
                <w:i/>
                <w:sz w:val="20"/>
                <w:szCs w:val="20"/>
              </w:rPr>
              <w:t>B. burgdorferi</w:t>
            </w:r>
            <w:r>
              <w:rPr>
                <w:sz w:val="20"/>
                <w:szCs w:val="20"/>
              </w:rPr>
              <w:t>.</w:t>
            </w:r>
          </w:p>
        </w:tc>
        <w:tc>
          <w:tcPr>
            <w:tcW w:w="540" w:type="dxa"/>
            <w:tcBorders>
              <w:top w:val="single" w:sz="6" w:space="0" w:color="AEAEAE"/>
              <w:left w:val="single" w:sz="6" w:space="0" w:color="AEAEAE"/>
              <w:bottom w:val="single" w:sz="6" w:space="0" w:color="AEAEAE"/>
              <w:right w:val="single" w:sz="6" w:space="0" w:color="AEAEAE"/>
            </w:tcBorders>
            <w:vAlign w:val="center"/>
          </w:tcPr>
          <w:p w14:paraId="07B2052C" w14:textId="77777777" w:rsidR="002D58E4" w:rsidRDefault="00F721D4" w:rsidP="002914A2">
            <w:pPr>
              <w:jc w:val="center"/>
              <w:rPr>
                <w:sz w:val="20"/>
                <w:szCs w:val="20"/>
              </w:rPr>
            </w:pPr>
            <w:r>
              <w:rPr>
                <w:sz w:val="20"/>
                <w:szCs w:val="20"/>
              </w:rPr>
              <w:t>NA</w:t>
            </w:r>
          </w:p>
        </w:tc>
        <w:tc>
          <w:tcPr>
            <w:tcW w:w="1870" w:type="dxa"/>
            <w:tcBorders>
              <w:top w:val="single" w:sz="6" w:space="0" w:color="AEAEAE"/>
              <w:left w:val="single" w:sz="6" w:space="0" w:color="AEAEAE"/>
              <w:bottom w:val="single" w:sz="6" w:space="0" w:color="AEAEAE"/>
              <w:right w:val="single" w:sz="6" w:space="0" w:color="AEAEAE"/>
            </w:tcBorders>
            <w:vAlign w:val="center"/>
          </w:tcPr>
          <w:p w14:paraId="537D2A65" w14:textId="77777777" w:rsidR="002D58E4" w:rsidRDefault="00F721D4" w:rsidP="002914A2">
            <w:pPr>
              <w:rPr>
                <w:sz w:val="20"/>
                <w:szCs w:val="20"/>
              </w:rPr>
            </w:pPr>
            <w:r>
              <w:rPr>
                <w:sz w:val="20"/>
                <w:szCs w:val="20"/>
              </w:rPr>
              <w:t xml:space="preserve">Populations of </w:t>
            </w:r>
            <w:r>
              <w:rPr>
                <w:i/>
                <w:sz w:val="20"/>
                <w:szCs w:val="20"/>
              </w:rPr>
              <w:t xml:space="preserve">I. scapularis </w:t>
            </w:r>
            <w:r>
              <w:rPr>
                <w:sz w:val="20"/>
                <w:szCs w:val="20"/>
              </w:rPr>
              <w:t>nymphs</w:t>
            </w:r>
            <w:r>
              <w:rPr>
                <w:i/>
                <w:sz w:val="20"/>
                <w:szCs w:val="20"/>
              </w:rPr>
              <w:t xml:space="preserve"> </w:t>
            </w:r>
            <w:r>
              <w:rPr>
                <w:sz w:val="20"/>
                <w:szCs w:val="20"/>
              </w:rPr>
              <w:t>collected from 37 states east of the 100</w:t>
            </w:r>
            <w:r>
              <w:rPr>
                <w:sz w:val="20"/>
                <w:szCs w:val="20"/>
                <w:vertAlign w:val="superscript"/>
              </w:rPr>
              <w:t>th</w:t>
            </w:r>
            <w:r>
              <w:rPr>
                <w:sz w:val="20"/>
                <w:szCs w:val="20"/>
              </w:rPr>
              <w:t xml:space="preserve"> meridian were drawn from randomly selected sites using a spatially stratified random design.  304 sites were sampled between 2004 and 2007, with 30 being repeatedly sampled in 2 to 4 years, resulting in a total of 348 site-year samples.</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3D0547D" w14:textId="77777777" w:rsidR="002D58E4" w:rsidRDefault="00F721D4" w:rsidP="002914A2">
            <w:pPr>
              <w:rPr>
                <w:sz w:val="20"/>
                <w:szCs w:val="20"/>
              </w:rPr>
            </w:pPr>
            <w:r>
              <w:rPr>
                <w:sz w:val="20"/>
                <w:szCs w:val="20"/>
              </w:rPr>
              <w:t>Risk factors for presence and density of infected nymphs were used to model a predictive surface of human risk.</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A45F32F" w14:textId="77777777" w:rsidR="002D58E4" w:rsidRDefault="00F721D4" w:rsidP="002914A2">
            <w:pPr>
              <w:rPr>
                <w:sz w:val="20"/>
                <w:szCs w:val="20"/>
              </w:rPr>
            </w:pPr>
            <w:r>
              <w:rPr>
                <w:b/>
                <w:sz w:val="20"/>
                <w:szCs w:val="20"/>
              </w:rPr>
              <w:t>Annual mean density</w:t>
            </w:r>
            <w:r>
              <w:rPr>
                <w:sz w:val="20"/>
                <w:szCs w:val="20"/>
              </w:rPr>
              <w:t xml:space="preserve"> of infected nymphs per 1,000 m</w:t>
            </w:r>
            <w:r>
              <w:rPr>
                <w:sz w:val="20"/>
                <w:szCs w:val="20"/>
                <w:vertAlign w:val="superscript"/>
              </w:rPr>
              <w:t>2</w:t>
            </w:r>
            <w:r>
              <w:rPr>
                <w:sz w:val="20"/>
                <w:szCs w:val="20"/>
              </w:rPr>
              <w:t>. Derived from multiplying density of nymphs per 1,000 m</w:t>
            </w:r>
            <w:r>
              <w:rPr>
                <w:sz w:val="20"/>
                <w:szCs w:val="20"/>
                <w:vertAlign w:val="superscript"/>
              </w:rPr>
              <w:t xml:space="preserve">2 </w:t>
            </w:r>
            <w:r>
              <w:rPr>
                <w:sz w:val="20"/>
                <w:szCs w:val="20"/>
              </w:rPr>
              <w:t xml:space="preserve">by the infection prevalence at each site-year. </w:t>
            </w:r>
          </w:p>
          <w:p w14:paraId="188F3F9F" w14:textId="77777777" w:rsidR="002D58E4" w:rsidRDefault="002D58E4" w:rsidP="002914A2">
            <w:pPr>
              <w:rPr>
                <w:sz w:val="20"/>
                <w:szCs w:val="20"/>
              </w:rPr>
            </w:pPr>
          </w:p>
          <w:p w14:paraId="4A887FAB" w14:textId="77777777" w:rsidR="002D58E4" w:rsidRDefault="00F721D4" w:rsidP="002914A2">
            <w:pPr>
              <w:rPr>
                <w:sz w:val="20"/>
                <w:szCs w:val="20"/>
              </w:rPr>
            </w:pPr>
            <w:r>
              <w:rPr>
                <w:sz w:val="20"/>
                <w:szCs w:val="20"/>
              </w:rPr>
              <w:t>The estimated annual mean density derived by 1) calculating the mean number of I. scapularis nymphs collected per visit; 2) plotting the mean number of nymphs per visit by time; 3) calculating the area under phenology curve; and</w:t>
            </w:r>
          </w:p>
          <w:p w14:paraId="719692D8" w14:textId="77777777" w:rsidR="002D58E4" w:rsidRDefault="00F721D4" w:rsidP="002914A2">
            <w:pPr>
              <w:rPr>
                <w:sz w:val="20"/>
                <w:szCs w:val="20"/>
              </w:rPr>
            </w:pPr>
            <w:r>
              <w:rPr>
                <w:sz w:val="20"/>
                <w:szCs w:val="20"/>
              </w:rPr>
              <w:t>4) dividing area by the number of days between</w:t>
            </w:r>
          </w:p>
          <w:p w14:paraId="388C4C80" w14:textId="77777777" w:rsidR="002D58E4" w:rsidRDefault="00F721D4" w:rsidP="002914A2">
            <w:pPr>
              <w:rPr>
                <w:b/>
                <w:sz w:val="20"/>
                <w:szCs w:val="20"/>
                <w:u w:val="single"/>
              </w:rPr>
            </w:pPr>
            <w:r>
              <w:rPr>
                <w:sz w:val="20"/>
                <w:szCs w:val="20"/>
              </w:rPr>
              <w:t>first and last sampling visit at a site for a given year</w:t>
            </w:r>
          </w:p>
        </w:tc>
        <w:tc>
          <w:tcPr>
            <w:tcW w:w="2126" w:type="dxa"/>
            <w:tcBorders>
              <w:top w:val="single" w:sz="6" w:space="0" w:color="AEAEAE"/>
              <w:left w:val="single" w:sz="6" w:space="0" w:color="AEAEAE"/>
              <w:bottom w:val="single" w:sz="6" w:space="0" w:color="AEAEAE"/>
              <w:right w:val="single" w:sz="6" w:space="0" w:color="AEAEAE"/>
            </w:tcBorders>
            <w:vAlign w:val="center"/>
          </w:tcPr>
          <w:p w14:paraId="795F90DB" w14:textId="77777777" w:rsidR="002D58E4" w:rsidRDefault="00F721D4" w:rsidP="002914A2">
            <w:pPr>
              <w:rPr>
                <w:sz w:val="20"/>
                <w:szCs w:val="20"/>
              </w:rPr>
            </w:pPr>
            <w:r>
              <w:rPr>
                <w:sz w:val="20"/>
                <w:szCs w:val="20"/>
              </w:rPr>
              <w:t xml:space="preserve">% of nymphal blacklegged ticks infected with </w:t>
            </w:r>
            <w:r>
              <w:rPr>
                <w:i/>
                <w:sz w:val="20"/>
                <w:szCs w:val="20"/>
              </w:rPr>
              <w:t>B. burgdorferi</w:t>
            </w:r>
            <w:r>
              <w:rPr>
                <w:sz w:val="20"/>
                <w:szCs w:val="20"/>
              </w:rPr>
              <w:t>.</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24510E6" w14:textId="77777777" w:rsidR="002D58E4" w:rsidRDefault="00F721D4" w:rsidP="002914A2">
            <w:pPr>
              <w:rPr>
                <w:sz w:val="20"/>
                <w:szCs w:val="20"/>
              </w:rPr>
            </w:pPr>
            <w:r>
              <w:rPr>
                <w:i/>
                <w:sz w:val="20"/>
                <w:szCs w:val="20"/>
              </w:rPr>
              <w:t>I. scapularis</w:t>
            </w:r>
            <w:r>
              <w:rPr>
                <w:sz w:val="20"/>
                <w:szCs w:val="20"/>
              </w:rPr>
              <w:t xml:space="preserve"> nymphs from 92 of the sites (5,328 nymphs) were tested for the presence of </w:t>
            </w:r>
            <w:r>
              <w:rPr>
                <w:i/>
                <w:sz w:val="20"/>
                <w:szCs w:val="20"/>
              </w:rPr>
              <w:t>B. burgdorferi</w:t>
            </w:r>
            <w:r>
              <w:rPr>
                <w:sz w:val="20"/>
                <w:szCs w:val="20"/>
              </w:rPr>
              <w:t xml:space="preserve"> DNA. Overall infection prevalence was 20%. Infected nymphs were found in 92.3% of the sites where a threshold of 14 nymphs per 1,000 m</w:t>
            </w:r>
            <w:r>
              <w:rPr>
                <w:sz w:val="20"/>
                <w:szCs w:val="20"/>
                <w:vertAlign w:val="superscript"/>
              </w:rPr>
              <w:t>2</w:t>
            </w:r>
            <w:r>
              <w:rPr>
                <w:sz w:val="20"/>
                <w:szCs w:val="20"/>
              </w:rPr>
              <w:t xml:space="preserve"> were collected.</w:t>
            </w:r>
          </w:p>
          <w:p w14:paraId="0EA644C3" w14:textId="77777777" w:rsidR="002D58E4" w:rsidRDefault="002D58E4" w:rsidP="002914A2">
            <w:pPr>
              <w:rPr>
                <w:sz w:val="20"/>
                <w:szCs w:val="20"/>
              </w:rPr>
            </w:pPr>
          </w:p>
          <w:p w14:paraId="1BA8B453" w14:textId="77777777" w:rsidR="002D58E4" w:rsidRDefault="00F721D4" w:rsidP="002914A2">
            <w:pPr>
              <w:rPr>
                <w:sz w:val="20"/>
                <w:szCs w:val="20"/>
              </w:rPr>
            </w:pPr>
            <w:r>
              <w:rPr>
                <w:sz w:val="20"/>
                <w:szCs w:val="20"/>
              </w:rPr>
              <w:t xml:space="preserve">Discontinuous Lyme disease risk foci were identified in the Northeast and upper Midwest; transitional zone included sites with uninfected </w:t>
            </w:r>
            <w:r>
              <w:rPr>
                <w:i/>
                <w:sz w:val="20"/>
                <w:szCs w:val="20"/>
              </w:rPr>
              <w:t>I. scapularis</w:t>
            </w:r>
            <w:r>
              <w:rPr>
                <w:sz w:val="20"/>
                <w:szCs w:val="20"/>
              </w:rPr>
              <w:t xml:space="preserve"> populations.</w:t>
            </w:r>
            <w:r>
              <w:t xml:space="preserve"> </w:t>
            </w:r>
            <w:r>
              <w:rPr>
                <w:sz w:val="20"/>
                <w:szCs w:val="20"/>
              </w:rPr>
              <w:t>Lower elevation, low vapor pressure deficit, and low seasonal extremes in minimum temperature associated with the presence of infected nymphs.</w:t>
            </w:r>
            <w:r>
              <w:t xml:space="preserve"> </w:t>
            </w:r>
          </w:p>
          <w:p w14:paraId="321A9292" w14:textId="77777777" w:rsidR="002D58E4" w:rsidRDefault="002D58E4" w:rsidP="002914A2">
            <w:pPr>
              <w:rPr>
                <w:sz w:val="20"/>
                <w:szCs w:val="20"/>
              </w:rPr>
            </w:pPr>
          </w:p>
          <w:p w14:paraId="4075AA47" w14:textId="77777777" w:rsidR="002D58E4" w:rsidRDefault="00F721D4" w:rsidP="002914A2">
            <w:pPr>
              <w:rPr>
                <w:sz w:val="20"/>
                <w:szCs w:val="20"/>
              </w:rPr>
            </w:pPr>
            <w:r>
              <w:rPr>
                <w:sz w:val="20"/>
                <w:szCs w:val="20"/>
              </w:rPr>
              <w:t>The authors concluded that presence of any number of infected nymphs may be considered sufficient to recommend post-exposure prophylaxis.</w:t>
            </w:r>
          </w:p>
        </w:tc>
      </w:tr>
      <w:tr w:rsidR="002D58E4" w14:paraId="684C5B04" w14:textId="77777777" w:rsidTr="00E70FE5">
        <w:trPr>
          <w:trHeight w:val="28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1E06759" w14:textId="77777777" w:rsidR="002D58E4" w:rsidRDefault="00F721D4" w:rsidP="002914A2">
            <w:pPr>
              <w:rPr>
                <w:sz w:val="20"/>
                <w:szCs w:val="20"/>
              </w:rPr>
            </w:pPr>
            <w:r>
              <w:rPr>
                <w:sz w:val="20"/>
                <w:szCs w:val="20"/>
              </w:rPr>
              <w:t xml:space="preserve">Piesman, 1999. </w:t>
            </w:r>
          </w:p>
        </w:tc>
        <w:tc>
          <w:tcPr>
            <w:tcW w:w="875" w:type="dxa"/>
            <w:tcBorders>
              <w:top w:val="single" w:sz="6" w:space="0" w:color="AEAEAE"/>
              <w:left w:val="single" w:sz="6" w:space="0" w:color="AEAEAE"/>
              <w:bottom w:val="single" w:sz="6" w:space="0" w:color="AEAEAE"/>
              <w:right w:val="single" w:sz="6" w:space="0" w:color="AEAEAE"/>
            </w:tcBorders>
            <w:vAlign w:val="center"/>
          </w:tcPr>
          <w:p w14:paraId="58E9A429" w14:textId="77777777" w:rsidR="002D58E4" w:rsidRDefault="00F721D4" w:rsidP="002914A2">
            <w:pPr>
              <w:rPr>
                <w:sz w:val="20"/>
                <w:szCs w:val="20"/>
              </w:rPr>
            </w:pPr>
            <w:r>
              <w:rPr>
                <w:sz w:val="20"/>
                <w:szCs w:val="20"/>
              </w:rPr>
              <w:t xml:space="preserve">Geographic survey of vector ticks for infection with </w:t>
            </w:r>
            <w:r>
              <w:rPr>
                <w:i/>
                <w:sz w:val="20"/>
                <w:szCs w:val="20"/>
              </w:rPr>
              <w:t>B. burgdorferi</w:t>
            </w:r>
            <w:r>
              <w:rPr>
                <w:sz w:val="20"/>
                <w:szCs w:val="20"/>
              </w:rPr>
              <w:t>.</w:t>
            </w:r>
          </w:p>
        </w:tc>
        <w:tc>
          <w:tcPr>
            <w:tcW w:w="540" w:type="dxa"/>
            <w:tcBorders>
              <w:top w:val="single" w:sz="6" w:space="0" w:color="AEAEAE"/>
              <w:left w:val="single" w:sz="6" w:space="0" w:color="AEAEAE"/>
              <w:bottom w:val="single" w:sz="6" w:space="0" w:color="AEAEAE"/>
              <w:right w:val="single" w:sz="6" w:space="0" w:color="AEAEAE"/>
            </w:tcBorders>
            <w:vAlign w:val="center"/>
          </w:tcPr>
          <w:p w14:paraId="164BA924" w14:textId="77777777" w:rsidR="002D58E4" w:rsidRDefault="00F721D4" w:rsidP="002914A2">
            <w:pPr>
              <w:jc w:val="center"/>
              <w:rPr>
                <w:sz w:val="20"/>
                <w:szCs w:val="20"/>
              </w:rPr>
            </w:pPr>
            <w:r>
              <w:rPr>
                <w:sz w:val="20"/>
                <w:szCs w:val="20"/>
              </w:rPr>
              <w:t>NA</w:t>
            </w:r>
          </w:p>
        </w:tc>
        <w:tc>
          <w:tcPr>
            <w:tcW w:w="1870" w:type="dxa"/>
            <w:tcBorders>
              <w:top w:val="single" w:sz="6" w:space="0" w:color="AEAEAE"/>
              <w:left w:val="single" w:sz="6" w:space="0" w:color="AEAEAE"/>
              <w:bottom w:val="single" w:sz="6" w:space="0" w:color="AEAEAE"/>
              <w:right w:val="single" w:sz="6" w:space="0" w:color="AEAEAE"/>
            </w:tcBorders>
            <w:vAlign w:val="center"/>
          </w:tcPr>
          <w:p w14:paraId="6FA4814C" w14:textId="77777777" w:rsidR="002D58E4" w:rsidRDefault="00F721D4" w:rsidP="002914A2">
            <w:pPr>
              <w:rPr>
                <w:sz w:val="20"/>
                <w:szCs w:val="20"/>
              </w:rPr>
            </w:pPr>
            <w:r>
              <w:rPr>
                <w:sz w:val="20"/>
                <w:szCs w:val="20"/>
              </w:rPr>
              <w:t>Populations of adult I. scapularis and I. pacificus, the two principal vectors of Lyme disease spirochetes in the US, collected from 17 sites in 12 states</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5013BCB" w14:textId="77777777" w:rsidR="002D58E4" w:rsidRDefault="00F721D4" w:rsidP="002914A2">
            <w:pPr>
              <w:rPr>
                <w:sz w:val="20"/>
                <w:szCs w:val="20"/>
              </w:rPr>
            </w:pPr>
            <w:r>
              <w:rPr>
                <w:sz w:val="20"/>
                <w:szCs w:val="20"/>
              </w:rPr>
              <w:t xml:space="preserve">Female ticks were fed on experimental rabbits; ticks and rabbits were subsequently examined for infection with </w:t>
            </w:r>
            <w:r>
              <w:rPr>
                <w:i/>
                <w:sz w:val="20"/>
                <w:szCs w:val="20"/>
              </w:rPr>
              <w:t>Borrelia burgdorferi.</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B5FA5E6" w14:textId="77777777" w:rsidR="002D58E4" w:rsidRDefault="00F721D4" w:rsidP="002914A2">
            <w:pPr>
              <w:rPr>
                <w:sz w:val="20"/>
                <w:szCs w:val="20"/>
              </w:rPr>
            </w:pPr>
            <w:r>
              <w:rPr>
                <w:sz w:val="20"/>
                <w:szCs w:val="20"/>
              </w:rPr>
              <w:t xml:space="preserve">Addresses the </w:t>
            </w:r>
            <w:r>
              <w:rPr>
                <w:b/>
                <w:sz w:val="20"/>
                <w:szCs w:val="20"/>
              </w:rPr>
              <w:t xml:space="preserve">prevalence of ticks infected with </w:t>
            </w:r>
            <w:r>
              <w:rPr>
                <w:b/>
                <w:i/>
                <w:sz w:val="20"/>
                <w:szCs w:val="20"/>
              </w:rPr>
              <w:t xml:space="preserve">B. burgdorferi </w:t>
            </w:r>
            <w:r>
              <w:rPr>
                <w:b/>
                <w:sz w:val="20"/>
                <w:szCs w:val="20"/>
              </w:rPr>
              <w:t>in the area</w:t>
            </w:r>
            <w:r>
              <w:rPr>
                <w:i/>
                <w:sz w:val="20"/>
                <w:szCs w:val="20"/>
              </w:rPr>
              <w:t xml:space="preserve"> </w:t>
            </w:r>
            <w:r>
              <w:rPr>
                <w:sz w:val="20"/>
                <w:szCs w:val="20"/>
              </w:rPr>
              <w:t>part from the formula provided in Magid et al. 1992.</w:t>
            </w:r>
          </w:p>
        </w:tc>
        <w:tc>
          <w:tcPr>
            <w:tcW w:w="2126" w:type="dxa"/>
            <w:tcBorders>
              <w:top w:val="single" w:sz="6" w:space="0" w:color="AEAEAE"/>
              <w:left w:val="single" w:sz="6" w:space="0" w:color="AEAEAE"/>
              <w:bottom w:val="single" w:sz="6" w:space="0" w:color="AEAEAE"/>
              <w:right w:val="single" w:sz="6" w:space="0" w:color="AEAEAE"/>
            </w:tcBorders>
            <w:vAlign w:val="center"/>
          </w:tcPr>
          <w:p w14:paraId="4F6C4983" w14:textId="77777777" w:rsidR="002D58E4" w:rsidRDefault="00F721D4" w:rsidP="002914A2">
            <w:pPr>
              <w:rPr>
                <w:sz w:val="20"/>
                <w:szCs w:val="20"/>
              </w:rPr>
            </w:pPr>
            <w:r>
              <w:rPr>
                <w:sz w:val="20"/>
                <w:szCs w:val="20"/>
              </w:rPr>
              <w:t xml:space="preserve">% of adult blacklegged and western blacklegged ticks infected with </w:t>
            </w:r>
            <w:r>
              <w:rPr>
                <w:i/>
                <w:sz w:val="20"/>
                <w:szCs w:val="20"/>
              </w:rPr>
              <w:t>B. burgdorferi</w:t>
            </w:r>
            <w:r>
              <w:rPr>
                <w:sz w:val="20"/>
                <w:szCs w:val="20"/>
              </w:rPr>
              <w:t>.</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84D023B" w14:textId="77777777" w:rsidR="002D58E4" w:rsidRDefault="00F721D4" w:rsidP="002914A2">
            <w:pPr>
              <w:rPr>
                <w:sz w:val="20"/>
                <w:szCs w:val="20"/>
              </w:rPr>
            </w:pPr>
            <w:r>
              <w:rPr>
                <w:sz w:val="20"/>
                <w:szCs w:val="20"/>
              </w:rPr>
              <w:t>A total of 165/226 (</w:t>
            </w:r>
            <w:r>
              <w:rPr>
                <w:b/>
                <w:sz w:val="20"/>
                <w:szCs w:val="20"/>
              </w:rPr>
              <w:t>73%</w:t>
            </w:r>
            <w:r>
              <w:rPr>
                <w:sz w:val="20"/>
                <w:szCs w:val="20"/>
              </w:rPr>
              <w:t>) of northeastern I</w:t>
            </w:r>
            <w:r>
              <w:rPr>
                <w:i/>
                <w:sz w:val="20"/>
                <w:szCs w:val="20"/>
              </w:rPr>
              <w:t>.scapularis</w:t>
            </w:r>
            <w:r>
              <w:rPr>
                <w:sz w:val="20"/>
                <w:szCs w:val="20"/>
              </w:rPr>
              <w:t xml:space="preserve"> ticks (CT, NY, NJ, and MD) were infected; </w:t>
            </w:r>
          </w:p>
          <w:p w14:paraId="0D5B4A88" w14:textId="77777777" w:rsidR="002D58E4" w:rsidRDefault="002D58E4" w:rsidP="002914A2">
            <w:pPr>
              <w:rPr>
                <w:sz w:val="20"/>
                <w:szCs w:val="20"/>
              </w:rPr>
            </w:pPr>
          </w:p>
          <w:p w14:paraId="0247069F" w14:textId="77777777" w:rsidR="002D58E4" w:rsidRDefault="00F721D4" w:rsidP="002914A2">
            <w:pPr>
              <w:rPr>
                <w:sz w:val="20"/>
                <w:szCs w:val="20"/>
              </w:rPr>
            </w:pPr>
            <w:r>
              <w:rPr>
                <w:sz w:val="20"/>
                <w:szCs w:val="20"/>
              </w:rPr>
              <w:t>29/51 (</w:t>
            </w:r>
            <w:r>
              <w:rPr>
                <w:b/>
                <w:sz w:val="20"/>
                <w:szCs w:val="20"/>
              </w:rPr>
              <w:t>57%</w:t>
            </w:r>
            <w:r>
              <w:rPr>
                <w:sz w:val="20"/>
                <w:szCs w:val="20"/>
              </w:rPr>
              <w:t xml:space="preserve">) of </w:t>
            </w:r>
            <w:r>
              <w:rPr>
                <w:i/>
                <w:sz w:val="20"/>
                <w:szCs w:val="20"/>
              </w:rPr>
              <w:t>I.scapularis</w:t>
            </w:r>
            <w:r>
              <w:rPr>
                <w:sz w:val="20"/>
                <w:szCs w:val="20"/>
              </w:rPr>
              <w:t xml:space="preserve"> ticks from the midwestern states of MI, WI, and MN were infected;</w:t>
            </w:r>
          </w:p>
          <w:p w14:paraId="79D5B29D" w14:textId="77777777" w:rsidR="002D58E4" w:rsidRDefault="002D58E4" w:rsidP="002914A2">
            <w:pPr>
              <w:rPr>
                <w:sz w:val="20"/>
                <w:szCs w:val="20"/>
              </w:rPr>
            </w:pPr>
          </w:p>
          <w:p w14:paraId="16321B5D" w14:textId="77777777" w:rsidR="002D58E4" w:rsidRDefault="00F721D4" w:rsidP="002914A2">
            <w:pPr>
              <w:rPr>
                <w:sz w:val="20"/>
                <w:szCs w:val="20"/>
              </w:rPr>
            </w:pPr>
            <w:r>
              <w:rPr>
                <w:sz w:val="20"/>
                <w:szCs w:val="20"/>
              </w:rPr>
              <w:t>0/284 (</w:t>
            </w:r>
            <w:r>
              <w:rPr>
                <w:b/>
                <w:sz w:val="20"/>
                <w:szCs w:val="20"/>
              </w:rPr>
              <w:t>0%</w:t>
            </w:r>
            <w:r>
              <w:rPr>
                <w:sz w:val="20"/>
                <w:szCs w:val="20"/>
              </w:rPr>
              <w:t xml:space="preserve">) of </w:t>
            </w:r>
            <w:r>
              <w:rPr>
                <w:i/>
                <w:sz w:val="20"/>
                <w:szCs w:val="20"/>
              </w:rPr>
              <w:t>I.scapularis</w:t>
            </w:r>
            <w:r>
              <w:rPr>
                <w:sz w:val="20"/>
                <w:szCs w:val="20"/>
              </w:rPr>
              <w:t xml:space="preserve"> ticks from southeastern states of SC, GA, FL, and MS contained spirochetes; </w:t>
            </w:r>
          </w:p>
          <w:p w14:paraId="1B507F9A" w14:textId="77777777" w:rsidR="002D58E4" w:rsidRDefault="002D58E4" w:rsidP="002914A2">
            <w:pPr>
              <w:rPr>
                <w:sz w:val="20"/>
                <w:szCs w:val="20"/>
              </w:rPr>
            </w:pPr>
          </w:p>
          <w:p w14:paraId="7A3BEEFD" w14:textId="77777777" w:rsidR="002D58E4" w:rsidRDefault="00F721D4" w:rsidP="002914A2">
            <w:pPr>
              <w:rPr>
                <w:sz w:val="20"/>
                <w:szCs w:val="20"/>
              </w:rPr>
            </w:pPr>
            <w:r>
              <w:rPr>
                <w:sz w:val="20"/>
                <w:szCs w:val="20"/>
              </w:rPr>
              <w:t>2/57 (</w:t>
            </w:r>
            <w:r>
              <w:rPr>
                <w:b/>
                <w:sz w:val="20"/>
                <w:szCs w:val="20"/>
              </w:rPr>
              <w:t>4%</w:t>
            </w:r>
            <w:r>
              <w:rPr>
                <w:sz w:val="20"/>
                <w:szCs w:val="20"/>
              </w:rPr>
              <w:t xml:space="preserve">) of the </w:t>
            </w:r>
            <w:r>
              <w:rPr>
                <w:i/>
                <w:sz w:val="20"/>
                <w:szCs w:val="20"/>
              </w:rPr>
              <w:t>I. pacificus</w:t>
            </w:r>
            <w:r>
              <w:rPr>
                <w:sz w:val="20"/>
                <w:szCs w:val="20"/>
              </w:rPr>
              <w:t xml:space="preserve"> from CA were infected.</w:t>
            </w:r>
          </w:p>
        </w:tc>
      </w:tr>
      <w:tr w:rsidR="002D58E4" w14:paraId="303B0632" w14:textId="77777777" w:rsidTr="00E70FE5">
        <w:trPr>
          <w:trHeight w:val="28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44C9313" w14:textId="77777777" w:rsidR="002D58E4" w:rsidRDefault="00F721D4" w:rsidP="002914A2">
            <w:pPr>
              <w:rPr>
                <w:sz w:val="20"/>
                <w:szCs w:val="20"/>
              </w:rPr>
            </w:pPr>
            <w:r>
              <w:rPr>
                <w:sz w:val="20"/>
                <w:szCs w:val="20"/>
              </w:rPr>
              <w:lastRenderedPageBreak/>
              <w:t>Nelder, 2016</w:t>
            </w:r>
          </w:p>
        </w:tc>
        <w:tc>
          <w:tcPr>
            <w:tcW w:w="875" w:type="dxa"/>
            <w:tcBorders>
              <w:top w:val="single" w:sz="6" w:space="0" w:color="AEAEAE"/>
              <w:left w:val="single" w:sz="6" w:space="0" w:color="AEAEAE"/>
              <w:bottom w:val="single" w:sz="6" w:space="0" w:color="AEAEAE"/>
              <w:right w:val="single" w:sz="6" w:space="0" w:color="AEAEAE"/>
            </w:tcBorders>
            <w:vAlign w:val="center"/>
          </w:tcPr>
          <w:p w14:paraId="18B32BF4" w14:textId="77777777" w:rsidR="002D58E4" w:rsidRDefault="00F721D4" w:rsidP="002914A2">
            <w:pPr>
              <w:rPr>
                <w:sz w:val="20"/>
                <w:szCs w:val="20"/>
              </w:rPr>
            </w:pPr>
            <w:r>
              <w:rPr>
                <w:sz w:val="20"/>
                <w:szCs w:val="20"/>
              </w:rPr>
              <w:t>A systematic review</w:t>
            </w:r>
          </w:p>
        </w:tc>
        <w:tc>
          <w:tcPr>
            <w:tcW w:w="540" w:type="dxa"/>
            <w:tcBorders>
              <w:top w:val="single" w:sz="6" w:space="0" w:color="AEAEAE"/>
              <w:left w:val="single" w:sz="6" w:space="0" w:color="AEAEAE"/>
              <w:bottom w:val="single" w:sz="6" w:space="0" w:color="AEAEAE"/>
              <w:right w:val="single" w:sz="6" w:space="0" w:color="AEAEAE"/>
            </w:tcBorders>
            <w:vAlign w:val="center"/>
          </w:tcPr>
          <w:p w14:paraId="2CA9E045" w14:textId="77777777" w:rsidR="002D58E4" w:rsidRDefault="00F721D4" w:rsidP="002914A2">
            <w:pPr>
              <w:jc w:val="center"/>
              <w:rPr>
                <w:sz w:val="20"/>
                <w:szCs w:val="20"/>
              </w:rPr>
            </w:pPr>
            <w:r>
              <w:rPr>
                <w:sz w:val="20"/>
                <w:szCs w:val="20"/>
              </w:rPr>
              <w:t>NA</w:t>
            </w:r>
          </w:p>
        </w:tc>
        <w:tc>
          <w:tcPr>
            <w:tcW w:w="1870" w:type="dxa"/>
            <w:tcBorders>
              <w:top w:val="single" w:sz="6" w:space="0" w:color="AEAEAE"/>
              <w:left w:val="single" w:sz="6" w:space="0" w:color="AEAEAE"/>
              <w:bottom w:val="single" w:sz="6" w:space="0" w:color="AEAEAE"/>
              <w:right w:val="single" w:sz="6" w:space="0" w:color="AEAEAE"/>
            </w:tcBorders>
            <w:vAlign w:val="center"/>
          </w:tcPr>
          <w:p w14:paraId="0C0D8C7D" w14:textId="77777777" w:rsidR="002D58E4" w:rsidRDefault="00F721D4" w:rsidP="002914A2">
            <w:pPr>
              <w:rPr>
                <w:sz w:val="20"/>
                <w:szCs w:val="20"/>
              </w:rPr>
            </w:pPr>
            <w:r>
              <w:rPr>
                <w:sz w:val="20"/>
                <w:szCs w:val="20"/>
              </w:rPr>
              <w:t xml:space="preserve">Studies (N=78) evaluating prevalence of pathogens in </w:t>
            </w:r>
            <w:r>
              <w:rPr>
                <w:b/>
                <w:i/>
                <w:sz w:val="20"/>
                <w:szCs w:val="20"/>
              </w:rPr>
              <w:t>I. scapularis</w:t>
            </w:r>
            <w:r>
              <w:rPr>
                <w:sz w:val="20"/>
                <w:szCs w:val="20"/>
              </w:rPr>
              <w:t xml:space="preserve"> only</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ED34D94" w14:textId="77777777" w:rsidR="002D58E4" w:rsidRDefault="00F721D4" w:rsidP="002914A2">
            <w:pPr>
              <w:rPr>
                <w:sz w:val="20"/>
                <w:szCs w:val="20"/>
              </w:rPr>
            </w:pPr>
            <w:r>
              <w:rPr>
                <w:sz w:val="20"/>
                <w:szCs w:val="20"/>
              </w:rPr>
              <w:t xml:space="preserve">A systematic and comprehensive compilation of studies describing the variety and the prevalence of the human pathogens in blacklegged ticks throughout the US and Canada. </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B54337C" w14:textId="77777777" w:rsidR="002D58E4" w:rsidRDefault="00F721D4" w:rsidP="002914A2">
            <w:pPr>
              <w:rPr>
                <w:sz w:val="20"/>
                <w:szCs w:val="20"/>
              </w:rPr>
            </w:pPr>
            <w:r>
              <w:rPr>
                <w:sz w:val="20"/>
                <w:szCs w:val="20"/>
              </w:rPr>
              <w:t xml:space="preserve">Addresses the </w:t>
            </w:r>
            <w:r>
              <w:rPr>
                <w:b/>
                <w:sz w:val="20"/>
                <w:szCs w:val="20"/>
              </w:rPr>
              <w:t xml:space="preserve">prevalence of </w:t>
            </w:r>
            <w:r>
              <w:rPr>
                <w:i/>
                <w:sz w:val="20"/>
                <w:szCs w:val="20"/>
              </w:rPr>
              <w:t>I. scapularis</w:t>
            </w:r>
            <w:r>
              <w:rPr>
                <w:sz w:val="20"/>
                <w:szCs w:val="20"/>
              </w:rPr>
              <w:t xml:space="preserve"> </w:t>
            </w:r>
            <w:r>
              <w:rPr>
                <w:b/>
                <w:sz w:val="20"/>
                <w:szCs w:val="20"/>
              </w:rPr>
              <w:t xml:space="preserve">ticks infected with </w:t>
            </w:r>
            <w:r>
              <w:rPr>
                <w:b/>
                <w:i/>
                <w:sz w:val="20"/>
                <w:szCs w:val="20"/>
              </w:rPr>
              <w:t xml:space="preserve">B. burgdorferi </w:t>
            </w:r>
            <w:r>
              <w:rPr>
                <w:b/>
                <w:sz w:val="20"/>
                <w:szCs w:val="20"/>
              </w:rPr>
              <w:t>in the area</w:t>
            </w:r>
            <w:r>
              <w:rPr>
                <w:i/>
                <w:sz w:val="20"/>
                <w:szCs w:val="20"/>
              </w:rPr>
              <w:t xml:space="preserve"> </w:t>
            </w:r>
            <w:r>
              <w:rPr>
                <w:sz w:val="20"/>
                <w:szCs w:val="20"/>
              </w:rPr>
              <w:t>part from the formula provided in Magid et al. 1992.</w:t>
            </w:r>
          </w:p>
        </w:tc>
        <w:tc>
          <w:tcPr>
            <w:tcW w:w="2126" w:type="dxa"/>
            <w:tcBorders>
              <w:top w:val="single" w:sz="6" w:space="0" w:color="AEAEAE"/>
              <w:left w:val="single" w:sz="6" w:space="0" w:color="AEAEAE"/>
              <w:bottom w:val="single" w:sz="6" w:space="0" w:color="AEAEAE"/>
              <w:right w:val="single" w:sz="6" w:space="0" w:color="AEAEAE"/>
            </w:tcBorders>
            <w:vAlign w:val="center"/>
          </w:tcPr>
          <w:p w14:paraId="3847D452" w14:textId="77777777" w:rsidR="002D58E4" w:rsidRDefault="00F721D4" w:rsidP="002914A2">
            <w:pPr>
              <w:rPr>
                <w:sz w:val="20"/>
                <w:szCs w:val="20"/>
              </w:rPr>
            </w:pPr>
            <w:r>
              <w:rPr>
                <w:sz w:val="20"/>
                <w:szCs w:val="20"/>
              </w:rPr>
              <w:t>Prevalence of the human pathogens in blacklegged ticks throughout the US and Canada.</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6A91113" w14:textId="4D072CF8" w:rsidR="002D58E4" w:rsidRDefault="00F721D4" w:rsidP="002914A2">
            <w:pPr>
              <w:rPr>
                <w:sz w:val="20"/>
                <w:szCs w:val="20"/>
              </w:rPr>
            </w:pPr>
            <w:r>
              <w:rPr>
                <w:sz w:val="20"/>
                <w:szCs w:val="20"/>
              </w:rPr>
              <w:t xml:space="preserve">Blacklegged ticks harbored 91 distinct taxa, including species of </w:t>
            </w:r>
            <w:r>
              <w:rPr>
                <w:i/>
                <w:sz w:val="20"/>
                <w:szCs w:val="20"/>
              </w:rPr>
              <w:t>Anaplasma, Babesia, Bartonella, Borrelia, Ehrlichia, Rickettsia, Theileria</w:t>
            </w:r>
            <w:r>
              <w:rPr>
                <w:sz w:val="20"/>
                <w:szCs w:val="20"/>
              </w:rPr>
              <w:t>, and Flavivirus. Organism richness was highest in the Northeast (esp. CT, NY) and Upper Midwest US (WI).</w:t>
            </w:r>
          </w:p>
          <w:p w14:paraId="0F00E417" w14:textId="77777777" w:rsidR="002D58E4" w:rsidRDefault="00F721D4" w:rsidP="002914A2">
            <w:pPr>
              <w:rPr>
                <w:sz w:val="20"/>
                <w:szCs w:val="20"/>
              </w:rPr>
            </w:pPr>
            <w:r>
              <w:rPr>
                <w:sz w:val="20"/>
                <w:szCs w:val="20"/>
              </w:rPr>
              <w:t xml:space="preserve">The manuscript </w:t>
            </w:r>
            <w:r>
              <w:rPr>
                <w:b/>
                <w:sz w:val="20"/>
                <w:szCs w:val="20"/>
              </w:rPr>
              <w:t xml:space="preserve">provides maps and data for the prevalence of the pathogens, including </w:t>
            </w:r>
            <w:r>
              <w:rPr>
                <w:b/>
                <w:i/>
                <w:sz w:val="20"/>
                <w:szCs w:val="20"/>
              </w:rPr>
              <w:t>Borrelia</w:t>
            </w:r>
            <w:r>
              <w:rPr>
                <w:b/>
                <w:sz w:val="20"/>
                <w:szCs w:val="20"/>
              </w:rPr>
              <w:t xml:space="preserve">. </w:t>
            </w:r>
          </w:p>
        </w:tc>
      </w:tr>
      <w:tr w:rsidR="002D58E4" w14:paraId="6594A48B" w14:textId="77777777" w:rsidTr="00E70FE5">
        <w:trPr>
          <w:trHeight w:val="144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3697CB6" w14:textId="77777777" w:rsidR="002D58E4" w:rsidRDefault="00F721D4" w:rsidP="002914A2">
            <w:pPr>
              <w:rPr>
                <w:sz w:val="20"/>
                <w:szCs w:val="20"/>
              </w:rPr>
            </w:pPr>
            <w:r>
              <w:rPr>
                <w:sz w:val="20"/>
                <w:szCs w:val="20"/>
              </w:rPr>
              <w:t>Nadelman, 2001;</w:t>
            </w:r>
          </w:p>
          <w:p w14:paraId="60E23612" w14:textId="77777777" w:rsidR="002D58E4" w:rsidRDefault="002D58E4" w:rsidP="002914A2">
            <w:pPr>
              <w:rPr>
                <w:sz w:val="20"/>
                <w:szCs w:val="20"/>
              </w:rPr>
            </w:pPr>
          </w:p>
          <w:p w14:paraId="61413637" w14:textId="77777777" w:rsidR="002D58E4" w:rsidRDefault="00F721D4" w:rsidP="002914A2">
            <w:pPr>
              <w:rPr>
                <w:sz w:val="20"/>
                <w:szCs w:val="20"/>
              </w:rPr>
            </w:pPr>
            <w:r>
              <w:rPr>
                <w:sz w:val="20"/>
                <w:szCs w:val="20"/>
              </w:rPr>
              <w:t>NY, USA</w:t>
            </w:r>
          </w:p>
        </w:tc>
        <w:tc>
          <w:tcPr>
            <w:tcW w:w="875" w:type="dxa"/>
            <w:tcBorders>
              <w:top w:val="single" w:sz="6" w:space="0" w:color="AEAEAE"/>
              <w:left w:val="single" w:sz="6" w:space="0" w:color="AEAEAE"/>
              <w:bottom w:val="single" w:sz="6" w:space="0" w:color="AEAEAE"/>
              <w:right w:val="single" w:sz="6" w:space="0" w:color="AEAEAE"/>
            </w:tcBorders>
            <w:vAlign w:val="center"/>
          </w:tcPr>
          <w:p w14:paraId="1DC9C87B" w14:textId="77777777" w:rsidR="002D58E4" w:rsidRDefault="00F721D4" w:rsidP="002914A2">
            <w:pPr>
              <w:rPr>
                <w:sz w:val="20"/>
                <w:szCs w:val="20"/>
              </w:rPr>
            </w:pPr>
            <w:r>
              <w:rPr>
                <w:sz w:val="20"/>
                <w:szCs w:val="20"/>
              </w:rPr>
              <w:t>Randomized double-blind controlled trial</w:t>
            </w:r>
          </w:p>
        </w:tc>
        <w:tc>
          <w:tcPr>
            <w:tcW w:w="540" w:type="dxa"/>
            <w:tcBorders>
              <w:top w:val="single" w:sz="6" w:space="0" w:color="AEAEAE"/>
              <w:left w:val="single" w:sz="6" w:space="0" w:color="AEAEAE"/>
              <w:bottom w:val="single" w:sz="6" w:space="0" w:color="AEAEAE"/>
              <w:right w:val="single" w:sz="6" w:space="0" w:color="AEAEAE"/>
            </w:tcBorders>
            <w:vAlign w:val="center"/>
          </w:tcPr>
          <w:p w14:paraId="611CCAC2" w14:textId="77777777" w:rsidR="002D58E4" w:rsidRDefault="00F721D4" w:rsidP="002914A2">
            <w:pPr>
              <w:jc w:val="center"/>
              <w:rPr>
                <w:sz w:val="20"/>
                <w:szCs w:val="20"/>
              </w:rPr>
            </w:pPr>
            <w:r>
              <w:rPr>
                <w:sz w:val="20"/>
                <w:szCs w:val="20"/>
              </w:rPr>
              <w:t>Low risk of bias</w:t>
            </w:r>
          </w:p>
        </w:tc>
        <w:tc>
          <w:tcPr>
            <w:tcW w:w="1870" w:type="dxa"/>
            <w:tcBorders>
              <w:top w:val="single" w:sz="6" w:space="0" w:color="AEAEAE"/>
              <w:left w:val="single" w:sz="6" w:space="0" w:color="AEAEAE"/>
              <w:bottom w:val="single" w:sz="6" w:space="0" w:color="AEAEAE"/>
              <w:right w:val="single" w:sz="6" w:space="0" w:color="AEAEAE"/>
            </w:tcBorders>
            <w:vAlign w:val="center"/>
          </w:tcPr>
          <w:p w14:paraId="289B5789" w14:textId="77777777" w:rsidR="002D58E4" w:rsidRDefault="00F721D4" w:rsidP="002914A2">
            <w:pPr>
              <w:rPr>
                <w:sz w:val="20"/>
                <w:szCs w:val="20"/>
              </w:rPr>
            </w:pPr>
            <w:r>
              <w:rPr>
                <w:sz w:val="20"/>
                <w:szCs w:val="20"/>
              </w:rPr>
              <w:t xml:space="preserve">482 subjects (≥12 years old) who had been bitten by </w:t>
            </w:r>
            <w:r>
              <w:rPr>
                <w:i/>
                <w:sz w:val="20"/>
                <w:szCs w:val="20"/>
              </w:rPr>
              <w:t xml:space="preserve">I. scapularis </w:t>
            </w:r>
            <w:r>
              <w:rPr>
                <w:sz w:val="20"/>
                <w:szCs w:val="20"/>
              </w:rPr>
              <w:t>within the preceding 72 hours (NY state).</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A79DB30" w14:textId="77777777" w:rsidR="002D58E4" w:rsidRDefault="00F721D4" w:rsidP="002914A2">
            <w:pPr>
              <w:rPr>
                <w:sz w:val="20"/>
                <w:szCs w:val="20"/>
              </w:rPr>
            </w:pPr>
            <w:r>
              <w:rPr>
                <w:sz w:val="20"/>
                <w:szCs w:val="20"/>
              </w:rPr>
              <w:t>Patients were randomized into treatment (single dose of oral doxycycline 200mg) (N=235) vs. control (single dose of oral placebo) (N=247) groups and followed up for 6 weeks.</w:t>
            </w:r>
          </w:p>
          <w:p w14:paraId="5FDAB805" w14:textId="77777777" w:rsidR="002D58E4" w:rsidRDefault="002D58E4" w:rsidP="002914A2">
            <w:pPr>
              <w:rPr>
                <w:sz w:val="20"/>
                <w:szCs w:val="20"/>
              </w:rPr>
            </w:pPr>
          </w:p>
          <w:p w14:paraId="64D2941F" w14:textId="77777777" w:rsidR="002D58E4" w:rsidRDefault="00F721D4" w:rsidP="002914A2">
            <w:pPr>
              <w:rPr>
                <w:sz w:val="20"/>
                <w:szCs w:val="20"/>
              </w:rPr>
            </w:pPr>
            <w:r>
              <w:rPr>
                <w:b/>
                <w:sz w:val="20"/>
                <w:szCs w:val="20"/>
              </w:rPr>
              <w:t>Ticks were identified, and the duration of tick attachment</w:t>
            </w:r>
            <w:r>
              <w:rPr>
                <w:sz w:val="20"/>
                <w:szCs w:val="20"/>
              </w:rPr>
              <w:t xml:space="preserve"> was estimated for a subset of ticks using the </w:t>
            </w:r>
            <w:r>
              <w:rPr>
                <w:b/>
                <w:sz w:val="20"/>
                <w:szCs w:val="20"/>
                <w:u w:val="single"/>
              </w:rPr>
              <w:t>scutal index.</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D895036" w14:textId="77777777" w:rsidR="002D58E4" w:rsidRDefault="00F721D4" w:rsidP="002914A2">
            <w:pPr>
              <w:rPr>
                <w:sz w:val="20"/>
                <w:szCs w:val="20"/>
              </w:rPr>
            </w:pPr>
            <w:r>
              <w:rPr>
                <w:sz w:val="20"/>
                <w:szCs w:val="20"/>
              </w:rPr>
              <w:t xml:space="preserve">Addresses the </w:t>
            </w:r>
            <w:r>
              <w:rPr>
                <w:b/>
                <w:sz w:val="20"/>
                <w:szCs w:val="20"/>
              </w:rPr>
              <w:t>probability of the</w:t>
            </w:r>
            <w:r>
              <w:rPr>
                <w:b/>
                <w:i/>
                <w:sz w:val="20"/>
                <w:szCs w:val="20"/>
              </w:rPr>
              <w:t xml:space="preserve"> Borrelia </w:t>
            </w:r>
            <w:r>
              <w:rPr>
                <w:b/>
                <w:sz w:val="20"/>
                <w:szCs w:val="20"/>
              </w:rPr>
              <w:t>transmission after a tick bite</w:t>
            </w:r>
            <w:r>
              <w:rPr>
                <w:sz w:val="20"/>
                <w:szCs w:val="20"/>
              </w:rPr>
              <w:t xml:space="preserve"> (covers a combined probability (P) of</w:t>
            </w:r>
            <w:r>
              <w:rPr>
                <w:b/>
                <w:sz w:val="20"/>
                <w:szCs w:val="20"/>
              </w:rPr>
              <w:t xml:space="preserve"> </w:t>
            </w:r>
            <w:r>
              <w:rPr>
                <w:sz w:val="20"/>
                <w:szCs w:val="20"/>
              </w:rPr>
              <w:t>ticks infected with</w:t>
            </w:r>
            <w:r>
              <w:rPr>
                <w:i/>
                <w:sz w:val="20"/>
                <w:szCs w:val="20"/>
              </w:rPr>
              <w:t xml:space="preserve"> B. burgdorferi </w:t>
            </w:r>
            <w:r>
              <w:rPr>
                <w:sz w:val="20"/>
                <w:szCs w:val="20"/>
              </w:rPr>
              <w:t xml:space="preserve">in the area x P of the </w:t>
            </w:r>
            <w:r>
              <w:rPr>
                <w:i/>
                <w:sz w:val="20"/>
                <w:szCs w:val="20"/>
              </w:rPr>
              <w:t xml:space="preserve">Borrelia </w:t>
            </w:r>
            <w:r>
              <w:rPr>
                <w:sz w:val="20"/>
                <w:szCs w:val="20"/>
              </w:rPr>
              <w:t>transmission after the bite by the infected tick).</w:t>
            </w:r>
          </w:p>
          <w:p w14:paraId="17D7177D" w14:textId="77777777" w:rsidR="002D58E4" w:rsidRDefault="002D58E4" w:rsidP="002914A2">
            <w:pPr>
              <w:rPr>
                <w:b/>
                <w:sz w:val="20"/>
                <w:szCs w:val="20"/>
                <w:u w:val="single"/>
              </w:rPr>
            </w:pPr>
          </w:p>
        </w:tc>
        <w:tc>
          <w:tcPr>
            <w:tcW w:w="2126" w:type="dxa"/>
            <w:tcBorders>
              <w:top w:val="single" w:sz="6" w:space="0" w:color="AEAEAE"/>
              <w:left w:val="single" w:sz="6" w:space="0" w:color="AEAEAE"/>
              <w:bottom w:val="single" w:sz="6" w:space="0" w:color="AEAEAE"/>
              <w:right w:val="single" w:sz="6" w:space="0" w:color="AEAEAE"/>
            </w:tcBorders>
          </w:tcPr>
          <w:p w14:paraId="31ACD13B" w14:textId="77777777" w:rsidR="002D58E4" w:rsidRDefault="00F721D4" w:rsidP="002914A2">
            <w:pPr>
              <w:rPr>
                <w:sz w:val="20"/>
                <w:szCs w:val="20"/>
              </w:rPr>
            </w:pPr>
            <w:r>
              <w:rPr>
                <w:b/>
                <w:sz w:val="20"/>
                <w:szCs w:val="20"/>
              </w:rPr>
              <w:t>Erythema migrans incidence</w:t>
            </w:r>
            <w:r>
              <w:rPr>
                <w:sz w:val="20"/>
                <w:szCs w:val="20"/>
              </w:rPr>
              <w:t xml:space="preserve"> for untreated patients with nymphal ticks attached for </w:t>
            </w:r>
            <w:r>
              <w:rPr>
                <w:sz w:val="20"/>
                <w:szCs w:val="20"/>
                <w:u w:val="single"/>
              </w:rPr>
              <w:t>≥72 vs. &lt;72 hours</w:t>
            </w:r>
            <w:r>
              <w:rPr>
                <w:sz w:val="20"/>
                <w:szCs w:val="20"/>
              </w:rPr>
              <w:t xml:space="preserve"> and for </w:t>
            </w:r>
          </w:p>
          <w:p w14:paraId="4DE38E76" w14:textId="77777777" w:rsidR="002D58E4" w:rsidRDefault="00F721D4" w:rsidP="002914A2">
            <w:pPr>
              <w:rPr>
                <w:sz w:val="20"/>
                <w:szCs w:val="20"/>
              </w:rPr>
            </w:pPr>
            <w:r>
              <w:rPr>
                <w:sz w:val="20"/>
                <w:szCs w:val="20"/>
              </w:rPr>
              <w:t>untreated</w:t>
            </w:r>
            <w:r>
              <w:rPr>
                <w:sz w:val="20"/>
                <w:szCs w:val="20"/>
                <w:u w:val="single"/>
              </w:rPr>
              <w:t xml:space="preserve"> </w:t>
            </w:r>
            <w:r>
              <w:rPr>
                <w:sz w:val="20"/>
                <w:szCs w:val="20"/>
              </w:rPr>
              <w:t xml:space="preserve">patients bitten by </w:t>
            </w:r>
            <w:r>
              <w:rPr>
                <w:sz w:val="20"/>
                <w:szCs w:val="20"/>
                <w:u w:val="single"/>
              </w:rPr>
              <w:t>nymphal vs. adult ticks</w:t>
            </w:r>
            <w:r>
              <w:rPr>
                <w:sz w:val="20"/>
                <w:szCs w:val="20"/>
              </w:rPr>
              <w:t>.</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DDD3064" w14:textId="77777777" w:rsidR="002D58E4" w:rsidRDefault="00F721D4" w:rsidP="002914A2">
            <w:pPr>
              <w:rPr>
                <w:sz w:val="20"/>
                <w:szCs w:val="20"/>
              </w:rPr>
            </w:pPr>
            <w:r>
              <w:rPr>
                <w:b/>
                <w:sz w:val="20"/>
                <w:szCs w:val="20"/>
              </w:rPr>
              <w:t>EM incidence after 6 weeks of follow up</w:t>
            </w:r>
            <w:r>
              <w:rPr>
                <w:sz w:val="20"/>
                <w:szCs w:val="20"/>
              </w:rPr>
              <w:t xml:space="preserve">: </w:t>
            </w:r>
          </w:p>
          <w:p w14:paraId="199638E8" w14:textId="77777777" w:rsidR="002D58E4" w:rsidRDefault="00F721D4" w:rsidP="002914A2">
            <w:pPr>
              <w:rPr>
                <w:sz w:val="20"/>
                <w:szCs w:val="20"/>
              </w:rPr>
            </w:pPr>
            <w:r>
              <w:rPr>
                <w:sz w:val="20"/>
                <w:szCs w:val="20"/>
              </w:rPr>
              <w:t xml:space="preserve">Untreated patients with nymphal tick attached for </w:t>
            </w:r>
            <w:r>
              <w:rPr>
                <w:b/>
                <w:sz w:val="20"/>
                <w:szCs w:val="20"/>
              </w:rPr>
              <w:t>&lt;72 hours</w:t>
            </w:r>
            <w:r>
              <w:rPr>
                <w:sz w:val="20"/>
                <w:szCs w:val="20"/>
              </w:rPr>
              <w:t xml:space="preserve">: </w:t>
            </w:r>
            <w:r>
              <w:rPr>
                <w:b/>
                <w:sz w:val="20"/>
                <w:szCs w:val="20"/>
              </w:rPr>
              <w:t>0%</w:t>
            </w:r>
            <w:r>
              <w:rPr>
                <w:sz w:val="20"/>
                <w:szCs w:val="20"/>
              </w:rPr>
              <w:t xml:space="preserve"> (0 out of 48)</w:t>
            </w:r>
          </w:p>
          <w:p w14:paraId="3311E82F" w14:textId="77777777" w:rsidR="002D58E4" w:rsidRDefault="00F721D4" w:rsidP="002914A2">
            <w:pPr>
              <w:rPr>
                <w:sz w:val="20"/>
                <w:szCs w:val="20"/>
              </w:rPr>
            </w:pPr>
            <w:r>
              <w:rPr>
                <w:sz w:val="20"/>
                <w:szCs w:val="20"/>
              </w:rPr>
              <w:t xml:space="preserve">Untreated patients with nymphal tick attached for </w:t>
            </w:r>
            <w:r>
              <w:rPr>
                <w:b/>
                <w:sz w:val="20"/>
                <w:szCs w:val="20"/>
              </w:rPr>
              <w:t>≥72 hours</w:t>
            </w:r>
            <w:r>
              <w:rPr>
                <w:sz w:val="20"/>
                <w:szCs w:val="20"/>
              </w:rPr>
              <w:t xml:space="preserve">: </w:t>
            </w:r>
            <w:r>
              <w:rPr>
                <w:b/>
                <w:sz w:val="20"/>
                <w:szCs w:val="20"/>
              </w:rPr>
              <w:t>25%</w:t>
            </w:r>
            <w:r>
              <w:rPr>
                <w:sz w:val="20"/>
                <w:szCs w:val="20"/>
              </w:rPr>
              <w:t xml:space="preserve"> (3 out of 12);</w:t>
            </w:r>
          </w:p>
          <w:p w14:paraId="51052CFD" w14:textId="77777777" w:rsidR="002D58E4" w:rsidRDefault="00F721D4" w:rsidP="002914A2">
            <w:pPr>
              <w:rPr>
                <w:i/>
                <w:sz w:val="20"/>
                <w:szCs w:val="20"/>
              </w:rPr>
            </w:pPr>
            <w:r>
              <w:rPr>
                <w:i/>
                <w:sz w:val="20"/>
                <w:szCs w:val="20"/>
              </w:rPr>
              <w:t xml:space="preserve">P = 0.006 </w:t>
            </w:r>
          </w:p>
          <w:p w14:paraId="4E9BBE8D" w14:textId="77777777" w:rsidR="002D58E4" w:rsidRDefault="002D58E4" w:rsidP="002914A2">
            <w:pPr>
              <w:rPr>
                <w:i/>
                <w:sz w:val="20"/>
                <w:szCs w:val="20"/>
              </w:rPr>
            </w:pPr>
          </w:p>
          <w:p w14:paraId="47E9FC7E" w14:textId="77777777" w:rsidR="002D58E4" w:rsidRDefault="00F721D4" w:rsidP="002914A2">
            <w:pPr>
              <w:rPr>
                <w:sz w:val="20"/>
                <w:szCs w:val="20"/>
              </w:rPr>
            </w:pPr>
            <w:r>
              <w:rPr>
                <w:sz w:val="20"/>
                <w:szCs w:val="20"/>
              </w:rPr>
              <w:t xml:space="preserve">Untreated patients bitten by </w:t>
            </w:r>
            <w:r>
              <w:rPr>
                <w:b/>
                <w:sz w:val="20"/>
                <w:szCs w:val="20"/>
              </w:rPr>
              <w:t xml:space="preserve">nymphal </w:t>
            </w:r>
            <w:r>
              <w:rPr>
                <w:sz w:val="20"/>
                <w:szCs w:val="20"/>
              </w:rPr>
              <w:t xml:space="preserve">ticks: </w:t>
            </w:r>
            <w:r>
              <w:rPr>
                <w:b/>
                <w:sz w:val="20"/>
                <w:szCs w:val="20"/>
              </w:rPr>
              <w:t>5.6%</w:t>
            </w:r>
            <w:r>
              <w:rPr>
                <w:sz w:val="20"/>
                <w:szCs w:val="20"/>
              </w:rPr>
              <w:t xml:space="preserve"> (8 out of 142);</w:t>
            </w:r>
          </w:p>
          <w:p w14:paraId="76883C5F" w14:textId="77777777" w:rsidR="002D58E4" w:rsidRDefault="00F721D4" w:rsidP="002914A2">
            <w:pPr>
              <w:rPr>
                <w:sz w:val="20"/>
                <w:szCs w:val="20"/>
              </w:rPr>
            </w:pPr>
            <w:r>
              <w:rPr>
                <w:sz w:val="20"/>
                <w:szCs w:val="20"/>
              </w:rPr>
              <w:t xml:space="preserve">Untreated patients bitten by </w:t>
            </w:r>
            <w:r>
              <w:rPr>
                <w:b/>
                <w:sz w:val="20"/>
                <w:szCs w:val="20"/>
              </w:rPr>
              <w:t>adult</w:t>
            </w:r>
            <w:r>
              <w:rPr>
                <w:sz w:val="20"/>
                <w:szCs w:val="20"/>
              </w:rPr>
              <w:t xml:space="preserve"> ticks: </w:t>
            </w:r>
            <w:r>
              <w:rPr>
                <w:b/>
                <w:sz w:val="20"/>
                <w:szCs w:val="20"/>
              </w:rPr>
              <w:t>0%</w:t>
            </w:r>
            <w:r>
              <w:rPr>
                <w:sz w:val="20"/>
                <w:szCs w:val="20"/>
              </w:rPr>
              <w:t xml:space="preserve"> (0 out of 97); </w:t>
            </w:r>
          </w:p>
          <w:p w14:paraId="6380F71B" w14:textId="77777777" w:rsidR="002D58E4" w:rsidRDefault="00F721D4" w:rsidP="002914A2">
            <w:pPr>
              <w:rPr>
                <w:sz w:val="20"/>
                <w:szCs w:val="20"/>
              </w:rPr>
            </w:pPr>
            <w:r>
              <w:rPr>
                <w:i/>
                <w:sz w:val="20"/>
                <w:szCs w:val="20"/>
              </w:rPr>
              <w:t>P = 0.02</w:t>
            </w:r>
          </w:p>
        </w:tc>
      </w:tr>
      <w:tr w:rsidR="002D58E4" w14:paraId="0E88EDB2" w14:textId="77777777" w:rsidTr="00E70FE5">
        <w:trPr>
          <w:trHeight w:val="144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2794B41" w14:textId="77777777" w:rsidR="002D58E4" w:rsidRDefault="00F721D4" w:rsidP="002914A2">
            <w:pPr>
              <w:rPr>
                <w:sz w:val="20"/>
                <w:szCs w:val="20"/>
              </w:rPr>
            </w:pPr>
            <w:r>
              <w:rPr>
                <w:sz w:val="20"/>
                <w:szCs w:val="20"/>
              </w:rPr>
              <w:t>Shapiro, 1992;</w:t>
            </w:r>
          </w:p>
          <w:p w14:paraId="5248BF86" w14:textId="77777777" w:rsidR="002D58E4" w:rsidRDefault="002D58E4" w:rsidP="002914A2">
            <w:pPr>
              <w:rPr>
                <w:sz w:val="20"/>
                <w:szCs w:val="20"/>
              </w:rPr>
            </w:pPr>
          </w:p>
          <w:p w14:paraId="4BE85963" w14:textId="77777777" w:rsidR="002D58E4" w:rsidRDefault="00F721D4" w:rsidP="002914A2">
            <w:pPr>
              <w:rPr>
                <w:sz w:val="20"/>
                <w:szCs w:val="20"/>
              </w:rPr>
            </w:pPr>
            <w:r>
              <w:rPr>
                <w:sz w:val="20"/>
                <w:szCs w:val="20"/>
              </w:rPr>
              <w:t>CT, USA</w:t>
            </w:r>
          </w:p>
        </w:tc>
        <w:tc>
          <w:tcPr>
            <w:tcW w:w="875" w:type="dxa"/>
            <w:tcBorders>
              <w:top w:val="single" w:sz="6" w:space="0" w:color="AEAEAE"/>
              <w:left w:val="single" w:sz="6" w:space="0" w:color="AEAEAE"/>
              <w:bottom w:val="single" w:sz="6" w:space="0" w:color="AEAEAE"/>
              <w:right w:val="single" w:sz="6" w:space="0" w:color="AEAEAE"/>
            </w:tcBorders>
            <w:vAlign w:val="center"/>
          </w:tcPr>
          <w:p w14:paraId="2BB9FF69" w14:textId="77777777" w:rsidR="002D58E4" w:rsidRDefault="00F721D4" w:rsidP="002914A2">
            <w:pPr>
              <w:rPr>
                <w:sz w:val="20"/>
                <w:szCs w:val="20"/>
              </w:rPr>
            </w:pPr>
            <w:r>
              <w:rPr>
                <w:sz w:val="20"/>
                <w:szCs w:val="20"/>
              </w:rPr>
              <w:t>Randomized double-blind controlled trial</w:t>
            </w:r>
          </w:p>
        </w:tc>
        <w:tc>
          <w:tcPr>
            <w:tcW w:w="540" w:type="dxa"/>
            <w:tcBorders>
              <w:top w:val="single" w:sz="6" w:space="0" w:color="AEAEAE"/>
              <w:left w:val="single" w:sz="6" w:space="0" w:color="AEAEAE"/>
              <w:bottom w:val="single" w:sz="6" w:space="0" w:color="AEAEAE"/>
              <w:right w:val="single" w:sz="6" w:space="0" w:color="AEAEAE"/>
            </w:tcBorders>
            <w:vAlign w:val="center"/>
          </w:tcPr>
          <w:p w14:paraId="19882DD2" w14:textId="77777777" w:rsidR="002D58E4" w:rsidRDefault="00F721D4" w:rsidP="002914A2">
            <w:pPr>
              <w:jc w:val="center"/>
              <w:rPr>
                <w:sz w:val="20"/>
                <w:szCs w:val="20"/>
              </w:rPr>
            </w:pPr>
            <w:r>
              <w:rPr>
                <w:sz w:val="20"/>
                <w:szCs w:val="20"/>
              </w:rPr>
              <w:t>Unclear Risk of Bias</w:t>
            </w:r>
          </w:p>
        </w:tc>
        <w:tc>
          <w:tcPr>
            <w:tcW w:w="1870" w:type="dxa"/>
            <w:tcBorders>
              <w:top w:val="single" w:sz="6" w:space="0" w:color="AEAEAE"/>
              <w:left w:val="single" w:sz="6" w:space="0" w:color="AEAEAE"/>
              <w:bottom w:val="single" w:sz="6" w:space="0" w:color="AEAEAE"/>
              <w:right w:val="single" w:sz="6" w:space="0" w:color="AEAEAE"/>
            </w:tcBorders>
            <w:vAlign w:val="center"/>
          </w:tcPr>
          <w:p w14:paraId="1852A07E" w14:textId="77777777" w:rsidR="002D58E4" w:rsidRDefault="00F721D4" w:rsidP="002914A2">
            <w:pPr>
              <w:rPr>
                <w:sz w:val="20"/>
                <w:szCs w:val="20"/>
              </w:rPr>
            </w:pPr>
            <w:r>
              <w:rPr>
                <w:sz w:val="20"/>
                <w:szCs w:val="20"/>
              </w:rPr>
              <w:t xml:space="preserve">387 subjects (≥12 years old) who had been bitten by </w:t>
            </w:r>
            <w:r>
              <w:rPr>
                <w:i/>
                <w:sz w:val="20"/>
                <w:szCs w:val="20"/>
              </w:rPr>
              <w:t>I. scapularis</w:t>
            </w:r>
            <w:r>
              <w:rPr>
                <w:sz w:val="20"/>
                <w:szCs w:val="20"/>
              </w:rPr>
              <w:t xml:space="preserve"> within the preceding 72 hours (CT state). </w:t>
            </w:r>
          </w:p>
          <w:p w14:paraId="34E3B507" w14:textId="77777777" w:rsidR="002D58E4" w:rsidRDefault="002D58E4" w:rsidP="002914A2">
            <w:pPr>
              <w:rPr>
                <w:sz w:val="20"/>
                <w:szCs w:val="20"/>
              </w:rPr>
            </w:pP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A48A50" w14:textId="77777777" w:rsidR="002D58E4" w:rsidRDefault="00F721D4" w:rsidP="002914A2">
            <w:pPr>
              <w:rPr>
                <w:sz w:val="20"/>
                <w:szCs w:val="20"/>
              </w:rPr>
            </w:pPr>
            <w:r>
              <w:rPr>
                <w:sz w:val="20"/>
                <w:szCs w:val="20"/>
              </w:rPr>
              <w:t>Patients were randomized into 2 groups: oral amoxicillin 250mg (N=205) vs. oral placebo (N=182) suspension TID for 10 days and followed up for 6-12 months.</w:t>
            </w:r>
          </w:p>
          <w:p w14:paraId="295ADE74" w14:textId="77777777" w:rsidR="002D58E4" w:rsidRDefault="002D58E4" w:rsidP="002914A2">
            <w:pPr>
              <w:rPr>
                <w:sz w:val="20"/>
                <w:szCs w:val="20"/>
              </w:rPr>
            </w:pPr>
          </w:p>
          <w:p w14:paraId="1E14D53F" w14:textId="77777777" w:rsidR="002D58E4" w:rsidRDefault="00F721D4" w:rsidP="002914A2">
            <w:pPr>
              <w:rPr>
                <w:sz w:val="20"/>
                <w:szCs w:val="20"/>
                <w:u w:val="single"/>
              </w:rPr>
            </w:pPr>
            <w:r>
              <w:rPr>
                <w:b/>
                <w:sz w:val="20"/>
                <w:szCs w:val="20"/>
              </w:rPr>
              <w:lastRenderedPageBreak/>
              <w:t>Ticks were identified and tested</w:t>
            </w:r>
            <w:r>
              <w:rPr>
                <w:sz w:val="20"/>
                <w:szCs w:val="20"/>
              </w:rPr>
              <w:t xml:space="preserve"> for </w:t>
            </w:r>
            <w:r>
              <w:rPr>
                <w:i/>
                <w:sz w:val="20"/>
                <w:szCs w:val="20"/>
              </w:rPr>
              <w:t xml:space="preserve">Borrelia </w:t>
            </w:r>
            <w:r>
              <w:rPr>
                <w:sz w:val="20"/>
                <w:szCs w:val="20"/>
              </w:rPr>
              <w:t>infection (PCR).</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04581D8" w14:textId="7C95ACEB" w:rsidR="002D58E4" w:rsidRDefault="00F721D4" w:rsidP="002914A2">
            <w:pPr>
              <w:rPr>
                <w:b/>
                <w:i/>
                <w:sz w:val="20"/>
                <w:szCs w:val="20"/>
                <w:u w:val="single"/>
              </w:rPr>
            </w:pPr>
            <w:r>
              <w:rPr>
                <w:sz w:val="20"/>
                <w:szCs w:val="20"/>
              </w:rPr>
              <w:lastRenderedPageBreak/>
              <w:t xml:space="preserve">Addresses the </w:t>
            </w:r>
            <w:r>
              <w:rPr>
                <w:b/>
                <w:sz w:val="20"/>
                <w:szCs w:val="20"/>
              </w:rPr>
              <w:t>prevalence of infected ticks in the area</w:t>
            </w:r>
            <w:r>
              <w:rPr>
                <w:sz w:val="20"/>
                <w:szCs w:val="20"/>
              </w:rPr>
              <w:t xml:space="preserve"> and the </w:t>
            </w:r>
            <w:r>
              <w:rPr>
                <w:b/>
                <w:sz w:val="20"/>
                <w:szCs w:val="20"/>
              </w:rPr>
              <w:t>probability of</w:t>
            </w:r>
            <w:r>
              <w:rPr>
                <w:b/>
                <w:i/>
                <w:sz w:val="20"/>
                <w:szCs w:val="20"/>
              </w:rPr>
              <w:t xml:space="preserve"> Borrelia </w:t>
            </w:r>
            <w:r>
              <w:rPr>
                <w:b/>
                <w:sz w:val="20"/>
                <w:szCs w:val="20"/>
              </w:rPr>
              <w:t>transmission after the bite by the infected tick</w:t>
            </w:r>
            <w:r>
              <w:rPr>
                <w:sz w:val="20"/>
                <w:szCs w:val="20"/>
              </w:rPr>
              <w:t xml:space="preserve"> </w:t>
            </w:r>
            <w:r>
              <w:rPr>
                <w:b/>
                <w:sz w:val="20"/>
                <w:szCs w:val="20"/>
              </w:rPr>
              <w:t>from the formula provided in Magid et al. 1992.</w:t>
            </w:r>
          </w:p>
        </w:tc>
        <w:tc>
          <w:tcPr>
            <w:tcW w:w="2126" w:type="dxa"/>
            <w:tcBorders>
              <w:top w:val="single" w:sz="6" w:space="0" w:color="AEAEAE"/>
              <w:left w:val="single" w:sz="6" w:space="0" w:color="AEAEAE"/>
              <w:bottom w:val="single" w:sz="6" w:space="0" w:color="AEAEAE"/>
              <w:right w:val="single" w:sz="6" w:space="0" w:color="AEAEAE"/>
            </w:tcBorders>
          </w:tcPr>
          <w:p w14:paraId="2592F88A" w14:textId="77777777" w:rsidR="002D58E4" w:rsidRDefault="00F721D4" w:rsidP="002914A2">
            <w:pPr>
              <w:rPr>
                <w:sz w:val="20"/>
                <w:szCs w:val="20"/>
              </w:rPr>
            </w:pPr>
            <w:r>
              <w:rPr>
                <w:b/>
                <w:sz w:val="20"/>
                <w:szCs w:val="20"/>
              </w:rPr>
              <w:t>Transmission rate = Lyme disease</w:t>
            </w:r>
            <w:r>
              <w:rPr>
                <w:sz w:val="20"/>
                <w:szCs w:val="20"/>
              </w:rPr>
              <w:t xml:space="preserve"> </w:t>
            </w:r>
            <w:r>
              <w:rPr>
                <w:b/>
                <w:sz w:val="20"/>
                <w:szCs w:val="20"/>
              </w:rPr>
              <w:t xml:space="preserve">incidence </w:t>
            </w:r>
            <w:r>
              <w:rPr>
                <w:sz w:val="20"/>
                <w:szCs w:val="20"/>
              </w:rPr>
              <w:t xml:space="preserve">(clinical and/or seroconversion) </w:t>
            </w:r>
            <w:r>
              <w:rPr>
                <w:b/>
                <w:sz w:val="20"/>
                <w:szCs w:val="20"/>
              </w:rPr>
              <w:t>in untreated</w:t>
            </w:r>
            <w:r>
              <w:rPr>
                <w:b/>
                <w:sz w:val="20"/>
                <w:szCs w:val="20"/>
                <w:u w:val="single"/>
              </w:rPr>
              <w:t xml:space="preserve"> </w:t>
            </w:r>
            <w:r>
              <w:rPr>
                <w:b/>
                <w:sz w:val="20"/>
                <w:szCs w:val="20"/>
              </w:rPr>
              <w:t>patients bitten by infected ticks</w:t>
            </w:r>
            <w:r>
              <w:rPr>
                <w:sz w:val="20"/>
                <w:szCs w:val="20"/>
              </w:rPr>
              <w:t xml:space="preserve">; </w:t>
            </w:r>
          </w:p>
          <w:p w14:paraId="12557B09" w14:textId="77777777" w:rsidR="002D58E4" w:rsidRDefault="002D58E4" w:rsidP="002914A2">
            <w:pPr>
              <w:rPr>
                <w:sz w:val="20"/>
                <w:szCs w:val="20"/>
              </w:rPr>
            </w:pPr>
          </w:p>
          <w:p w14:paraId="745DC4E2" w14:textId="77777777" w:rsidR="002D58E4" w:rsidRDefault="00F721D4" w:rsidP="002914A2">
            <w:pPr>
              <w:rPr>
                <w:sz w:val="20"/>
                <w:szCs w:val="20"/>
              </w:rPr>
            </w:pPr>
            <w:r>
              <w:rPr>
                <w:b/>
                <w:sz w:val="20"/>
                <w:szCs w:val="20"/>
              </w:rPr>
              <w:t>Prevalence (%) of ticks tested positive</w:t>
            </w:r>
            <w:r>
              <w:rPr>
                <w:sz w:val="20"/>
                <w:szCs w:val="20"/>
              </w:rPr>
              <w:t xml:space="preserve"> for </w:t>
            </w:r>
            <w:r>
              <w:rPr>
                <w:i/>
                <w:sz w:val="20"/>
                <w:szCs w:val="20"/>
              </w:rPr>
              <w:t>B. burgdorferi</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C571048" w14:textId="77777777" w:rsidR="002D58E4" w:rsidRDefault="00F721D4" w:rsidP="002914A2">
            <w:pPr>
              <w:rPr>
                <w:sz w:val="20"/>
                <w:szCs w:val="20"/>
              </w:rPr>
            </w:pPr>
            <w:r>
              <w:rPr>
                <w:sz w:val="20"/>
                <w:szCs w:val="20"/>
              </w:rPr>
              <w:t xml:space="preserve">The overall </w:t>
            </w:r>
            <w:r>
              <w:rPr>
                <w:b/>
                <w:sz w:val="20"/>
                <w:szCs w:val="20"/>
              </w:rPr>
              <w:t xml:space="preserve">prevalence of </w:t>
            </w:r>
            <w:r>
              <w:rPr>
                <w:b/>
                <w:i/>
                <w:sz w:val="20"/>
                <w:szCs w:val="20"/>
              </w:rPr>
              <w:t>B. burgdorferi</w:t>
            </w:r>
            <w:r>
              <w:rPr>
                <w:sz w:val="20"/>
                <w:szCs w:val="20"/>
              </w:rPr>
              <w:t xml:space="preserve"> in ticks was </w:t>
            </w:r>
            <w:r>
              <w:rPr>
                <w:b/>
                <w:sz w:val="20"/>
                <w:szCs w:val="20"/>
              </w:rPr>
              <w:t>15%</w:t>
            </w:r>
            <w:r>
              <w:rPr>
                <w:sz w:val="20"/>
                <w:szCs w:val="20"/>
              </w:rPr>
              <w:t xml:space="preserve">. </w:t>
            </w:r>
          </w:p>
          <w:p w14:paraId="43186F80" w14:textId="77777777" w:rsidR="002D58E4" w:rsidRDefault="002D58E4" w:rsidP="002914A2">
            <w:pPr>
              <w:rPr>
                <w:sz w:val="20"/>
                <w:szCs w:val="20"/>
              </w:rPr>
            </w:pPr>
          </w:p>
          <w:p w14:paraId="1B7A5712" w14:textId="77777777" w:rsidR="002D58E4" w:rsidRDefault="00F721D4" w:rsidP="002914A2">
            <w:pPr>
              <w:rPr>
                <w:sz w:val="20"/>
                <w:szCs w:val="20"/>
              </w:rPr>
            </w:pPr>
            <w:r>
              <w:rPr>
                <w:b/>
                <w:sz w:val="20"/>
                <w:szCs w:val="20"/>
              </w:rPr>
              <w:t>Transmission rate (incidence of Lyme disease after 6-12 months)</w:t>
            </w:r>
            <w:r>
              <w:rPr>
                <w:sz w:val="20"/>
                <w:szCs w:val="20"/>
              </w:rPr>
              <w:t xml:space="preserve">: </w:t>
            </w:r>
          </w:p>
          <w:p w14:paraId="3F6B11A6" w14:textId="77777777" w:rsidR="002D58E4" w:rsidRDefault="00F721D4" w:rsidP="002914A2">
            <w:pPr>
              <w:rPr>
                <w:sz w:val="20"/>
                <w:szCs w:val="20"/>
              </w:rPr>
            </w:pPr>
            <w:r>
              <w:rPr>
                <w:sz w:val="20"/>
                <w:szCs w:val="20"/>
                <w:u w:val="single"/>
              </w:rPr>
              <w:t>Tick-test-positive untreated group</w:t>
            </w:r>
            <w:r>
              <w:rPr>
                <w:sz w:val="20"/>
                <w:szCs w:val="20"/>
              </w:rPr>
              <w:t xml:space="preserve">: </w:t>
            </w:r>
          </w:p>
          <w:p w14:paraId="0990EB6B" w14:textId="77777777" w:rsidR="002D58E4" w:rsidRDefault="00F721D4" w:rsidP="002914A2">
            <w:pPr>
              <w:rPr>
                <w:sz w:val="20"/>
                <w:szCs w:val="20"/>
              </w:rPr>
            </w:pPr>
            <w:r>
              <w:rPr>
                <w:b/>
                <w:sz w:val="20"/>
                <w:szCs w:val="20"/>
              </w:rPr>
              <w:t>4.3%</w:t>
            </w:r>
            <w:r>
              <w:rPr>
                <w:sz w:val="20"/>
                <w:szCs w:val="20"/>
              </w:rPr>
              <w:t xml:space="preserve"> (1 out of 23) </w:t>
            </w:r>
            <w:r>
              <w:rPr>
                <w:b/>
                <w:sz w:val="20"/>
                <w:szCs w:val="20"/>
              </w:rPr>
              <w:t>or 8.3%</w:t>
            </w:r>
            <w:r>
              <w:rPr>
                <w:sz w:val="20"/>
                <w:szCs w:val="20"/>
              </w:rPr>
              <w:t xml:space="preserve"> (if including another Lyme(+) patient whose tick’s PCR was indeterminate).</w:t>
            </w:r>
          </w:p>
          <w:p w14:paraId="17A420BF" w14:textId="77777777" w:rsidR="002D58E4" w:rsidRDefault="002D58E4" w:rsidP="002914A2">
            <w:pPr>
              <w:rPr>
                <w:sz w:val="20"/>
                <w:szCs w:val="20"/>
              </w:rPr>
            </w:pPr>
          </w:p>
        </w:tc>
      </w:tr>
      <w:tr w:rsidR="002D58E4" w14:paraId="267981B7" w14:textId="77777777" w:rsidTr="00E70FE5">
        <w:trPr>
          <w:trHeight w:val="144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61382E2" w14:textId="77777777" w:rsidR="002D58E4" w:rsidRDefault="00F721D4" w:rsidP="002914A2">
            <w:pPr>
              <w:rPr>
                <w:sz w:val="20"/>
                <w:szCs w:val="20"/>
              </w:rPr>
            </w:pPr>
            <w:r>
              <w:rPr>
                <w:sz w:val="20"/>
                <w:szCs w:val="20"/>
              </w:rPr>
              <w:t>Costello, 1989;</w:t>
            </w:r>
          </w:p>
          <w:p w14:paraId="2590DAF1" w14:textId="77777777" w:rsidR="002D58E4" w:rsidRDefault="002D58E4" w:rsidP="002914A2">
            <w:pPr>
              <w:rPr>
                <w:sz w:val="20"/>
                <w:szCs w:val="20"/>
              </w:rPr>
            </w:pPr>
          </w:p>
          <w:p w14:paraId="412C03ED" w14:textId="77777777" w:rsidR="002D58E4" w:rsidRDefault="00F721D4" w:rsidP="002914A2">
            <w:pPr>
              <w:rPr>
                <w:sz w:val="20"/>
                <w:szCs w:val="20"/>
              </w:rPr>
            </w:pPr>
            <w:r>
              <w:rPr>
                <w:sz w:val="20"/>
                <w:szCs w:val="20"/>
              </w:rPr>
              <w:t>CT, USA</w:t>
            </w:r>
          </w:p>
        </w:tc>
        <w:tc>
          <w:tcPr>
            <w:tcW w:w="875" w:type="dxa"/>
            <w:tcBorders>
              <w:top w:val="single" w:sz="6" w:space="0" w:color="AEAEAE"/>
              <w:left w:val="single" w:sz="6" w:space="0" w:color="AEAEAE"/>
              <w:bottom w:val="single" w:sz="6" w:space="0" w:color="AEAEAE"/>
              <w:right w:val="single" w:sz="6" w:space="0" w:color="AEAEAE"/>
            </w:tcBorders>
            <w:vAlign w:val="center"/>
          </w:tcPr>
          <w:p w14:paraId="509F73AA" w14:textId="77777777" w:rsidR="002D58E4" w:rsidRDefault="00F721D4" w:rsidP="002914A2">
            <w:pPr>
              <w:rPr>
                <w:sz w:val="20"/>
                <w:szCs w:val="20"/>
              </w:rPr>
            </w:pPr>
            <w:r>
              <w:rPr>
                <w:sz w:val="20"/>
                <w:szCs w:val="20"/>
              </w:rPr>
              <w:t>Randomized double-blind controlled trial</w:t>
            </w:r>
          </w:p>
        </w:tc>
        <w:tc>
          <w:tcPr>
            <w:tcW w:w="540" w:type="dxa"/>
            <w:tcBorders>
              <w:top w:val="single" w:sz="6" w:space="0" w:color="AEAEAE"/>
              <w:left w:val="single" w:sz="6" w:space="0" w:color="AEAEAE"/>
              <w:bottom w:val="single" w:sz="6" w:space="0" w:color="AEAEAE"/>
              <w:right w:val="single" w:sz="6" w:space="0" w:color="AEAEAE"/>
            </w:tcBorders>
            <w:vAlign w:val="center"/>
          </w:tcPr>
          <w:p w14:paraId="10250F10" w14:textId="77777777" w:rsidR="002D58E4" w:rsidRDefault="00F721D4" w:rsidP="002914A2">
            <w:pPr>
              <w:jc w:val="center"/>
              <w:rPr>
                <w:sz w:val="20"/>
                <w:szCs w:val="20"/>
              </w:rPr>
            </w:pPr>
            <w:r>
              <w:rPr>
                <w:sz w:val="20"/>
                <w:szCs w:val="20"/>
              </w:rPr>
              <w:t>Unclear Risk of Bias</w:t>
            </w:r>
          </w:p>
        </w:tc>
        <w:tc>
          <w:tcPr>
            <w:tcW w:w="1870" w:type="dxa"/>
            <w:tcBorders>
              <w:top w:val="single" w:sz="6" w:space="0" w:color="AEAEAE"/>
              <w:left w:val="single" w:sz="6" w:space="0" w:color="AEAEAE"/>
              <w:bottom w:val="single" w:sz="6" w:space="0" w:color="AEAEAE"/>
              <w:right w:val="single" w:sz="6" w:space="0" w:color="AEAEAE"/>
            </w:tcBorders>
            <w:vAlign w:val="center"/>
          </w:tcPr>
          <w:p w14:paraId="78BF852B" w14:textId="77777777" w:rsidR="002D58E4" w:rsidRDefault="00F721D4" w:rsidP="002914A2">
            <w:pPr>
              <w:rPr>
                <w:sz w:val="20"/>
                <w:szCs w:val="20"/>
              </w:rPr>
            </w:pPr>
            <w:r>
              <w:rPr>
                <w:sz w:val="20"/>
                <w:szCs w:val="20"/>
              </w:rPr>
              <w:t xml:space="preserve">56 subjects (≥5 years old) with </w:t>
            </w:r>
            <w:r>
              <w:rPr>
                <w:i/>
                <w:sz w:val="20"/>
                <w:szCs w:val="20"/>
              </w:rPr>
              <w:t xml:space="preserve">I. scapularis a </w:t>
            </w:r>
            <w:r>
              <w:rPr>
                <w:sz w:val="20"/>
                <w:szCs w:val="20"/>
              </w:rPr>
              <w:t>tick bites within the preceding 72 hours (CT state).</w:t>
            </w:r>
          </w:p>
          <w:p w14:paraId="6664B0D7" w14:textId="77777777" w:rsidR="002D58E4" w:rsidRDefault="002D58E4" w:rsidP="002914A2">
            <w:pPr>
              <w:rPr>
                <w:sz w:val="20"/>
                <w:szCs w:val="20"/>
              </w:rPr>
            </w:pP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FE10970" w14:textId="77777777" w:rsidR="002D58E4" w:rsidRDefault="00F721D4" w:rsidP="002914A2">
            <w:pPr>
              <w:rPr>
                <w:sz w:val="20"/>
                <w:szCs w:val="20"/>
              </w:rPr>
            </w:pPr>
            <w:r>
              <w:rPr>
                <w:sz w:val="20"/>
                <w:szCs w:val="20"/>
              </w:rPr>
              <w:t>Subjects were randomized into 2 groups: oral penicillin VK 250 mg (N=27) vs. oral placebo (lactose 333 mg) (N=29), 4 times daily for 10 days and followed up for 6-12 months.</w:t>
            </w:r>
          </w:p>
          <w:p w14:paraId="3733E5A7" w14:textId="77777777" w:rsidR="002D58E4" w:rsidRDefault="002D58E4" w:rsidP="002914A2">
            <w:pPr>
              <w:rPr>
                <w:sz w:val="20"/>
                <w:szCs w:val="20"/>
              </w:rPr>
            </w:pPr>
          </w:p>
          <w:p w14:paraId="5CFE1AF2" w14:textId="77777777" w:rsidR="002D58E4" w:rsidRDefault="00F721D4" w:rsidP="002914A2">
            <w:pPr>
              <w:rPr>
                <w:sz w:val="20"/>
                <w:szCs w:val="20"/>
              </w:rPr>
            </w:pPr>
            <w:r>
              <w:rPr>
                <w:b/>
                <w:sz w:val="20"/>
                <w:szCs w:val="20"/>
              </w:rPr>
              <w:t>Ticks were tested</w:t>
            </w:r>
            <w:r>
              <w:rPr>
                <w:sz w:val="20"/>
                <w:szCs w:val="20"/>
              </w:rPr>
              <w:t xml:space="preserve"> for </w:t>
            </w:r>
            <w:r>
              <w:rPr>
                <w:i/>
                <w:sz w:val="20"/>
                <w:szCs w:val="20"/>
              </w:rPr>
              <w:t xml:space="preserve">Borrelia </w:t>
            </w:r>
            <w:r>
              <w:rPr>
                <w:sz w:val="20"/>
                <w:szCs w:val="20"/>
              </w:rPr>
              <w:t>infection (IFA)</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B5CA99B" w14:textId="77777777" w:rsidR="002D58E4" w:rsidRDefault="00F721D4" w:rsidP="002914A2">
            <w:pPr>
              <w:rPr>
                <w:b/>
                <w:i/>
                <w:sz w:val="20"/>
                <w:szCs w:val="20"/>
              </w:rPr>
            </w:pPr>
            <w:r>
              <w:rPr>
                <w:sz w:val="20"/>
                <w:szCs w:val="20"/>
              </w:rPr>
              <w:t xml:space="preserve">Addresses the </w:t>
            </w:r>
            <w:r>
              <w:rPr>
                <w:b/>
                <w:sz w:val="20"/>
                <w:szCs w:val="20"/>
              </w:rPr>
              <w:t>prevalence of infected ticks in the area</w:t>
            </w:r>
            <w:r>
              <w:rPr>
                <w:sz w:val="20"/>
                <w:szCs w:val="20"/>
              </w:rPr>
              <w:t xml:space="preserve"> and the </w:t>
            </w:r>
            <w:r>
              <w:rPr>
                <w:b/>
                <w:sz w:val="20"/>
                <w:szCs w:val="20"/>
              </w:rPr>
              <w:t>probability of the</w:t>
            </w:r>
            <w:r>
              <w:rPr>
                <w:b/>
                <w:i/>
                <w:sz w:val="20"/>
                <w:szCs w:val="20"/>
              </w:rPr>
              <w:t xml:space="preserve"> Borrelia </w:t>
            </w:r>
            <w:r>
              <w:rPr>
                <w:b/>
                <w:sz w:val="20"/>
                <w:szCs w:val="20"/>
              </w:rPr>
              <w:t>transmission after the bite by the infected tick</w:t>
            </w:r>
            <w:r>
              <w:rPr>
                <w:sz w:val="20"/>
                <w:szCs w:val="20"/>
              </w:rPr>
              <w:t xml:space="preserve"> </w:t>
            </w:r>
            <w:r>
              <w:rPr>
                <w:b/>
                <w:sz w:val="20"/>
                <w:szCs w:val="20"/>
              </w:rPr>
              <w:t>from the formula provided in Magid et al. 1992..</w:t>
            </w:r>
          </w:p>
        </w:tc>
        <w:tc>
          <w:tcPr>
            <w:tcW w:w="2126" w:type="dxa"/>
            <w:tcBorders>
              <w:top w:val="single" w:sz="6" w:space="0" w:color="AEAEAE"/>
              <w:left w:val="single" w:sz="6" w:space="0" w:color="AEAEAE"/>
              <w:bottom w:val="single" w:sz="6" w:space="0" w:color="AEAEAE"/>
              <w:right w:val="single" w:sz="6" w:space="0" w:color="AEAEAE"/>
            </w:tcBorders>
          </w:tcPr>
          <w:p w14:paraId="4CE3642B" w14:textId="77777777" w:rsidR="002D58E4" w:rsidRDefault="00F721D4" w:rsidP="002914A2">
            <w:pPr>
              <w:rPr>
                <w:sz w:val="20"/>
                <w:szCs w:val="20"/>
              </w:rPr>
            </w:pPr>
            <w:r>
              <w:rPr>
                <w:b/>
                <w:sz w:val="20"/>
                <w:szCs w:val="20"/>
              </w:rPr>
              <w:t>Transmission rate = Lyme disease</w:t>
            </w:r>
            <w:r>
              <w:rPr>
                <w:sz w:val="20"/>
                <w:szCs w:val="20"/>
              </w:rPr>
              <w:t xml:space="preserve"> </w:t>
            </w:r>
            <w:r>
              <w:rPr>
                <w:b/>
                <w:sz w:val="20"/>
                <w:szCs w:val="20"/>
              </w:rPr>
              <w:t>incidence</w:t>
            </w:r>
            <w:r>
              <w:rPr>
                <w:sz w:val="20"/>
                <w:szCs w:val="20"/>
              </w:rPr>
              <w:t xml:space="preserve"> (clinical cases) </w:t>
            </w:r>
            <w:r>
              <w:rPr>
                <w:b/>
                <w:sz w:val="20"/>
                <w:szCs w:val="20"/>
              </w:rPr>
              <w:t>in untreated patients bitten by infected ticks</w:t>
            </w:r>
            <w:r>
              <w:rPr>
                <w:sz w:val="20"/>
                <w:szCs w:val="20"/>
              </w:rPr>
              <w:t xml:space="preserve">; </w:t>
            </w:r>
          </w:p>
          <w:p w14:paraId="4A869CB0" w14:textId="77777777" w:rsidR="002D58E4" w:rsidRDefault="002D58E4" w:rsidP="002914A2">
            <w:pPr>
              <w:rPr>
                <w:sz w:val="20"/>
                <w:szCs w:val="20"/>
              </w:rPr>
            </w:pPr>
          </w:p>
          <w:p w14:paraId="2935E853" w14:textId="77777777" w:rsidR="002D58E4" w:rsidRDefault="00F721D4" w:rsidP="002914A2">
            <w:pPr>
              <w:rPr>
                <w:b/>
                <w:sz w:val="20"/>
                <w:szCs w:val="20"/>
              </w:rPr>
            </w:pPr>
            <w:r>
              <w:rPr>
                <w:b/>
                <w:sz w:val="20"/>
                <w:szCs w:val="20"/>
              </w:rPr>
              <w:t>Prevalence (%) of ticks tested positive</w:t>
            </w:r>
            <w:r>
              <w:rPr>
                <w:sz w:val="20"/>
                <w:szCs w:val="20"/>
              </w:rPr>
              <w:t xml:space="preserve"> for </w:t>
            </w:r>
            <w:r>
              <w:rPr>
                <w:i/>
                <w:sz w:val="20"/>
                <w:szCs w:val="20"/>
              </w:rPr>
              <w:t>B. burgdorferi</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41E9092" w14:textId="77777777" w:rsidR="002D58E4" w:rsidRDefault="00F721D4" w:rsidP="002914A2">
            <w:pPr>
              <w:rPr>
                <w:sz w:val="20"/>
                <w:szCs w:val="20"/>
              </w:rPr>
            </w:pPr>
            <w:r>
              <w:rPr>
                <w:sz w:val="20"/>
                <w:szCs w:val="20"/>
              </w:rPr>
              <w:t xml:space="preserve">The overall </w:t>
            </w:r>
            <w:r>
              <w:rPr>
                <w:b/>
                <w:sz w:val="20"/>
                <w:szCs w:val="20"/>
              </w:rPr>
              <w:t xml:space="preserve">prevalence of </w:t>
            </w:r>
            <w:r>
              <w:rPr>
                <w:b/>
                <w:i/>
                <w:sz w:val="20"/>
                <w:szCs w:val="20"/>
              </w:rPr>
              <w:t>B. burgdorferi</w:t>
            </w:r>
            <w:r>
              <w:rPr>
                <w:sz w:val="20"/>
                <w:szCs w:val="20"/>
              </w:rPr>
              <w:t xml:space="preserve"> in ticks was </w:t>
            </w:r>
            <w:r>
              <w:rPr>
                <w:b/>
                <w:sz w:val="20"/>
                <w:szCs w:val="20"/>
              </w:rPr>
              <w:t>29%.</w:t>
            </w:r>
            <w:r>
              <w:rPr>
                <w:sz w:val="20"/>
                <w:szCs w:val="20"/>
              </w:rPr>
              <w:t xml:space="preserve"> </w:t>
            </w:r>
          </w:p>
          <w:p w14:paraId="739CF166" w14:textId="77777777" w:rsidR="002D58E4" w:rsidRDefault="002D58E4" w:rsidP="002914A2">
            <w:pPr>
              <w:rPr>
                <w:sz w:val="20"/>
                <w:szCs w:val="20"/>
              </w:rPr>
            </w:pPr>
          </w:p>
          <w:p w14:paraId="66E5D761" w14:textId="77777777" w:rsidR="002D58E4" w:rsidRDefault="00F721D4" w:rsidP="002914A2">
            <w:pPr>
              <w:rPr>
                <w:sz w:val="20"/>
                <w:szCs w:val="20"/>
              </w:rPr>
            </w:pPr>
            <w:r>
              <w:rPr>
                <w:b/>
                <w:sz w:val="20"/>
                <w:szCs w:val="20"/>
              </w:rPr>
              <w:t>Transmission rate (incidence of Lyme disease after 6-12 months)</w:t>
            </w:r>
            <w:r>
              <w:rPr>
                <w:sz w:val="20"/>
                <w:szCs w:val="20"/>
              </w:rPr>
              <w:t xml:space="preserve">: </w:t>
            </w:r>
          </w:p>
          <w:p w14:paraId="1A8491DC" w14:textId="77777777" w:rsidR="002D58E4" w:rsidRDefault="00F721D4" w:rsidP="002914A2">
            <w:pPr>
              <w:rPr>
                <w:sz w:val="20"/>
                <w:szCs w:val="20"/>
              </w:rPr>
            </w:pPr>
            <w:r>
              <w:rPr>
                <w:sz w:val="20"/>
                <w:szCs w:val="20"/>
              </w:rPr>
              <w:t xml:space="preserve">The </w:t>
            </w:r>
            <w:r>
              <w:rPr>
                <w:sz w:val="20"/>
                <w:szCs w:val="20"/>
                <w:u w:val="single"/>
              </w:rPr>
              <w:t>tick-test-positive</w:t>
            </w:r>
            <w:r>
              <w:rPr>
                <w:sz w:val="20"/>
                <w:szCs w:val="20"/>
              </w:rPr>
              <w:t xml:space="preserve"> group had </w:t>
            </w:r>
            <w:r>
              <w:rPr>
                <w:b/>
                <w:sz w:val="20"/>
                <w:szCs w:val="20"/>
              </w:rPr>
              <w:t>0%</w:t>
            </w:r>
            <w:r>
              <w:rPr>
                <w:sz w:val="20"/>
                <w:szCs w:val="20"/>
              </w:rPr>
              <w:t xml:space="preserve"> </w:t>
            </w:r>
            <w:r>
              <w:rPr>
                <w:i/>
                <w:sz w:val="20"/>
                <w:szCs w:val="20"/>
              </w:rPr>
              <w:t>B. burgdorferi</w:t>
            </w:r>
            <w:r>
              <w:rPr>
                <w:sz w:val="20"/>
                <w:szCs w:val="20"/>
              </w:rPr>
              <w:t xml:space="preserve"> transmission. </w:t>
            </w:r>
          </w:p>
          <w:p w14:paraId="6ADC74CB" w14:textId="77777777" w:rsidR="002D58E4" w:rsidRDefault="00F721D4" w:rsidP="002914A2">
            <w:pPr>
              <w:rPr>
                <w:sz w:val="20"/>
                <w:szCs w:val="20"/>
              </w:rPr>
            </w:pPr>
            <w:r>
              <w:rPr>
                <w:sz w:val="20"/>
                <w:szCs w:val="20"/>
              </w:rPr>
              <w:t>The only untreated patient who developed Lyme disease had a tick that was not suitable for testing.</w:t>
            </w:r>
          </w:p>
        </w:tc>
      </w:tr>
      <w:tr w:rsidR="002D58E4" w14:paraId="126983B9" w14:textId="77777777" w:rsidTr="00E70FE5">
        <w:trPr>
          <w:trHeight w:val="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720799" w14:textId="77777777" w:rsidR="002D58E4" w:rsidRDefault="00F721D4" w:rsidP="002914A2">
            <w:pPr>
              <w:rPr>
                <w:sz w:val="20"/>
                <w:szCs w:val="20"/>
              </w:rPr>
            </w:pPr>
            <w:r>
              <w:rPr>
                <w:sz w:val="20"/>
                <w:szCs w:val="20"/>
              </w:rPr>
              <w:t>Maiwald, 1998;</w:t>
            </w:r>
          </w:p>
          <w:p w14:paraId="179A4250" w14:textId="77777777" w:rsidR="002D58E4" w:rsidRDefault="002D58E4" w:rsidP="002914A2">
            <w:pPr>
              <w:rPr>
                <w:sz w:val="20"/>
                <w:szCs w:val="20"/>
              </w:rPr>
            </w:pPr>
          </w:p>
          <w:p w14:paraId="13EEC6B7" w14:textId="77777777" w:rsidR="002D58E4" w:rsidRDefault="00F721D4" w:rsidP="002914A2">
            <w:pPr>
              <w:rPr>
                <w:sz w:val="20"/>
                <w:szCs w:val="20"/>
              </w:rPr>
            </w:pPr>
            <w:r>
              <w:rPr>
                <w:sz w:val="20"/>
                <w:szCs w:val="20"/>
              </w:rPr>
              <w:t>Germany</w:t>
            </w:r>
          </w:p>
        </w:tc>
        <w:tc>
          <w:tcPr>
            <w:tcW w:w="875" w:type="dxa"/>
            <w:tcBorders>
              <w:top w:val="single" w:sz="6" w:space="0" w:color="AEAEAE"/>
              <w:left w:val="single" w:sz="6" w:space="0" w:color="AEAEAE"/>
              <w:bottom w:val="single" w:sz="6" w:space="0" w:color="AEAEAE"/>
              <w:right w:val="single" w:sz="6" w:space="0" w:color="AEAEAE"/>
            </w:tcBorders>
            <w:vAlign w:val="center"/>
          </w:tcPr>
          <w:p w14:paraId="4A4A112E" w14:textId="77777777" w:rsidR="002D58E4" w:rsidRDefault="00F721D4" w:rsidP="002914A2">
            <w:pPr>
              <w:rPr>
                <w:sz w:val="20"/>
                <w:szCs w:val="20"/>
              </w:rPr>
            </w:pPr>
            <w:r>
              <w:rPr>
                <w:sz w:val="20"/>
                <w:szCs w:val="20"/>
              </w:rPr>
              <w:t>Prospective cohort study</w:t>
            </w:r>
          </w:p>
        </w:tc>
        <w:tc>
          <w:tcPr>
            <w:tcW w:w="540" w:type="dxa"/>
            <w:tcBorders>
              <w:top w:val="single" w:sz="6" w:space="0" w:color="AEAEAE"/>
              <w:left w:val="single" w:sz="6" w:space="0" w:color="AEAEAE"/>
              <w:bottom w:val="single" w:sz="6" w:space="0" w:color="AEAEAE"/>
              <w:right w:val="single" w:sz="6" w:space="0" w:color="AEAEAE"/>
            </w:tcBorders>
            <w:vAlign w:val="center"/>
          </w:tcPr>
          <w:p w14:paraId="1681DC1E" w14:textId="77777777" w:rsidR="002D58E4" w:rsidRDefault="00F721D4" w:rsidP="002914A2">
            <w:pPr>
              <w:jc w:val="center"/>
              <w:rPr>
                <w:sz w:val="20"/>
                <w:szCs w:val="20"/>
              </w:rPr>
            </w:pPr>
            <w:r>
              <w:rPr>
                <w:sz w:val="20"/>
                <w:szCs w:val="20"/>
              </w:rPr>
              <w:t>5</w:t>
            </w:r>
          </w:p>
        </w:tc>
        <w:tc>
          <w:tcPr>
            <w:tcW w:w="1870" w:type="dxa"/>
            <w:tcBorders>
              <w:top w:val="single" w:sz="6" w:space="0" w:color="AEAEAE"/>
              <w:left w:val="single" w:sz="6" w:space="0" w:color="AEAEAE"/>
              <w:bottom w:val="single" w:sz="6" w:space="0" w:color="AEAEAE"/>
              <w:right w:val="single" w:sz="6" w:space="0" w:color="AEAEAE"/>
            </w:tcBorders>
            <w:vAlign w:val="center"/>
          </w:tcPr>
          <w:p w14:paraId="0EE62C8A" w14:textId="77777777" w:rsidR="002D58E4" w:rsidRDefault="00F721D4" w:rsidP="002914A2">
            <w:pPr>
              <w:rPr>
                <w:sz w:val="20"/>
                <w:szCs w:val="20"/>
              </w:rPr>
            </w:pPr>
            <w:r>
              <w:rPr>
                <w:sz w:val="20"/>
                <w:szCs w:val="20"/>
              </w:rPr>
              <w:t xml:space="preserve">730 patients bitten by ticks and referred to a general practitioner (Germany). </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F47621B" w14:textId="77777777" w:rsidR="002D58E4" w:rsidRDefault="00F721D4" w:rsidP="002914A2">
            <w:pPr>
              <w:rPr>
                <w:sz w:val="20"/>
                <w:szCs w:val="20"/>
              </w:rPr>
            </w:pPr>
            <w:r>
              <w:rPr>
                <w:sz w:val="20"/>
                <w:szCs w:val="20"/>
              </w:rPr>
              <w:t>Patients were followed for 2-6 weeks (site 1) or 8-13 weeks (site 2) for Lyme disease symptoms and seroconversion.</w:t>
            </w:r>
          </w:p>
          <w:p w14:paraId="608B7395" w14:textId="77777777" w:rsidR="002D58E4" w:rsidRDefault="002D58E4" w:rsidP="002914A2">
            <w:pPr>
              <w:rPr>
                <w:sz w:val="20"/>
                <w:szCs w:val="20"/>
              </w:rPr>
            </w:pPr>
          </w:p>
          <w:p w14:paraId="60DE09CC" w14:textId="77777777" w:rsidR="002D58E4" w:rsidRDefault="00F721D4" w:rsidP="002914A2">
            <w:pPr>
              <w:rPr>
                <w:sz w:val="20"/>
                <w:szCs w:val="20"/>
              </w:rPr>
            </w:pPr>
            <w:r>
              <w:rPr>
                <w:b/>
                <w:sz w:val="20"/>
                <w:szCs w:val="20"/>
              </w:rPr>
              <w:t>Ticks were tested</w:t>
            </w:r>
            <w:r>
              <w:rPr>
                <w:sz w:val="20"/>
                <w:szCs w:val="20"/>
              </w:rPr>
              <w:t xml:space="preserve"> for </w:t>
            </w:r>
            <w:r>
              <w:rPr>
                <w:i/>
                <w:sz w:val="20"/>
                <w:szCs w:val="20"/>
              </w:rPr>
              <w:t xml:space="preserve">Borrelia </w:t>
            </w:r>
            <w:r>
              <w:rPr>
                <w:sz w:val="20"/>
                <w:szCs w:val="20"/>
              </w:rPr>
              <w:t>infection (</w:t>
            </w:r>
            <w:r>
              <w:rPr>
                <w:b/>
                <w:sz w:val="20"/>
                <w:szCs w:val="20"/>
              </w:rPr>
              <w:t>PCR</w:t>
            </w:r>
            <w:r>
              <w:rPr>
                <w:sz w:val="20"/>
                <w:szCs w:val="20"/>
              </w:rPr>
              <w:t>).</w:t>
            </w:r>
          </w:p>
          <w:p w14:paraId="412ABBD0" w14:textId="77777777" w:rsidR="002D58E4" w:rsidRDefault="002D58E4" w:rsidP="002914A2">
            <w:pPr>
              <w:rPr>
                <w:sz w:val="20"/>
                <w:szCs w:val="20"/>
              </w:rPr>
            </w:pP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F73F933" w14:textId="77777777" w:rsidR="002D58E4" w:rsidRDefault="00F721D4" w:rsidP="002914A2">
            <w:pPr>
              <w:rPr>
                <w:b/>
                <w:i/>
                <w:sz w:val="20"/>
                <w:szCs w:val="20"/>
              </w:rPr>
            </w:pPr>
            <w:r>
              <w:rPr>
                <w:sz w:val="20"/>
                <w:szCs w:val="20"/>
              </w:rPr>
              <w:t xml:space="preserve">Addresses the </w:t>
            </w:r>
            <w:r>
              <w:rPr>
                <w:b/>
                <w:sz w:val="20"/>
                <w:szCs w:val="20"/>
              </w:rPr>
              <w:t>prevalence of infected ticks in the area</w:t>
            </w:r>
            <w:r>
              <w:rPr>
                <w:sz w:val="20"/>
                <w:szCs w:val="20"/>
              </w:rPr>
              <w:t xml:space="preserve"> and the </w:t>
            </w:r>
            <w:r>
              <w:rPr>
                <w:b/>
                <w:sz w:val="20"/>
                <w:szCs w:val="20"/>
              </w:rPr>
              <w:t>probability of the</w:t>
            </w:r>
            <w:r>
              <w:rPr>
                <w:b/>
                <w:i/>
                <w:sz w:val="20"/>
                <w:szCs w:val="20"/>
              </w:rPr>
              <w:t xml:space="preserve"> Borrelia </w:t>
            </w:r>
            <w:r>
              <w:rPr>
                <w:b/>
                <w:sz w:val="20"/>
                <w:szCs w:val="20"/>
              </w:rPr>
              <w:t>transmission after the bite by the infected tick</w:t>
            </w:r>
            <w:r>
              <w:rPr>
                <w:sz w:val="20"/>
                <w:szCs w:val="20"/>
              </w:rPr>
              <w:t xml:space="preserve"> </w:t>
            </w:r>
            <w:r>
              <w:rPr>
                <w:b/>
                <w:sz w:val="20"/>
                <w:szCs w:val="20"/>
              </w:rPr>
              <w:t>from the formula provided in Magid et al. 1992..</w:t>
            </w:r>
          </w:p>
        </w:tc>
        <w:tc>
          <w:tcPr>
            <w:tcW w:w="2126" w:type="dxa"/>
            <w:tcBorders>
              <w:top w:val="single" w:sz="6" w:space="0" w:color="AEAEAE"/>
              <w:left w:val="single" w:sz="6" w:space="0" w:color="AEAEAE"/>
              <w:bottom w:val="single" w:sz="6" w:space="0" w:color="AEAEAE"/>
              <w:right w:val="single" w:sz="6" w:space="0" w:color="AEAEAE"/>
            </w:tcBorders>
          </w:tcPr>
          <w:p w14:paraId="3F2BDCD0" w14:textId="77777777" w:rsidR="002D58E4" w:rsidRDefault="00F721D4" w:rsidP="002914A2">
            <w:pPr>
              <w:rPr>
                <w:sz w:val="20"/>
                <w:szCs w:val="20"/>
              </w:rPr>
            </w:pPr>
            <w:r>
              <w:rPr>
                <w:b/>
                <w:sz w:val="20"/>
                <w:szCs w:val="20"/>
              </w:rPr>
              <w:t>Transmission rate = Lyme disease</w:t>
            </w:r>
            <w:r>
              <w:rPr>
                <w:sz w:val="20"/>
                <w:szCs w:val="20"/>
              </w:rPr>
              <w:t xml:space="preserve"> </w:t>
            </w:r>
            <w:r>
              <w:rPr>
                <w:b/>
                <w:sz w:val="20"/>
                <w:szCs w:val="20"/>
              </w:rPr>
              <w:t>incidence</w:t>
            </w:r>
            <w:r>
              <w:rPr>
                <w:sz w:val="20"/>
                <w:szCs w:val="20"/>
              </w:rPr>
              <w:t xml:space="preserve"> (clinical and/or seroconversion) in</w:t>
            </w:r>
            <w:r>
              <w:rPr>
                <w:b/>
                <w:sz w:val="20"/>
                <w:szCs w:val="20"/>
              </w:rPr>
              <w:t xml:space="preserve"> patients bitten by infected ticks</w:t>
            </w:r>
            <w:r>
              <w:rPr>
                <w:sz w:val="20"/>
                <w:szCs w:val="20"/>
              </w:rPr>
              <w:t xml:space="preserve">; </w:t>
            </w:r>
          </w:p>
          <w:p w14:paraId="10C2F5C0" w14:textId="77777777" w:rsidR="002D58E4" w:rsidRDefault="002D58E4" w:rsidP="002914A2">
            <w:pPr>
              <w:rPr>
                <w:sz w:val="20"/>
                <w:szCs w:val="20"/>
              </w:rPr>
            </w:pPr>
          </w:p>
          <w:p w14:paraId="225A8697" w14:textId="77777777" w:rsidR="002D58E4" w:rsidRDefault="00F721D4" w:rsidP="002914A2">
            <w:pPr>
              <w:rPr>
                <w:i/>
                <w:sz w:val="20"/>
                <w:szCs w:val="20"/>
              </w:rPr>
            </w:pPr>
            <w:r>
              <w:rPr>
                <w:b/>
                <w:sz w:val="20"/>
                <w:szCs w:val="20"/>
              </w:rPr>
              <w:t>Prevalence (%) of ticks tested positive</w:t>
            </w:r>
            <w:r>
              <w:rPr>
                <w:sz w:val="20"/>
                <w:szCs w:val="20"/>
              </w:rPr>
              <w:t xml:space="preserve"> for </w:t>
            </w:r>
            <w:r>
              <w:rPr>
                <w:i/>
                <w:sz w:val="20"/>
                <w:szCs w:val="20"/>
              </w:rPr>
              <w:t>B. burgdorferi.</w:t>
            </w:r>
          </w:p>
          <w:p w14:paraId="05EA1F68" w14:textId="77777777" w:rsidR="002D58E4" w:rsidRDefault="002D58E4" w:rsidP="002914A2">
            <w:pPr>
              <w:rPr>
                <w:b/>
                <w:sz w:val="20"/>
                <w:szCs w:val="20"/>
              </w:rPr>
            </w:pP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1C39660" w14:textId="77777777" w:rsidR="002D58E4" w:rsidRDefault="00F721D4" w:rsidP="002914A2">
            <w:pPr>
              <w:rPr>
                <w:sz w:val="20"/>
                <w:szCs w:val="20"/>
              </w:rPr>
            </w:pPr>
            <w:r>
              <w:rPr>
                <w:sz w:val="20"/>
                <w:szCs w:val="20"/>
              </w:rPr>
              <w:t xml:space="preserve">The overall </w:t>
            </w:r>
            <w:r>
              <w:rPr>
                <w:b/>
                <w:sz w:val="20"/>
                <w:szCs w:val="20"/>
              </w:rPr>
              <w:t xml:space="preserve">prevalence of </w:t>
            </w:r>
            <w:r>
              <w:rPr>
                <w:b/>
                <w:i/>
                <w:sz w:val="20"/>
                <w:szCs w:val="20"/>
              </w:rPr>
              <w:t>B. burgdorferi sensu lato</w:t>
            </w:r>
            <w:r>
              <w:rPr>
                <w:sz w:val="20"/>
                <w:szCs w:val="20"/>
              </w:rPr>
              <w:t xml:space="preserve"> in ticks was </w:t>
            </w:r>
            <w:r>
              <w:rPr>
                <w:b/>
                <w:sz w:val="20"/>
                <w:szCs w:val="20"/>
              </w:rPr>
              <w:t>11%.</w:t>
            </w:r>
          </w:p>
          <w:p w14:paraId="476CA030" w14:textId="77777777" w:rsidR="002D58E4" w:rsidRDefault="002D58E4" w:rsidP="002914A2">
            <w:pPr>
              <w:rPr>
                <w:sz w:val="20"/>
                <w:szCs w:val="20"/>
              </w:rPr>
            </w:pPr>
          </w:p>
          <w:p w14:paraId="2D4A3DF0" w14:textId="77777777" w:rsidR="002D58E4" w:rsidRDefault="00F721D4" w:rsidP="002914A2">
            <w:pPr>
              <w:rPr>
                <w:b/>
                <w:sz w:val="20"/>
                <w:szCs w:val="20"/>
              </w:rPr>
            </w:pPr>
            <w:r>
              <w:rPr>
                <w:b/>
                <w:sz w:val="20"/>
                <w:szCs w:val="20"/>
              </w:rPr>
              <w:t>Transmission rates from PCR- positive ticks:</w:t>
            </w:r>
          </w:p>
          <w:p w14:paraId="1436EB45" w14:textId="77777777" w:rsidR="002D58E4" w:rsidRDefault="00F721D4" w:rsidP="002914A2">
            <w:pPr>
              <w:rPr>
                <w:sz w:val="20"/>
                <w:szCs w:val="20"/>
              </w:rPr>
            </w:pPr>
            <w:r>
              <w:rPr>
                <w:i/>
                <w:sz w:val="20"/>
                <w:szCs w:val="20"/>
              </w:rPr>
              <w:t xml:space="preserve">Overall: </w:t>
            </w:r>
            <w:r>
              <w:rPr>
                <w:b/>
                <w:sz w:val="20"/>
                <w:szCs w:val="20"/>
              </w:rPr>
              <w:t>24.6%</w:t>
            </w:r>
            <w:r>
              <w:rPr>
                <w:sz w:val="20"/>
                <w:szCs w:val="20"/>
              </w:rPr>
              <w:t xml:space="preserve"> (16 out of 65).</w:t>
            </w:r>
          </w:p>
          <w:p w14:paraId="19EC69B2" w14:textId="77777777" w:rsidR="002D58E4" w:rsidRDefault="00F721D4" w:rsidP="002914A2">
            <w:pPr>
              <w:rPr>
                <w:sz w:val="20"/>
                <w:szCs w:val="20"/>
              </w:rPr>
            </w:pPr>
            <w:r>
              <w:rPr>
                <w:i/>
                <w:sz w:val="20"/>
                <w:szCs w:val="20"/>
              </w:rPr>
              <w:t>2-6 weeks after bite</w:t>
            </w:r>
            <w:r>
              <w:rPr>
                <w:b/>
                <w:i/>
                <w:sz w:val="20"/>
                <w:szCs w:val="20"/>
              </w:rPr>
              <w:t xml:space="preserve"> </w:t>
            </w:r>
            <w:r>
              <w:rPr>
                <w:i/>
                <w:sz w:val="20"/>
                <w:szCs w:val="20"/>
              </w:rPr>
              <w:t xml:space="preserve">(Site 1): </w:t>
            </w:r>
            <w:r>
              <w:rPr>
                <w:b/>
                <w:sz w:val="20"/>
                <w:szCs w:val="20"/>
              </w:rPr>
              <w:t>21.0%</w:t>
            </w:r>
            <w:r>
              <w:rPr>
                <w:sz w:val="20"/>
                <w:szCs w:val="20"/>
              </w:rPr>
              <w:t xml:space="preserve"> (8 out of 38).</w:t>
            </w:r>
          </w:p>
          <w:p w14:paraId="1D9F8AE9" w14:textId="77777777" w:rsidR="002D58E4" w:rsidRDefault="00F721D4" w:rsidP="002914A2">
            <w:pPr>
              <w:rPr>
                <w:sz w:val="20"/>
                <w:szCs w:val="20"/>
              </w:rPr>
            </w:pPr>
            <w:r>
              <w:rPr>
                <w:i/>
                <w:sz w:val="20"/>
                <w:szCs w:val="20"/>
              </w:rPr>
              <w:t xml:space="preserve">8-13 weeks after bite (site 2): </w:t>
            </w:r>
            <w:r>
              <w:rPr>
                <w:b/>
                <w:sz w:val="20"/>
                <w:szCs w:val="20"/>
              </w:rPr>
              <w:t>29.6%</w:t>
            </w:r>
            <w:r>
              <w:rPr>
                <w:sz w:val="20"/>
                <w:szCs w:val="20"/>
              </w:rPr>
              <w:t xml:space="preserve"> (8 out of 27).</w:t>
            </w:r>
          </w:p>
          <w:p w14:paraId="0CA0DDCC" w14:textId="77777777" w:rsidR="002D58E4" w:rsidRDefault="002D58E4" w:rsidP="002914A2">
            <w:pPr>
              <w:rPr>
                <w:sz w:val="20"/>
                <w:szCs w:val="20"/>
              </w:rPr>
            </w:pPr>
          </w:p>
        </w:tc>
      </w:tr>
      <w:tr w:rsidR="002D58E4" w14:paraId="4458879C" w14:textId="77777777" w:rsidTr="00E70FE5">
        <w:trPr>
          <w:trHeight w:val="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4EF14EA" w14:textId="77777777" w:rsidR="002D58E4" w:rsidRDefault="00F721D4" w:rsidP="002914A2">
            <w:pPr>
              <w:rPr>
                <w:sz w:val="20"/>
                <w:szCs w:val="20"/>
              </w:rPr>
            </w:pPr>
            <w:r>
              <w:rPr>
                <w:sz w:val="20"/>
                <w:szCs w:val="20"/>
              </w:rPr>
              <w:t>Fryland, 2011</w:t>
            </w:r>
          </w:p>
          <w:p w14:paraId="13024481" w14:textId="77777777" w:rsidR="002D58E4" w:rsidRDefault="002D58E4" w:rsidP="002914A2">
            <w:pPr>
              <w:rPr>
                <w:sz w:val="20"/>
                <w:szCs w:val="20"/>
              </w:rPr>
            </w:pPr>
          </w:p>
          <w:p w14:paraId="75BC5A45" w14:textId="77777777" w:rsidR="002D58E4" w:rsidRDefault="00F721D4" w:rsidP="002914A2">
            <w:pPr>
              <w:rPr>
                <w:sz w:val="20"/>
                <w:szCs w:val="20"/>
              </w:rPr>
            </w:pPr>
            <w:r>
              <w:rPr>
                <w:sz w:val="20"/>
                <w:szCs w:val="20"/>
              </w:rPr>
              <w:t>Sweden</w:t>
            </w:r>
          </w:p>
          <w:p w14:paraId="0FD0423B" w14:textId="77777777" w:rsidR="002914A2" w:rsidRDefault="002914A2" w:rsidP="002914A2">
            <w:pPr>
              <w:rPr>
                <w:sz w:val="20"/>
                <w:szCs w:val="20"/>
              </w:rPr>
            </w:pPr>
          </w:p>
          <w:p w14:paraId="103233FF" w14:textId="77777777" w:rsidR="002914A2" w:rsidRDefault="002914A2" w:rsidP="002914A2">
            <w:pPr>
              <w:rPr>
                <w:sz w:val="20"/>
                <w:szCs w:val="20"/>
              </w:rPr>
            </w:pPr>
          </w:p>
          <w:p w14:paraId="6206788E" w14:textId="77777777" w:rsidR="002914A2" w:rsidRDefault="002914A2" w:rsidP="002914A2">
            <w:pPr>
              <w:rPr>
                <w:sz w:val="20"/>
                <w:szCs w:val="20"/>
              </w:rPr>
            </w:pPr>
          </w:p>
          <w:p w14:paraId="590AC721" w14:textId="710182DE" w:rsidR="002914A2" w:rsidRPr="002914A2" w:rsidRDefault="002914A2" w:rsidP="002914A2">
            <w:pPr>
              <w:rPr>
                <w:sz w:val="20"/>
                <w:szCs w:val="20"/>
              </w:rPr>
            </w:pPr>
          </w:p>
        </w:tc>
        <w:tc>
          <w:tcPr>
            <w:tcW w:w="875" w:type="dxa"/>
            <w:tcBorders>
              <w:top w:val="single" w:sz="6" w:space="0" w:color="AEAEAE"/>
              <w:left w:val="single" w:sz="6" w:space="0" w:color="AEAEAE"/>
              <w:bottom w:val="single" w:sz="6" w:space="0" w:color="AEAEAE"/>
              <w:right w:val="single" w:sz="6" w:space="0" w:color="AEAEAE"/>
            </w:tcBorders>
            <w:vAlign w:val="center"/>
          </w:tcPr>
          <w:p w14:paraId="0D8614A8" w14:textId="77777777" w:rsidR="002D58E4" w:rsidRDefault="00F721D4" w:rsidP="002914A2">
            <w:pPr>
              <w:rPr>
                <w:sz w:val="20"/>
                <w:szCs w:val="20"/>
              </w:rPr>
            </w:pPr>
            <w:r>
              <w:rPr>
                <w:sz w:val="20"/>
                <w:szCs w:val="20"/>
              </w:rPr>
              <w:t>Prospective cohort study</w:t>
            </w:r>
          </w:p>
        </w:tc>
        <w:tc>
          <w:tcPr>
            <w:tcW w:w="540" w:type="dxa"/>
            <w:tcBorders>
              <w:top w:val="single" w:sz="6" w:space="0" w:color="AEAEAE"/>
              <w:left w:val="single" w:sz="6" w:space="0" w:color="AEAEAE"/>
              <w:bottom w:val="single" w:sz="6" w:space="0" w:color="AEAEAE"/>
              <w:right w:val="single" w:sz="6" w:space="0" w:color="AEAEAE"/>
            </w:tcBorders>
            <w:vAlign w:val="center"/>
          </w:tcPr>
          <w:p w14:paraId="6BD33870" w14:textId="77777777" w:rsidR="002D58E4" w:rsidRDefault="00F721D4" w:rsidP="002914A2">
            <w:pPr>
              <w:jc w:val="center"/>
              <w:rPr>
                <w:sz w:val="20"/>
                <w:szCs w:val="20"/>
              </w:rPr>
            </w:pPr>
            <w:r>
              <w:rPr>
                <w:sz w:val="20"/>
                <w:szCs w:val="20"/>
              </w:rPr>
              <w:t>8</w:t>
            </w:r>
          </w:p>
        </w:tc>
        <w:tc>
          <w:tcPr>
            <w:tcW w:w="1870" w:type="dxa"/>
            <w:tcBorders>
              <w:top w:val="single" w:sz="6" w:space="0" w:color="AEAEAE"/>
              <w:left w:val="single" w:sz="6" w:space="0" w:color="AEAEAE"/>
              <w:bottom w:val="single" w:sz="6" w:space="0" w:color="AEAEAE"/>
              <w:right w:val="single" w:sz="6" w:space="0" w:color="AEAEAE"/>
            </w:tcBorders>
            <w:vAlign w:val="center"/>
          </w:tcPr>
          <w:p w14:paraId="2128FE80" w14:textId="77777777" w:rsidR="002D58E4" w:rsidRDefault="00F721D4" w:rsidP="002914A2">
            <w:pPr>
              <w:rPr>
                <w:sz w:val="20"/>
                <w:szCs w:val="20"/>
              </w:rPr>
            </w:pPr>
            <w:r>
              <w:rPr>
                <w:sz w:val="20"/>
                <w:szCs w:val="20"/>
              </w:rPr>
              <w:t>394 subjects ≥18 y.o. who were bitten by a tick and brought it to the primary health center visit.</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CB837DC" w14:textId="77777777" w:rsidR="002D58E4" w:rsidRDefault="00F721D4" w:rsidP="002914A2">
            <w:pPr>
              <w:rPr>
                <w:sz w:val="20"/>
                <w:szCs w:val="20"/>
              </w:rPr>
            </w:pPr>
            <w:r>
              <w:rPr>
                <w:sz w:val="20"/>
                <w:szCs w:val="20"/>
              </w:rPr>
              <w:t>Patients were followed for Lyme disease symptoms and seroconversion (3 months).</w:t>
            </w:r>
          </w:p>
          <w:p w14:paraId="0243D814" w14:textId="77777777" w:rsidR="002D58E4" w:rsidRDefault="00F721D4" w:rsidP="002914A2">
            <w:pPr>
              <w:rPr>
                <w:sz w:val="20"/>
                <w:szCs w:val="20"/>
              </w:rPr>
            </w:pPr>
            <w:r>
              <w:rPr>
                <w:b/>
                <w:sz w:val="20"/>
                <w:szCs w:val="20"/>
              </w:rPr>
              <w:t>Ticks were tested</w:t>
            </w:r>
            <w:r>
              <w:rPr>
                <w:sz w:val="20"/>
                <w:szCs w:val="20"/>
              </w:rPr>
              <w:t xml:space="preserve"> for </w:t>
            </w:r>
            <w:r>
              <w:rPr>
                <w:i/>
                <w:sz w:val="20"/>
                <w:szCs w:val="20"/>
              </w:rPr>
              <w:t xml:space="preserve">Borrelia </w:t>
            </w:r>
            <w:r>
              <w:rPr>
                <w:sz w:val="20"/>
                <w:szCs w:val="20"/>
              </w:rPr>
              <w:t>infection (</w:t>
            </w:r>
            <w:r>
              <w:rPr>
                <w:b/>
                <w:sz w:val="20"/>
                <w:szCs w:val="20"/>
              </w:rPr>
              <w:t>PCR</w:t>
            </w:r>
            <w:r>
              <w:rPr>
                <w:sz w:val="20"/>
                <w:szCs w:val="20"/>
              </w:rPr>
              <w:t>).</w:t>
            </w:r>
          </w:p>
          <w:p w14:paraId="7FC532FB" w14:textId="77777777" w:rsidR="002D58E4" w:rsidRDefault="002D58E4" w:rsidP="002914A2">
            <w:pPr>
              <w:rPr>
                <w:sz w:val="20"/>
                <w:szCs w:val="20"/>
              </w:rPr>
            </w:pP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B41BE79" w14:textId="77777777" w:rsidR="002D58E4" w:rsidRDefault="00F721D4" w:rsidP="002914A2">
            <w:pPr>
              <w:rPr>
                <w:b/>
                <w:i/>
                <w:sz w:val="20"/>
                <w:szCs w:val="20"/>
              </w:rPr>
            </w:pPr>
            <w:r>
              <w:rPr>
                <w:sz w:val="20"/>
                <w:szCs w:val="20"/>
              </w:rPr>
              <w:lastRenderedPageBreak/>
              <w:t xml:space="preserve">Addresses the </w:t>
            </w:r>
            <w:r>
              <w:rPr>
                <w:b/>
                <w:sz w:val="20"/>
                <w:szCs w:val="20"/>
              </w:rPr>
              <w:t>prevalence of infected ticks in the area</w:t>
            </w:r>
            <w:r>
              <w:rPr>
                <w:sz w:val="20"/>
                <w:szCs w:val="20"/>
              </w:rPr>
              <w:t xml:space="preserve"> and the </w:t>
            </w:r>
            <w:r>
              <w:rPr>
                <w:b/>
                <w:sz w:val="20"/>
                <w:szCs w:val="20"/>
              </w:rPr>
              <w:t>probability of the</w:t>
            </w:r>
            <w:r>
              <w:rPr>
                <w:b/>
                <w:i/>
                <w:sz w:val="20"/>
                <w:szCs w:val="20"/>
              </w:rPr>
              <w:t xml:space="preserve"> Borrelia </w:t>
            </w:r>
            <w:r>
              <w:rPr>
                <w:b/>
                <w:sz w:val="20"/>
                <w:szCs w:val="20"/>
              </w:rPr>
              <w:t>transmission after the bite by the infected tick</w:t>
            </w:r>
            <w:r>
              <w:rPr>
                <w:sz w:val="20"/>
                <w:szCs w:val="20"/>
              </w:rPr>
              <w:t xml:space="preserve"> </w:t>
            </w:r>
            <w:r>
              <w:rPr>
                <w:b/>
                <w:sz w:val="20"/>
                <w:szCs w:val="20"/>
              </w:rPr>
              <w:t xml:space="preserve">from the formula </w:t>
            </w:r>
            <w:r>
              <w:rPr>
                <w:b/>
                <w:sz w:val="20"/>
                <w:szCs w:val="20"/>
              </w:rPr>
              <w:lastRenderedPageBreak/>
              <w:t>provided in Magid et al. 1992..</w:t>
            </w:r>
          </w:p>
        </w:tc>
        <w:tc>
          <w:tcPr>
            <w:tcW w:w="2126" w:type="dxa"/>
            <w:tcBorders>
              <w:top w:val="single" w:sz="6" w:space="0" w:color="AEAEAE"/>
              <w:left w:val="single" w:sz="6" w:space="0" w:color="AEAEAE"/>
              <w:bottom w:val="single" w:sz="6" w:space="0" w:color="AEAEAE"/>
              <w:right w:val="single" w:sz="6" w:space="0" w:color="AEAEAE"/>
            </w:tcBorders>
            <w:vAlign w:val="center"/>
          </w:tcPr>
          <w:p w14:paraId="3434F91B" w14:textId="77777777" w:rsidR="002D58E4" w:rsidRDefault="00F721D4" w:rsidP="002914A2">
            <w:pPr>
              <w:rPr>
                <w:i/>
                <w:sz w:val="20"/>
                <w:szCs w:val="20"/>
              </w:rPr>
            </w:pPr>
            <w:r>
              <w:rPr>
                <w:b/>
                <w:sz w:val="20"/>
                <w:szCs w:val="20"/>
              </w:rPr>
              <w:lastRenderedPageBreak/>
              <w:t>Prevalence (%) of ticks tested positive</w:t>
            </w:r>
            <w:r>
              <w:rPr>
                <w:sz w:val="20"/>
                <w:szCs w:val="20"/>
              </w:rPr>
              <w:t xml:space="preserve"> for </w:t>
            </w:r>
            <w:r>
              <w:rPr>
                <w:i/>
                <w:sz w:val="20"/>
                <w:szCs w:val="20"/>
              </w:rPr>
              <w:t>B. burgdorferi.</w:t>
            </w:r>
          </w:p>
          <w:p w14:paraId="6F454FC8" w14:textId="77777777" w:rsidR="002D58E4" w:rsidRDefault="00F721D4" w:rsidP="002914A2">
            <w:pPr>
              <w:rPr>
                <w:sz w:val="20"/>
                <w:szCs w:val="20"/>
              </w:rPr>
            </w:pPr>
            <w:r>
              <w:rPr>
                <w:b/>
                <w:sz w:val="20"/>
                <w:szCs w:val="20"/>
              </w:rPr>
              <w:t>Transmission rate = Lyme disease</w:t>
            </w:r>
            <w:r>
              <w:rPr>
                <w:sz w:val="20"/>
                <w:szCs w:val="20"/>
              </w:rPr>
              <w:t xml:space="preserve"> </w:t>
            </w:r>
            <w:r>
              <w:rPr>
                <w:b/>
                <w:sz w:val="20"/>
                <w:szCs w:val="20"/>
              </w:rPr>
              <w:t>incidence</w:t>
            </w:r>
            <w:r>
              <w:rPr>
                <w:sz w:val="20"/>
                <w:szCs w:val="20"/>
              </w:rPr>
              <w:t xml:space="preserve"> (seroconversion) </w:t>
            </w:r>
            <w:r>
              <w:rPr>
                <w:b/>
                <w:sz w:val="20"/>
                <w:szCs w:val="20"/>
              </w:rPr>
              <w:t>in patients bitten by infected ticks.</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11296BA" w14:textId="77777777" w:rsidR="002D58E4" w:rsidRDefault="00F721D4" w:rsidP="002914A2">
            <w:pPr>
              <w:rPr>
                <w:sz w:val="20"/>
                <w:szCs w:val="20"/>
              </w:rPr>
            </w:pPr>
            <w:r>
              <w:rPr>
                <w:sz w:val="20"/>
                <w:szCs w:val="20"/>
              </w:rPr>
              <w:t xml:space="preserve">The overall </w:t>
            </w:r>
            <w:r>
              <w:rPr>
                <w:b/>
                <w:sz w:val="20"/>
                <w:szCs w:val="20"/>
              </w:rPr>
              <w:t>prevalence of B</w:t>
            </w:r>
            <w:r>
              <w:rPr>
                <w:b/>
                <w:i/>
                <w:sz w:val="20"/>
                <w:szCs w:val="20"/>
              </w:rPr>
              <w:t>. burgdorferi sensu lato</w:t>
            </w:r>
            <w:r>
              <w:rPr>
                <w:sz w:val="20"/>
                <w:szCs w:val="20"/>
              </w:rPr>
              <w:t xml:space="preserve"> in ticks was </w:t>
            </w:r>
            <w:r>
              <w:rPr>
                <w:b/>
                <w:sz w:val="20"/>
                <w:szCs w:val="20"/>
              </w:rPr>
              <w:t>19%.</w:t>
            </w:r>
          </w:p>
          <w:p w14:paraId="512D4D23" w14:textId="77777777" w:rsidR="002D58E4" w:rsidRDefault="00F721D4" w:rsidP="002914A2">
            <w:pPr>
              <w:rPr>
                <w:sz w:val="20"/>
                <w:szCs w:val="20"/>
              </w:rPr>
            </w:pPr>
            <w:r>
              <w:rPr>
                <w:b/>
                <w:sz w:val="20"/>
                <w:szCs w:val="20"/>
              </w:rPr>
              <w:t xml:space="preserve">Transmission rates from PCR- positive ticks at 3 months </w:t>
            </w:r>
            <w:r>
              <w:rPr>
                <w:sz w:val="20"/>
                <w:szCs w:val="20"/>
              </w:rPr>
              <w:t>(</w:t>
            </w:r>
            <w:r>
              <w:rPr>
                <w:b/>
                <w:sz w:val="20"/>
                <w:szCs w:val="20"/>
              </w:rPr>
              <w:t>seroconversion only</w:t>
            </w:r>
            <w:r>
              <w:rPr>
                <w:sz w:val="20"/>
                <w:szCs w:val="20"/>
              </w:rPr>
              <w:t>):</w:t>
            </w:r>
            <w:r>
              <w:rPr>
                <w:b/>
                <w:sz w:val="20"/>
                <w:szCs w:val="20"/>
              </w:rPr>
              <w:t>6.3%</w:t>
            </w:r>
            <w:r>
              <w:rPr>
                <w:sz w:val="20"/>
                <w:szCs w:val="20"/>
              </w:rPr>
              <w:t xml:space="preserve"> (4 out of 64).</w:t>
            </w:r>
          </w:p>
          <w:p w14:paraId="51F52350" w14:textId="77777777" w:rsidR="002D58E4" w:rsidRDefault="00F721D4" w:rsidP="002914A2">
            <w:pPr>
              <w:rPr>
                <w:sz w:val="20"/>
                <w:szCs w:val="20"/>
              </w:rPr>
            </w:pPr>
            <w:r>
              <w:rPr>
                <w:sz w:val="20"/>
                <w:szCs w:val="20"/>
              </w:rPr>
              <w:t xml:space="preserve">The only patient with Lyme-specific symptoms (EM + seroconversion) was </w:t>
            </w:r>
            <w:r>
              <w:rPr>
                <w:sz w:val="20"/>
                <w:szCs w:val="20"/>
              </w:rPr>
              <w:lastRenderedPageBreak/>
              <w:t>bitten by a tick that tested negative for Bb.</w:t>
            </w:r>
          </w:p>
        </w:tc>
      </w:tr>
      <w:tr w:rsidR="002D58E4" w14:paraId="1F5033EC" w14:textId="77777777" w:rsidTr="00E70FE5">
        <w:trPr>
          <w:trHeight w:val="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3573375" w14:textId="77777777" w:rsidR="002D58E4" w:rsidRDefault="00F721D4" w:rsidP="002914A2">
            <w:pPr>
              <w:rPr>
                <w:sz w:val="20"/>
                <w:szCs w:val="20"/>
              </w:rPr>
            </w:pPr>
            <w:r>
              <w:rPr>
                <w:sz w:val="20"/>
                <w:szCs w:val="20"/>
              </w:rPr>
              <w:t>Huegli, 2011</w:t>
            </w:r>
          </w:p>
          <w:p w14:paraId="135DC36F" w14:textId="77777777" w:rsidR="002D58E4" w:rsidRDefault="002D58E4" w:rsidP="002914A2">
            <w:pPr>
              <w:rPr>
                <w:sz w:val="20"/>
                <w:szCs w:val="20"/>
              </w:rPr>
            </w:pPr>
          </w:p>
          <w:p w14:paraId="0F1F2815" w14:textId="77777777" w:rsidR="002D58E4" w:rsidRDefault="00F721D4" w:rsidP="002914A2">
            <w:pPr>
              <w:rPr>
                <w:sz w:val="20"/>
                <w:szCs w:val="20"/>
              </w:rPr>
            </w:pPr>
            <w:r>
              <w:rPr>
                <w:sz w:val="20"/>
                <w:szCs w:val="20"/>
              </w:rPr>
              <w:t>Switzerland</w:t>
            </w:r>
          </w:p>
        </w:tc>
        <w:tc>
          <w:tcPr>
            <w:tcW w:w="875" w:type="dxa"/>
            <w:tcBorders>
              <w:top w:val="single" w:sz="6" w:space="0" w:color="AEAEAE"/>
              <w:left w:val="single" w:sz="6" w:space="0" w:color="AEAEAE"/>
              <w:bottom w:val="single" w:sz="6" w:space="0" w:color="AEAEAE"/>
              <w:right w:val="single" w:sz="6" w:space="0" w:color="AEAEAE"/>
            </w:tcBorders>
            <w:vAlign w:val="center"/>
          </w:tcPr>
          <w:p w14:paraId="39516E4B" w14:textId="77777777" w:rsidR="002D58E4" w:rsidRDefault="00F721D4" w:rsidP="002914A2">
            <w:pPr>
              <w:rPr>
                <w:sz w:val="20"/>
                <w:szCs w:val="20"/>
              </w:rPr>
            </w:pPr>
            <w:r>
              <w:rPr>
                <w:sz w:val="20"/>
                <w:szCs w:val="20"/>
              </w:rPr>
              <w:t>Prospective cohort study</w:t>
            </w:r>
          </w:p>
        </w:tc>
        <w:tc>
          <w:tcPr>
            <w:tcW w:w="540" w:type="dxa"/>
            <w:tcBorders>
              <w:top w:val="single" w:sz="6" w:space="0" w:color="AEAEAE"/>
              <w:left w:val="single" w:sz="6" w:space="0" w:color="AEAEAE"/>
              <w:bottom w:val="single" w:sz="6" w:space="0" w:color="AEAEAE"/>
              <w:right w:val="single" w:sz="6" w:space="0" w:color="AEAEAE"/>
            </w:tcBorders>
            <w:vAlign w:val="center"/>
          </w:tcPr>
          <w:p w14:paraId="040103B9" w14:textId="77777777" w:rsidR="002D58E4" w:rsidRDefault="00F721D4" w:rsidP="002914A2">
            <w:pPr>
              <w:jc w:val="center"/>
              <w:rPr>
                <w:sz w:val="20"/>
                <w:szCs w:val="20"/>
              </w:rPr>
            </w:pPr>
            <w:r>
              <w:rPr>
                <w:sz w:val="20"/>
                <w:szCs w:val="20"/>
              </w:rPr>
              <w:t>7</w:t>
            </w:r>
          </w:p>
        </w:tc>
        <w:tc>
          <w:tcPr>
            <w:tcW w:w="1870" w:type="dxa"/>
            <w:tcBorders>
              <w:top w:val="single" w:sz="6" w:space="0" w:color="AEAEAE"/>
              <w:left w:val="single" w:sz="6" w:space="0" w:color="AEAEAE"/>
              <w:bottom w:val="single" w:sz="6" w:space="0" w:color="AEAEAE"/>
              <w:right w:val="single" w:sz="6" w:space="0" w:color="AEAEAE"/>
            </w:tcBorders>
            <w:vAlign w:val="center"/>
          </w:tcPr>
          <w:p w14:paraId="35F886D5" w14:textId="77777777" w:rsidR="002D58E4" w:rsidRDefault="00F721D4" w:rsidP="002914A2">
            <w:pPr>
              <w:rPr>
                <w:sz w:val="20"/>
                <w:szCs w:val="20"/>
              </w:rPr>
            </w:pPr>
            <w:r>
              <w:rPr>
                <w:sz w:val="20"/>
                <w:szCs w:val="20"/>
              </w:rPr>
              <w:t>474 patients bitten by ticks and referred to a physician.</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A595CD1" w14:textId="77777777" w:rsidR="002D58E4" w:rsidRDefault="00F721D4" w:rsidP="002914A2">
            <w:pPr>
              <w:rPr>
                <w:sz w:val="20"/>
                <w:szCs w:val="20"/>
              </w:rPr>
            </w:pPr>
            <w:r>
              <w:rPr>
                <w:sz w:val="20"/>
                <w:szCs w:val="20"/>
              </w:rPr>
              <w:t>Patients were followed for Lyme disease symptoms and seroconversion (8 weeks).</w:t>
            </w:r>
          </w:p>
          <w:p w14:paraId="714A83AE" w14:textId="77777777" w:rsidR="002D58E4" w:rsidRDefault="00F721D4" w:rsidP="002914A2">
            <w:pPr>
              <w:rPr>
                <w:sz w:val="20"/>
                <w:szCs w:val="20"/>
              </w:rPr>
            </w:pPr>
            <w:r>
              <w:rPr>
                <w:b/>
                <w:sz w:val="20"/>
                <w:szCs w:val="20"/>
              </w:rPr>
              <w:t>Ticks were tested</w:t>
            </w:r>
            <w:r>
              <w:rPr>
                <w:sz w:val="20"/>
                <w:szCs w:val="20"/>
              </w:rPr>
              <w:t xml:space="preserve"> for </w:t>
            </w:r>
            <w:r>
              <w:rPr>
                <w:i/>
                <w:sz w:val="20"/>
                <w:szCs w:val="20"/>
              </w:rPr>
              <w:t xml:space="preserve">Borrelia </w:t>
            </w:r>
            <w:r>
              <w:rPr>
                <w:sz w:val="20"/>
                <w:szCs w:val="20"/>
              </w:rPr>
              <w:t>infection (</w:t>
            </w:r>
            <w:r>
              <w:rPr>
                <w:b/>
                <w:sz w:val="20"/>
                <w:szCs w:val="20"/>
              </w:rPr>
              <w:t>PCR</w:t>
            </w:r>
            <w:r>
              <w:rPr>
                <w:sz w:val="20"/>
                <w:szCs w:val="20"/>
              </w:rPr>
              <w:t>).</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2AAAE89" w14:textId="77777777" w:rsidR="002D58E4" w:rsidRDefault="00F721D4" w:rsidP="002914A2">
            <w:pPr>
              <w:rPr>
                <w:b/>
                <w:i/>
                <w:sz w:val="20"/>
                <w:szCs w:val="20"/>
              </w:rPr>
            </w:pPr>
            <w:r>
              <w:rPr>
                <w:sz w:val="20"/>
                <w:szCs w:val="20"/>
              </w:rPr>
              <w:t xml:space="preserve">Addresses the </w:t>
            </w:r>
            <w:r>
              <w:rPr>
                <w:b/>
                <w:sz w:val="20"/>
                <w:szCs w:val="20"/>
              </w:rPr>
              <w:t>prevalence of infected ticks in the area</w:t>
            </w:r>
            <w:r>
              <w:rPr>
                <w:sz w:val="20"/>
                <w:szCs w:val="20"/>
              </w:rPr>
              <w:t xml:space="preserve"> and the </w:t>
            </w:r>
            <w:r>
              <w:rPr>
                <w:b/>
                <w:sz w:val="20"/>
                <w:szCs w:val="20"/>
              </w:rPr>
              <w:t>probability of the</w:t>
            </w:r>
            <w:r>
              <w:rPr>
                <w:b/>
                <w:i/>
                <w:sz w:val="20"/>
                <w:szCs w:val="20"/>
              </w:rPr>
              <w:t xml:space="preserve"> Borrelia </w:t>
            </w:r>
            <w:r>
              <w:rPr>
                <w:b/>
                <w:sz w:val="20"/>
                <w:szCs w:val="20"/>
              </w:rPr>
              <w:t>transmission after the bite by the infected tick</w:t>
            </w:r>
            <w:r>
              <w:rPr>
                <w:sz w:val="20"/>
                <w:szCs w:val="20"/>
              </w:rPr>
              <w:t xml:space="preserve"> </w:t>
            </w:r>
            <w:r>
              <w:rPr>
                <w:b/>
                <w:sz w:val="20"/>
                <w:szCs w:val="20"/>
              </w:rPr>
              <w:t>from the formula provided in Magid et al. 1992..</w:t>
            </w:r>
          </w:p>
        </w:tc>
        <w:tc>
          <w:tcPr>
            <w:tcW w:w="2126" w:type="dxa"/>
            <w:tcBorders>
              <w:top w:val="single" w:sz="6" w:space="0" w:color="AEAEAE"/>
              <w:left w:val="single" w:sz="6" w:space="0" w:color="AEAEAE"/>
              <w:bottom w:val="single" w:sz="6" w:space="0" w:color="AEAEAE"/>
              <w:right w:val="single" w:sz="6" w:space="0" w:color="AEAEAE"/>
            </w:tcBorders>
            <w:vAlign w:val="center"/>
          </w:tcPr>
          <w:p w14:paraId="78F68F37" w14:textId="77777777" w:rsidR="002D58E4" w:rsidRDefault="00F721D4" w:rsidP="002914A2">
            <w:pPr>
              <w:rPr>
                <w:i/>
                <w:sz w:val="20"/>
                <w:szCs w:val="20"/>
              </w:rPr>
            </w:pPr>
            <w:r>
              <w:rPr>
                <w:b/>
                <w:sz w:val="20"/>
                <w:szCs w:val="20"/>
              </w:rPr>
              <w:t>Prevalence (%) of ticks tested positive</w:t>
            </w:r>
            <w:r>
              <w:rPr>
                <w:sz w:val="20"/>
                <w:szCs w:val="20"/>
              </w:rPr>
              <w:t xml:space="preserve"> for </w:t>
            </w:r>
            <w:r>
              <w:rPr>
                <w:i/>
                <w:sz w:val="20"/>
                <w:szCs w:val="20"/>
              </w:rPr>
              <w:t>B. burgdorferi.</w:t>
            </w:r>
          </w:p>
          <w:p w14:paraId="25E11BD5" w14:textId="77777777" w:rsidR="002D58E4" w:rsidRDefault="00F721D4" w:rsidP="002914A2">
            <w:pPr>
              <w:rPr>
                <w:sz w:val="20"/>
                <w:szCs w:val="20"/>
              </w:rPr>
            </w:pPr>
            <w:r>
              <w:rPr>
                <w:b/>
                <w:sz w:val="20"/>
                <w:szCs w:val="20"/>
              </w:rPr>
              <w:t>Transmission rate = Lyme disease</w:t>
            </w:r>
            <w:r>
              <w:rPr>
                <w:sz w:val="20"/>
                <w:szCs w:val="20"/>
              </w:rPr>
              <w:t xml:space="preserve"> </w:t>
            </w:r>
            <w:r>
              <w:rPr>
                <w:b/>
                <w:sz w:val="20"/>
                <w:szCs w:val="20"/>
              </w:rPr>
              <w:t>incidence</w:t>
            </w:r>
            <w:r>
              <w:rPr>
                <w:sz w:val="20"/>
                <w:szCs w:val="20"/>
              </w:rPr>
              <w:t xml:space="preserve"> (clinical and/or seroconversion) </w:t>
            </w:r>
            <w:r>
              <w:rPr>
                <w:b/>
                <w:sz w:val="20"/>
                <w:szCs w:val="20"/>
              </w:rPr>
              <w:t>in patients bitten by infected ticks.</w:t>
            </w:r>
          </w:p>
          <w:p w14:paraId="47F56EC1" w14:textId="77777777" w:rsidR="002D58E4" w:rsidRDefault="002D58E4" w:rsidP="002914A2">
            <w:pPr>
              <w:rPr>
                <w:b/>
                <w:sz w:val="20"/>
                <w:szCs w:val="20"/>
              </w:rPr>
            </w:pP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DA6BAAE" w14:textId="77777777" w:rsidR="002D58E4" w:rsidRDefault="00F721D4" w:rsidP="002914A2">
            <w:pPr>
              <w:rPr>
                <w:sz w:val="20"/>
                <w:szCs w:val="20"/>
              </w:rPr>
            </w:pPr>
            <w:r>
              <w:rPr>
                <w:sz w:val="20"/>
                <w:szCs w:val="20"/>
              </w:rPr>
              <w:t xml:space="preserve">The overall </w:t>
            </w:r>
            <w:r>
              <w:rPr>
                <w:b/>
                <w:sz w:val="20"/>
                <w:szCs w:val="20"/>
              </w:rPr>
              <w:t xml:space="preserve">prevalence of </w:t>
            </w:r>
            <w:r>
              <w:rPr>
                <w:b/>
                <w:i/>
                <w:sz w:val="20"/>
                <w:szCs w:val="20"/>
              </w:rPr>
              <w:t>B. burgdorferi sensu lato</w:t>
            </w:r>
            <w:r>
              <w:rPr>
                <w:sz w:val="20"/>
                <w:szCs w:val="20"/>
              </w:rPr>
              <w:t xml:space="preserve"> in ticks was </w:t>
            </w:r>
            <w:r>
              <w:rPr>
                <w:b/>
                <w:sz w:val="20"/>
                <w:szCs w:val="20"/>
              </w:rPr>
              <w:t xml:space="preserve">33% </w:t>
            </w:r>
            <w:r>
              <w:rPr>
                <w:sz w:val="20"/>
                <w:szCs w:val="20"/>
              </w:rPr>
              <w:t xml:space="preserve">(predominantly </w:t>
            </w:r>
            <w:r>
              <w:rPr>
                <w:i/>
                <w:sz w:val="20"/>
                <w:szCs w:val="20"/>
              </w:rPr>
              <w:t>B. afzelii</w:t>
            </w:r>
            <w:r>
              <w:rPr>
                <w:sz w:val="20"/>
                <w:szCs w:val="20"/>
              </w:rPr>
              <w:t xml:space="preserve">).  EM developed in 5.2% participants overall (14 out of 269). There was a 3.5% seroconversion rate in asymptomatic patients (9 out of 255). </w:t>
            </w:r>
          </w:p>
          <w:p w14:paraId="70547382" w14:textId="77777777" w:rsidR="002D58E4" w:rsidRDefault="00F721D4" w:rsidP="002914A2">
            <w:pPr>
              <w:rPr>
                <w:sz w:val="20"/>
                <w:szCs w:val="20"/>
              </w:rPr>
            </w:pPr>
            <w:r>
              <w:rPr>
                <w:b/>
                <w:sz w:val="20"/>
                <w:szCs w:val="20"/>
              </w:rPr>
              <w:t xml:space="preserve">Transmission rates from PCR- positive ticks at 8 weeks </w:t>
            </w:r>
            <w:r>
              <w:rPr>
                <w:sz w:val="20"/>
                <w:szCs w:val="20"/>
              </w:rPr>
              <w:t>(</w:t>
            </w:r>
            <w:r>
              <w:rPr>
                <w:b/>
                <w:sz w:val="20"/>
                <w:szCs w:val="20"/>
              </w:rPr>
              <w:t>EM</w:t>
            </w:r>
            <w:r>
              <w:rPr>
                <w:i/>
                <w:sz w:val="20"/>
                <w:szCs w:val="20"/>
              </w:rPr>
              <w:t>)</w:t>
            </w:r>
            <w:r>
              <w:rPr>
                <w:sz w:val="20"/>
                <w:szCs w:val="20"/>
              </w:rPr>
              <w:t xml:space="preserve">: </w:t>
            </w:r>
            <w:r>
              <w:rPr>
                <w:b/>
                <w:sz w:val="20"/>
                <w:szCs w:val="20"/>
              </w:rPr>
              <w:t>6.6%</w:t>
            </w:r>
            <w:r>
              <w:rPr>
                <w:sz w:val="20"/>
                <w:szCs w:val="20"/>
              </w:rPr>
              <w:t xml:space="preserve"> (4 out of 61).</w:t>
            </w:r>
          </w:p>
          <w:p w14:paraId="72E03B4F" w14:textId="77777777" w:rsidR="002D58E4" w:rsidRDefault="00F721D4" w:rsidP="002914A2">
            <w:pPr>
              <w:rPr>
                <w:sz w:val="20"/>
                <w:szCs w:val="20"/>
              </w:rPr>
            </w:pPr>
            <w:r>
              <w:rPr>
                <w:b/>
                <w:sz w:val="20"/>
                <w:szCs w:val="20"/>
              </w:rPr>
              <w:t>Transmission rates from PCR- positive ticks at 8 weeks (</w:t>
            </w:r>
            <w:r>
              <w:rPr>
                <w:b/>
                <w:i/>
                <w:sz w:val="20"/>
                <w:szCs w:val="20"/>
              </w:rPr>
              <w:t>symptomatic or asymptomatic</w:t>
            </w:r>
            <w:r>
              <w:rPr>
                <w:i/>
                <w:sz w:val="20"/>
                <w:szCs w:val="20"/>
              </w:rPr>
              <w:t xml:space="preserve"> (seroconversion) infection)</w:t>
            </w:r>
            <w:r>
              <w:rPr>
                <w:sz w:val="20"/>
                <w:szCs w:val="20"/>
              </w:rPr>
              <w:t xml:space="preserve">: </w:t>
            </w:r>
            <w:r>
              <w:rPr>
                <w:b/>
                <w:sz w:val="20"/>
                <w:szCs w:val="20"/>
              </w:rPr>
              <w:t>8.2%</w:t>
            </w:r>
            <w:r>
              <w:rPr>
                <w:sz w:val="20"/>
                <w:szCs w:val="20"/>
              </w:rPr>
              <w:t xml:space="preserve"> (5 out of 61).</w:t>
            </w:r>
          </w:p>
        </w:tc>
      </w:tr>
      <w:tr w:rsidR="002D58E4" w14:paraId="022A8AC1" w14:textId="77777777" w:rsidTr="00E70FE5">
        <w:trPr>
          <w:trHeight w:val="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2E49FB3" w14:textId="77777777" w:rsidR="002D58E4" w:rsidRDefault="00F721D4" w:rsidP="002914A2">
            <w:pPr>
              <w:rPr>
                <w:sz w:val="20"/>
                <w:szCs w:val="20"/>
              </w:rPr>
            </w:pPr>
            <w:r>
              <w:rPr>
                <w:sz w:val="20"/>
                <w:szCs w:val="20"/>
              </w:rPr>
              <w:t>Wilhelmsson, 2016</w:t>
            </w:r>
          </w:p>
          <w:p w14:paraId="77CF945A" w14:textId="77777777" w:rsidR="002D58E4" w:rsidRDefault="002D58E4" w:rsidP="002914A2">
            <w:pPr>
              <w:rPr>
                <w:sz w:val="20"/>
                <w:szCs w:val="20"/>
              </w:rPr>
            </w:pPr>
          </w:p>
          <w:p w14:paraId="717B4A56" w14:textId="77777777" w:rsidR="002D58E4" w:rsidRDefault="00F721D4" w:rsidP="002914A2">
            <w:pPr>
              <w:rPr>
                <w:sz w:val="20"/>
                <w:szCs w:val="20"/>
              </w:rPr>
            </w:pPr>
            <w:r>
              <w:rPr>
                <w:sz w:val="20"/>
                <w:szCs w:val="20"/>
              </w:rPr>
              <w:t>Sweden and Finland</w:t>
            </w:r>
          </w:p>
        </w:tc>
        <w:tc>
          <w:tcPr>
            <w:tcW w:w="875" w:type="dxa"/>
            <w:tcBorders>
              <w:top w:val="single" w:sz="6" w:space="0" w:color="AEAEAE"/>
              <w:left w:val="single" w:sz="6" w:space="0" w:color="AEAEAE"/>
              <w:bottom w:val="single" w:sz="6" w:space="0" w:color="AEAEAE"/>
              <w:right w:val="single" w:sz="6" w:space="0" w:color="AEAEAE"/>
            </w:tcBorders>
            <w:vAlign w:val="center"/>
          </w:tcPr>
          <w:p w14:paraId="21DFB902" w14:textId="77777777" w:rsidR="002D58E4" w:rsidRDefault="00F721D4" w:rsidP="002914A2">
            <w:pPr>
              <w:rPr>
                <w:sz w:val="20"/>
                <w:szCs w:val="20"/>
              </w:rPr>
            </w:pPr>
            <w:r>
              <w:rPr>
                <w:sz w:val="20"/>
                <w:szCs w:val="20"/>
              </w:rPr>
              <w:t>Prospective cohort study</w:t>
            </w:r>
          </w:p>
        </w:tc>
        <w:tc>
          <w:tcPr>
            <w:tcW w:w="540" w:type="dxa"/>
            <w:tcBorders>
              <w:top w:val="single" w:sz="6" w:space="0" w:color="AEAEAE"/>
              <w:left w:val="single" w:sz="6" w:space="0" w:color="AEAEAE"/>
              <w:bottom w:val="single" w:sz="6" w:space="0" w:color="AEAEAE"/>
              <w:right w:val="single" w:sz="6" w:space="0" w:color="AEAEAE"/>
            </w:tcBorders>
            <w:vAlign w:val="center"/>
          </w:tcPr>
          <w:p w14:paraId="1EC94DA2" w14:textId="77777777" w:rsidR="002D58E4" w:rsidRDefault="00F721D4" w:rsidP="002914A2">
            <w:pPr>
              <w:jc w:val="center"/>
              <w:rPr>
                <w:sz w:val="20"/>
                <w:szCs w:val="20"/>
              </w:rPr>
            </w:pPr>
            <w:r>
              <w:rPr>
                <w:sz w:val="20"/>
                <w:szCs w:val="20"/>
              </w:rPr>
              <w:t>8</w:t>
            </w:r>
          </w:p>
        </w:tc>
        <w:tc>
          <w:tcPr>
            <w:tcW w:w="1870" w:type="dxa"/>
            <w:tcBorders>
              <w:top w:val="single" w:sz="6" w:space="0" w:color="AEAEAE"/>
              <w:left w:val="single" w:sz="6" w:space="0" w:color="AEAEAE"/>
              <w:bottom w:val="single" w:sz="6" w:space="0" w:color="AEAEAE"/>
              <w:right w:val="single" w:sz="6" w:space="0" w:color="AEAEAE"/>
            </w:tcBorders>
            <w:vAlign w:val="center"/>
          </w:tcPr>
          <w:p w14:paraId="2BB3F367" w14:textId="77777777" w:rsidR="002D58E4" w:rsidRDefault="00F721D4" w:rsidP="002914A2">
            <w:pPr>
              <w:rPr>
                <w:sz w:val="20"/>
                <w:szCs w:val="20"/>
              </w:rPr>
            </w:pPr>
            <w:r>
              <w:rPr>
                <w:sz w:val="20"/>
                <w:szCs w:val="20"/>
              </w:rPr>
              <w:t xml:space="preserve">1896 subjects (1546 completed) ≥18 y.o. who were bitten by a tick and brought it to the primary health center visit </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18D8F0F" w14:textId="77777777" w:rsidR="002D58E4" w:rsidRDefault="00F721D4" w:rsidP="002914A2">
            <w:pPr>
              <w:rPr>
                <w:sz w:val="20"/>
                <w:szCs w:val="20"/>
              </w:rPr>
            </w:pPr>
            <w:r>
              <w:rPr>
                <w:sz w:val="20"/>
                <w:szCs w:val="20"/>
              </w:rPr>
              <w:t>Patients were followed for Lyme disease symptoms and seroconversion (3 months).</w:t>
            </w:r>
          </w:p>
          <w:p w14:paraId="1EB607B8" w14:textId="77777777" w:rsidR="002D58E4" w:rsidRDefault="00F721D4" w:rsidP="002914A2">
            <w:pPr>
              <w:rPr>
                <w:b/>
                <w:sz w:val="20"/>
                <w:szCs w:val="20"/>
              </w:rPr>
            </w:pPr>
            <w:r>
              <w:rPr>
                <w:b/>
                <w:sz w:val="20"/>
                <w:szCs w:val="20"/>
              </w:rPr>
              <w:t>Ticks were identified, and the duration of tick attachment</w:t>
            </w:r>
            <w:r>
              <w:rPr>
                <w:sz w:val="20"/>
                <w:szCs w:val="20"/>
              </w:rPr>
              <w:t xml:space="preserve"> was estimated using the </w:t>
            </w:r>
            <w:r>
              <w:rPr>
                <w:b/>
                <w:sz w:val="20"/>
                <w:szCs w:val="20"/>
                <w:u w:val="single"/>
              </w:rPr>
              <w:t>scutal and coxal indices.</w:t>
            </w:r>
            <w:r>
              <w:rPr>
                <w:b/>
                <w:sz w:val="20"/>
                <w:szCs w:val="20"/>
              </w:rPr>
              <w:t xml:space="preserve"> Ticks were tested</w:t>
            </w:r>
            <w:r>
              <w:rPr>
                <w:sz w:val="20"/>
                <w:szCs w:val="20"/>
              </w:rPr>
              <w:t xml:space="preserve"> for </w:t>
            </w:r>
            <w:r>
              <w:rPr>
                <w:i/>
                <w:sz w:val="20"/>
                <w:szCs w:val="20"/>
              </w:rPr>
              <w:t xml:space="preserve">Borrelia </w:t>
            </w:r>
            <w:r>
              <w:rPr>
                <w:sz w:val="20"/>
                <w:szCs w:val="20"/>
              </w:rPr>
              <w:t>infection (</w:t>
            </w:r>
            <w:r>
              <w:rPr>
                <w:b/>
                <w:sz w:val="20"/>
                <w:szCs w:val="20"/>
              </w:rPr>
              <w:t>PCR</w:t>
            </w:r>
            <w:r>
              <w:rPr>
                <w:sz w:val="20"/>
                <w:szCs w:val="20"/>
              </w:rPr>
              <w:t>).</w:t>
            </w:r>
          </w:p>
          <w:p w14:paraId="4852EC71" w14:textId="77777777" w:rsidR="002D58E4" w:rsidRDefault="002D58E4" w:rsidP="002914A2">
            <w:pPr>
              <w:rPr>
                <w:sz w:val="20"/>
                <w:szCs w:val="20"/>
              </w:rPr>
            </w:pP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04599A5" w14:textId="77777777" w:rsidR="002D58E4" w:rsidRDefault="00F721D4" w:rsidP="002914A2">
            <w:pPr>
              <w:rPr>
                <w:b/>
                <w:i/>
                <w:sz w:val="20"/>
                <w:szCs w:val="20"/>
              </w:rPr>
            </w:pPr>
            <w:r>
              <w:rPr>
                <w:sz w:val="20"/>
                <w:szCs w:val="20"/>
              </w:rPr>
              <w:t xml:space="preserve">Addresses the </w:t>
            </w:r>
            <w:r>
              <w:rPr>
                <w:b/>
                <w:sz w:val="20"/>
                <w:szCs w:val="20"/>
              </w:rPr>
              <w:t>prevalence of infected ticks in the area</w:t>
            </w:r>
            <w:r>
              <w:rPr>
                <w:sz w:val="20"/>
                <w:szCs w:val="20"/>
              </w:rPr>
              <w:t xml:space="preserve"> and the </w:t>
            </w:r>
            <w:r>
              <w:rPr>
                <w:b/>
                <w:sz w:val="20"/>
                <w:szCs w:val="20"/>
              </w:rPr>
              <w:t>probability of the</w:t>
            </w:r>
            <w:r>
              <w:rPr>
                <w:b/>
                <w:i/>
                <w:sz w:val="20"/>
                <w:szCs w:val="20"/>
              </w:rPr>
              <w:t xml:space="preserve"> Borrelia </w:t>
            </w:r>
            <w:r>
              <w:rPr>
                <w:b/>
                <w:sz w:val="20"/>
                <w:szCs w:val="20"/>
              </w:rPr>
              <w:t>transmission after the bite by the infected tick</w:t>
            </w:r>
            <w:r>
              <w:rPr>
                <w:sz w:val="20"/>
                <w:szCs w:val="20"/>
              </w:rPr>
              <w:t xml:space="preserve"> </w:t>
            </w:r>
            <w:r>
              <w:rPr>
                <w:b/>
                <w:sz w:val="20"/>
                <w:szCs w:val="20"/>
              </w:rPr>
              <w:t>from the formula provided in Magid et al. 1992..</w:t>
            </w:r>
          </w:p>
        </w:tc>
        <w:tc>
          <w:tcPr>
            <w:tcW w:w="2126" w:type="dxa"/>
            <w:tcBorders>
              <w:top w:val="single" w:sz="6" w:space="0" w:color="AEAEAE"/>
              <w:left w:val="single" w:sz="6" w:space="0" w:color="AEAEAE"/>
              <w:bottom w:val="single" w:sz="6" w:space="0" w:color="AEAEAE"/>
              <w:right w:val="single" w:sz="6" w:space="0" w:color="AEAEAE"/>
            </w:tcBorders>
            <w:vAlign w:val="center"/>
          </w:tcPr>
          <w:p w14:paraId="79242CAC" w14:textId="77777777" w:rsidR="002D58E4" w:rsidRDefault="00F721D4" w:rsidP="002914A2">
            <w:pPr>
              <w:rPr>
                <w:i/>
                <w:sz w:val="20"/>
                <w:szCs w:val="20"/>
              </w:rPr>
            </w:pPr>
            <w:r>
              <w:rPr>
                <w:b/>
                <w:sz w:val="20"/>
                <w:szCs w:val="20"/>
              </w:rPr>
              <w:t>Prevalence (%) of ticks tested positive</w:t>
            </w:r>
            <w:r>
              <w:rPr>
                <w:sz w:val="20"/>
                <w:szCs w:val="20"/>
              </w:rPr>
              <w:t xml:space="preserve"> for </w:t>
            </w:r>
            <w:r>
              <w:rPr>
                <w:i/>
                <w:sz w:val="20"/>
                <w:szCs w:val="20"/>
              </w:rPr>
              <w:t>B. burgdorferi.</w:t>
            </w:r>
          </w:p>
          <w:p w14:paraId="7BD2CB9A" w14:textId="77777777" w:rsidR="002D58E4" w:rsidRDefault="00F721D4" w:rsidP="002914A2">
            <w:pPr>
              <w:rPr>
                <w:sz w:val="20"/>
                <w:szCs w:val="20"/>
              </w:rPr>
            </w:pPr>
            <w:r>
              <w:rPr>
                <w:b/>
                <w:sz w:val="20"/>
                <w:szCs w:val="20"/>
              </w:rPr>
              <w:t>Transmission rate = Lyme disease</w:t>
            </w:r>
            <w:r>
              <w:rPr>
                <w:sz w:val="20"/>
                <w:szCs w:val="20"/>
              </w:rPr>
              <w:t xml:space="preserve"> </w:t>
            </w:r>
            <w:r>
              <w:rPr>
                <w:b/>
                <w:sz w:val="20"/>
                <w:szCs w:val="20"/>
              </w:rPr>
              <w:t>incidence</w:t>
            </w:r>
            <w:r>
              <w:rPr>
                <w:sz w:val="20"/>
                <w:szCs w:val="20"/>
              </w:rPr>
              <w:t xml:space="preserve"> (clinical and/or seroconversion) </w:t>
            </w:r>
            <w:r>
              <w:rPr>
                <w:b/>
                <w:sz w:val="20"/>
                <w:szCs w:val="20"/>
              </w:rPr>
              <w:t>in patients bitten by infected ticks.</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0D9BC5E" w14:textId="77777777" w:rsidR="002D58E4" w:rsidRDefault="00F721D4" w:rsidP="002914A2">
            <w:pPr>
              <w:rPr>
                <w:sz w:val="20"/>
                <w:szCs w:val="20"/>
              </w:rPr>
            </w:pPr>
            <w:r>
              <w:rPr>
                <w:sz w:val="20"/>
                <w:szCs w:val="20"/>
              </w:rPr>
              <w:t>Out of 1546 patients, 428 (</w:t>
            </w:r>
            <w:r>
              <w:rPr>
                <w:b/>
                <w:sz w:val="20"/>
                <w:szCs w:val="20"/>
              </w:rPr>
              <w:t>28%</w:t>
            </w:r>
            <w:r>
              <w:rPr>
                <w:sz w:val="20"/>
                <w:szCs w:val="20"/>
              </w:rPr>
              <w:t xml:space="preserve">) were bitten </w:t>
            </w:r>
            <w:r>
              <w:rPr>
                <w:b/>
                <w:sz w:val="20"/>
                <w:szCs w:val="20"/>
              </w:rPr>
              <w:t xml:space="preserve">by </w:t>
            </w:r>
            <w:r>
              <w:rPr>
                <w:b/>
                <w:i/>
                <w:sz w:val="20"/>
                <w:szCs w:val="20"/>
              </w:rPr>
              <w:t>B. burgdorferi</w:t>
            </w:r>
            <w:r>
              <w:rPr>
                <w:b/>
                <w:sz w:val="20"/>
                <w:szCs w:val="20"/>
              </w:rPr>
              <w:t>-(+) ticks</w:t>
            </w:r>
          </w:p>
          <w:p w14:paraId="1C1C51DE" w14:textId="77777777" w:rsidR="002D58E4" w:rsidRDefault="00F721D4" w:rsidP="002914A2">
            <w:pPr>
              <w:rPr>
                <w:i/>
                <w:sz w:val="20"/>
                <w:szCs w:val="20"/>
              </w:rPr>
            </w:pPr>
            <w:r>
              <w:rPr>
                <w:b/>
                <w:sz w:val="20"/>
                <w:szCs w:val="20"/>
              </w:rPr>
              <w:t xml:space="preserve">Transmission rates from PCR- positive ticks at 3 months </w:t>
            </w:r>
            <w:r>
              <w:rPr>
                <w:sz w:val="20"/>
                <w:szCs w:val="20"/>
              </w:rPr>
              <w:t>(</w:t>
            </w:r>
            <w:r>
              <w:rPr>
                <w:b/>
                <w:sz w:val="20"/>
                <w:szCs w:val="20"/>
              </w:rPr>
              <w:t>symptomatic LB</w:t>
            </w:r>
            <w:r>
              <w:rPr>
                <w:i/>
                <w:sz w:val="20"/>
                <w:szCs w:val="20"/>
              </w:rPr>
              <w:t>):</w:t>
            </w:r>
            <w:r>
              <w:rPr>
                <w:b/>
                <w:sz w:val="20"/>
                <w:szCs w:val="20"/>
              </w:rPr>
              <w:t>4.0%</w:t>
            </w:r>
            <w:r>
              <w:rPr>
                <w:sz w:val="20"/>
                <w:szCs w:val="20"/>
              </w:rPr>
              <w:t xml:space="preserve"> (17 out of 428, 1 with non-specific symptoms). </w:t>
            </w:r>
          </w:p>
          <w:p w14:paraId="057D84D3" w14:textId="77777777" w:rsidR="002D58E4" w:rsidRDefault="00F721D4" w:rsidP="002914A2">
            <w:pPr>
              <w:rPr>
                <w:sz w:val="20"/>
                <w:szCs w:val="20"/>
              </w:rPr>
            </w:pPr>
            <w:r>
              <w:rPr>
                <w:b/>
                <w:sz w:val="20"/>
                <w:szCs w:val="20"/>
              </w:rPr>
              <w:t>Transmission rates from PCR- positive ticks at 3 months</w:t>
            </w:r>
            <w:r>
              <w:rPr>
                <w:i/>
                <w:sz w:val="20"/>
                <w:szCs w:val="20"/>
              </w:rPr>
              <w:t xml:space="preserve"> (</w:t>
            </w:r>
            <w:r>
              <w:rPr>
                <w:b/>
                <w:i/>
                <w:sz w:val="20"/>
                <w:szCs w:val="20"/>
              </w:rPr>
              <w:t>symptomatic or asymptomatic</w:t>
            </w:r>
            <w:r>
              <w:rPr>
                <w:i/>
                <w:sz w:val="20"/>
                <w:szCs w:val="20"/>
              </w:rPr>
              <w:t xml:space="preserve"> (seroconversion) infection)</w:t>
            </w:r>
            <w:r>
              <w:rPr>
                <w:sz w:val="20"/>
                <w:szCs w:val="20"/>
              </w:rPr>
              <w:t xml:space="preserve">: </w:t>
            </w:r>
            <w:r>
              <w:rPr>
                <w:b/>
                <w:sz w:val="20"/>
                <w:szCs w:val="20"/>
              </w:rPr>
              <w:t>8.2%</w:t>
            </w:r>
            <w:r>
              <w:rPr>
                <w:sz w:val="20"/>
                <w:szCs w:val="20"/>
              </w:rPr>
              <w:t xml:space="preserve"> (35 out of 428).</w:t>
            </w:r>
          </w:p>
          <w:p w14:paraId="3B5D3798" w14:textId="77777777" w:rsidR="002D58E4" w:rsidRDefault="00F721D4" w:rsidP="002914A2">
            <w:pPr>
              <w:rPr>
                <w:sz w:val="20"/>
                <w:szCs w:val="20"/>
              </w:rPr>
            </w:pPr>
            <w:r>
              <w:rPr>
                <w:sz w:val="20"/>
                <w:szCs w:val="20"/>
              </w:rPr>
              <w:t>Nymphs and adult female ticks removed by participants who later seroconverted had significantly longer duration of tick feeding (median 46 h) than the ticks removed by those who did not seroconvert (median 29 h), P = 0.0003.</w:t>
            </w:r>
          </w:p>
        </w:tc>
      </w:tr>
      <w:tr w:rsidR="002D58E4" w14:paraId="2EA06E19" w14:textId="77777777" w:rsidTr="00E70FE5">
        <w:trPr>
          <w:trHeight w:val="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519BAFF" w14:textId="77777777" w:rsidR="002D58E4" w:rsidRDefault="00F721D4" w:rsidP="002914A2">
            <w:pPr>
              <w:rPr>
                <w:sz w:val="20"/>
                <w:szCs w:val="20"/>
              </w:rPr>
            </w:pPr>
            <w:r>
              <w:rPr>
                <w:sz w:val="20"/>
                <w:szCs w:val="20"/>
              </w:rPr>
              <w:t>Sood, 1997;</w:t>
            </w:r>
          </w:p>
          <w:p w14:paraId="37279AE9" w14:textId="77777777" w:rsidR="002D58E4" w:rsidRDefault="002D58E4" w:rsidP="002914A2">
            <w:pPr>
              <w:rPr>
                <w:sz w:val="20"/>
                <w:szCs w:val="20"/>
              </w:rPr>
            </w:pPr>
          </w:p>
          <w:p w14:paraId="056EB810" w14:textId="77777777" w:rsidR="002D58E4" w:rsidRDefault="00F721D4" w:rsidP="002914A2">
            <w:pPr>
              <w:rPr>
                <w:sz w:val="20"/>
                <w:szCs w:val="20"/>
              </w:rPr>
            </w:pPr>
            <w:r>
              <w:rPr>
                <w:sz w:val="20"/>
                <w:szCs w:val="20"/>
              </w:rPr>
              <w:t>NY, USA</w:t>
            </w:r>
          </w:p>
        </w:tc>
        <w:tc>
          <w:tcPr>
            <w:tcW w:w="875" w:type="dxa"/>
            <w:tcBorders>
              <w:top w:val="single" w:sz="6" w:space="0" w:color="AEAEAE"/>
              <w:left w:val="single" w:sz="6" w:space="0" w:color="AEAEAE"/>
              <w:bottom w:val="single" w:sz="6" w:space="0" w:color="AEAEAE"/>
              <w:right w:val="single" w:sz="6" w:space="0" w:color="AEAEAE"/>
            </w:tcBorders>
            <w:vAlign w:val="center"/>
          </w:tcPr>
          <w:p w14:paraId="0397E202" w14:textId="77777777" w:rsidR="002D58E4" w:rsidRDefault="00F721D4" w:rsidP="002914A2">
            <w:pPr>
              <w:rPr>
                <w:sz w:val="20"/>
                <w:szCs w:val="20"/>
              </w:rPr>
            </w:pPr>
            <w:r>
              <w:rPr>
                <w:sz w:val="20"/>
                <w:szCs w:val="20"/>
              </w:rPr>
              <w:t>Prospective cohort study</w:t>
            </w:r>
          </w:p>
        </w:tc>
        <w:tc>
          <w:tcPr>
            <w:tcW w:w="540" w:type="dxa"/>
            <w:tcBorders>
              <w:top w:val="single" w:sz="6" w:space="0" w:color="AEAEAE"/>
              <w:left w:val="single" w:sz="6" w:space="0" w:color="AEAEAE"/>
              <w:bottom w:val="single" w:sz="6" w:space="0" w:color="AEAEAE"/>
              <w:right w:val="single" w:sz="6" w:space="0" w:color="AEAEAE"/>
            </w:tcBorders>
            <w:vAlign w:val="center"/>
          </w:tcPr>
          <w:p w14:paraId="74C60FEF" w14:textId="77777777" w:rsidR="002D58E4" w:rsidRDefault="00F721D4" w:rsidP="002914A2">
            <w:pPr>
              <w:jc w:val="center"/>
              <w:rPr>
                <w:sz w:val="20"/>
                <w:szCs w:val="20"/>
              </w:rPr>
            </w:pPr>
            <w:r>
              <w:rPr>
                <w:sz w:val="20"/>
                <w:szCs w:val="20"/>
              </w:rPr>
              <w:t>6</w:t>
            </w:r>
          </w:p>
        </w:tc>
        <w:tc>
          <w:tcPr>
            <w:tcW w:w="1870" w:type="dxa"/>
            <w:tcBorders>
              <w:top w:val="single" w:sz="6" w:space="0" w:color="AEAEAE"/>
              <w:left w:val="single" w:sz="6" w:space="0" w:color="AEAEAE"/>
              <w:bottom w:val="single" w:sz="6" w:space="0" w:color="AEAEAE"/>
              <w:right w:val="single" w:sz="6" w:space="0" w:color="AEAEAE"/>
            </w:tcBorders>
            <w:vAlign w:val="center"/>
          </w:tcPr>
          <w:p w14:paraId="6D5E4047" w14:textId="77777777" w:rsidR="002D58E4" w:rsidRDefault="00F721D4" w:rsidP="002914A2">
            <w:pPr>
              <w:rPr>
                <w:sz w:val="20"/>
                <w:szCs w:val="20"/>
              </w:rPr>
            </w:pPr>
            <w:r>
              <w:rPr>
                <w:sz w:val="20"/>
                <w:szCs w:val="20"/>
              </w:rPr>
              <w:t xml:space="preserve">225 subjects bitten by confirmed </w:t>
            </w:r>
            <w:r>
              <w:rPr>
                <w:i/>
                <w:sz w:val="20"/>
                <w:szCs w:val="20"/>
              </w:rPr>
              <w:t>I. scapularis</w:t>
            </w:r>
            <w:r>
              <w:rPr>
                <w:sz w:val="20"/>
                <w:szCs w:val="20"/>
              </w:rPr>
              <w:t xml:space="preserve"> ticks in the preceding 72 hours (NY state).</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3D4D8C1" w14:textId="77777777" w:rsidR="002D58E4" w:rsidRDefault="00F721D4" w:rsidP="002914A2">
            <w:pPr>
              <w:rPr>
                <w:sz w:val="20"/>
                <w:szCs w:val="20"/>
              </w:rPr>
            </w:pPr>
            <w:r>
              <w:rPr>
                <w:sz w:val="20"/>
                <w:szCs w:val="20"/>
              </w:rPr>
              <w:t xml:space="preserve">Sera of 115 subjects were tested at baseline and 4-6 weeks afterwards (EIA + immunoblot). The rest of the patients were </w:t>
            </w:r>
            <w:r>
              <w:rPr>
                <w:sz w:val="20"/>
                <w:szCs w:val="20"/>
              </w:rPr>
              <w:lastRenderedPageBreak/>
              <w:t>followed for Lyme disease symptoms.</w:t>
            </w:r>
          </w:p>
          <w:p w14:paraId="278C52C9" w14:textId="77777777" w:rsidR="002D58E4" w:rsidRDefault="002D58E4" w:rsidP="002914A2">
            <w:pPr>
              <w:rPr>
                <w:sz w:val="20"/>
                <w:szCs w:val="20"/>
              </w:rPr>
            </w:pPr>
          </w:p>
          <w:p w14:paraId="4D50A75C" w14:textId="77777777" w:rsidR="002D58E4" w:rsidRDefault="00F721D4" w:rsidP="002914A2">
            <w:pPr>
              <w:rPr>
                <w:sz w:val="20"/>
                <w:szCs w:val="20"/>
              </w:rPr>
            </w:pPr>
            <w:r>
              <w:rPr>
                <w:b/>
                <w:sz w:val="20"/>
                <w:szCs w:val="20"/>
              </w:rPr>
              <w:t>Ticks were identified, measured for engorgement, and assayed by PCR</w:t>
            </w:r>
            <w:r>
              <w:rPr>
                <w:sz w:val="20"/>
                <w:szCs w:val="20"/>
              </w:rPr>
              <w:t xml:space="preserve"> for </w:t>
            </w:r>
            <w:r>
              <w:rPr>
                <w:i/>
                <w:sz w:val="20"/>
                <w:szCs w:val="20"/>
              </w:rPr>
              <w:t>B. burgdorferi</w:t>
            </w:r>
            <w:r>
              <w:rPr>
                <w:sz w:val="20"/>
                <w:szCs w:val="20"/>
              </w:rPr>
              <w:t xml:space="preserve">. </w:t>
            </w:r>
          </w:p>
          <w:p w14:paraId="2A31530F" w14:textId="77777777" w:rsidR="002D58E4" w:rsidRDefault="00F721D4" w:rsidP="002914A2">
            <w:pPr>
              <w:rPr>
                <w:sz w:val="20"/>
                <w:szCs w:val="20"/>
              </w:rPr>
            </w:pPr>
            <w:r>
              <w:rPr>
                <w:b/>
                <w:sz w:val="20"/>
                <w:szCs w:val="20"/>
              </w:rPr>
              <w:t xml:space="preserve">Duration of attachment </w:t>
            </w:r>
            <w:r>
              <w:rPr>
                <w:sz w:val="20"/>
                <w:szCs w:val="20"/>
              </w:rPr>
              <w:t xml:space="preserve">was determined from the </w:t>
            </w:r>
            <w:r>
              <w:rPr>
                <w:b/>
                <w:sz w:val="20"/>
                <w:szCs w:val="20"/>
                <w:u w:val="single"/>
              </w:rPr>
              <w:t>scutal index</w:t>
            </w:r>
            <w:r>
              <w:rPr>
                <w:sz w:val="20"/>
                <w:szCs w:val="20"/>
              </w:rPr>
              <w:t xml:space="preserve"> of engorgement.</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14C29BC" w14:textId="77777777" w:rsidR="002D58E4" w:rsidRDefault="00F721D4" w:rsidP="002914A2">
            <w:pPr>
              <w:rPr>
                <w:sz w:val="20"/>
                <w:szCs w:val="20"/>
              </w:rPr>
            </w:pPr>
            <w:r>
              <w:rPr>
                <w:sz w:val="20"/>
                <w:szCs w:val="20"/>
              </w:rPr>
              <w:lastRenderedPageBreak/>
              <w:t xml:space="preserve">Addresses the </w:t>
            </w:r>
            <w:r>
              <w:rPr>
                <w:b/>
                <w:sz w:val="20"/>
                <w:szCs w:val="20"/>
              </w:rPr>
              <w:t>prevalence of infected ticks in the area</w:t>
            </w:r>
            <w:r>
              <w:rPr>
                <w:sz w:val="20"/>
                <w:szCs w:val="20"/>
              </w:rPr>
              <w:t xml:space="preserve"> and the </w:t>
            </w:r>
            <w:r>
              <w:rPr>
                <w:b/>
                <w:sz w:val="20"/>
                <w:szCs w:val="20"/>
              </w:rPr>
              <w:t>probability of the</w:t>
            </w:r>
            <w:r>
              <w:rPr>
                <w:b/>
                <w:i/>
                <w:sz w:val="20"/>
                <w:szCs w:val="20"/>
              </w:rPr>
              <w:t xml:space="preserve"> Borrelia </w:t>
            </w:r>
            <w:r>
              <w:rPr>
                <w:b/>
                <w:sz w:val="20"/>
                <w:szCs w:val="20"/>
              </w:rPr>
              <w:t>transmission after a tick bite</w:t>
            </w:r>
            <w:r>
              <w:rPr>
                <w:b/>
                <w:i/>
                <w:sz w:val="20"/>
                <w:szCs w:val="20"/>
              </w:rPr>
              <w:t xml:space="preserve"> </w:t>
            </w:r>
            <w:r>
              <w:rPr>
                <w:sz w:val="20"/>
                <w:szCs w:val="20"/>
              </w:rPr>
              <w:t xml:space="preserve">depending on </w:t>
            </w:r>
            <w:r>
              <w:rPr>
                <w:sz w:val="20"/>
                <w:szCs w:val="20"/>
              </w:rPr>
              <w:lastRenderedPageBreak/>
              <w:t>attachment duration and the life stage of a tick.</w:t>
            </w:r>
          </w:p>
          <w:p w14:paraId="21E9EF7C" w14:textId="77777777" w:rsidR="002D58E4" w:rsidRDefault="002D58E4" w:rsidP="002914A2">
            <w:pPr>
              <w:rPr>
                <w:sz w:val="20"/>
                <w:szCs w:val="20"/>
              </w:rPr>
            </w:pPr>
          </w:p>
        </w:tc>
        <w:tc>
          <w:tcPr>
            <w:tcW w:w="2126" w:type="dxa"/>
            <w:tcBorders>
              <w:top w:val="single" w:sz="6" w:space="0" w:color="AEAEAE"/>
              <w:left w:val="single" w:sz="6" w:space="0" w:color="AEAEAE"/>
              <w:bottom w:val="single" w:sz="6" w:space="0" w:color="AEAEAE"/>
              <w:right w:val="single" w:sz="6" w:space="0" w:color="AEAEAE"/>
            </w:tcBorders>
          </w:tcPr>
          <w:p w14:paraId="269527E3" w14:textId="77777777" w:rsidR="002D58E4" w:rsidRDefault="00F721D4" w:rsidP="002914A2">
            <w:pPr>
              <w:rPr>
                <w:sz w:val="20"/>
                <w:szCs w:val="20"/>
              </w:rPr>
            </w:pPr>
            <w:r>
              <w:rPr>
                <w:b/>
                <w:sz w:val="20"/>
                <w:szCs w:val="20"/>
              </w:rPr>
              <w:lastRenderedPageBreak/>
              <w:t>Transmission rate = Lyme disease</w:t>
            </w:r>
            <w:r>
              <w:rPr>
                <w:sz w:val="20"/>
                <w:szCs w:val="20"/>
              </w:rPr>
              <w:t xml:space="preserve"> </w:t>
            </w:r>
            <w:r>
              <w:rPr>
                <w:b/>
                <w:sz w:val="20"/>
                <w:szCs w:val="20"/>
              </w:rPr>
              <w:t>incidence</w:t>
            </w:r>
            <w:r>
              <w:rPr>
                <w:sz w:val="20"/>
                <w:szCs w:val="20"/>
              </w:rPr>
              <w:t xml:space="preserve"> (defined as EM, asymptomatic seroconversion (AS), or both).  </w:t>
            </w:r>
          </w:p>
          <w:p w14:paraId="43280003" w14:textId="77777777" w:rsidR="002D58E4" w:rsidRDefault="002D58E4" w:rsidP="002914A2">
            <w:pPr>
              <w:rPr>
                <w:sz w:val="20"/>
                <w:szCs w:val="20"/>
              </w:rPr>
            </w:pPr>
          </w:p>
          <w:p w14:paraId="7095570B" w14:textId="77777777" w:rsidR="002D58E4" w:rsidRDefault="00F721D4" w:rsidP="002914A2">
            <w:pPr>
              <w:rPr>
                <w:i/>
                <w:sz w:val="20"/>
                <w:szCs w:val="20"/>
              </w:rPr>
            </w:pPr>
            <w:r>
              <w:rPr>
                <w:b/>
                <w:sz w:val="20"/>
                <w:szCs w:val="20"/>
              </w:rPr>
              <w:t>Prevalence (%) of ticks tested positive</w:t>
            </w:r>
            <w:r>
              <w:rPr>
                <w:sz w:val="20"/>
                <w:szCs w:val="20"/>
              </w:rPr>
              <w:t xml:space="preserve"> for </w:t>
            </w:r>
            <w:r>
              <w:rPr>
                <w:i/>
                <w:sz w:val="20"/>
                <w:szCs w:val="20"/>
              </w:rPr>
              <w:t>B. burgdorferi.</w:t>
            </w:r>
          </w:p>
          <w:p w14:paraId="2C3926AD" w14:textId="77777777" w:rsidR="002D58E4" w:rsidRDefault="002D58E4" w:rsidP="002914A2">
            <w:pPr>
              <w:rPr>
                <w:sz w:val="20"/>
                <w:szCs w:val="20"/>
              </w:rPr>
            </w:pPr>
          </w:p>
          <w:p w14:paraId="278D810F" w14:textId="77777777" w:rsidR="002D58E4" w:rsidRDefault="00F721D4" w:rsidP="002914A2">
            <w:pPr>
              <w:rPr>
                <w:sz w:val="20"/>
                <w:szCs w:val="20"/>
              </w:rPr>
            </w:pPr>
            <w:r>
              <w:rPr>
                <w:sz w:val="20"/>
                <w:szCs w:val="20"/>
                <w:u w:val="single"/>
              </w:rPr>
              <w:t>Note</w:t>
            </w:r>
            <w:r>
              <w:rPr>
                <w:sz w:val="20"/>
                <w:szCs w:val="20"/>
              </w:rPr>
              <w:t>: If subjects with AS were excluded, the rates would be 1.8% (2 out of 109) in the tested and 0.9% (2 out of 225) in the total sample, and 6.7% (1 out of 15) for ≥72 h vs. 1.1% (1 out of 94) for &lt;72 h attachment duration.  For patients after a tick-test-(+) bite, the rate would be 50% (1 out of 2), and after a tick-test-(-) bite it would be 0.9% (1 out of 107).</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A9CD77D" w14:textId="77777777" w:rsidR="002D58E4" w:rsidRDefault="00F721D4" w:rsidP="002914A2">
            <w:pPr>
              <w:rPr>
                <w:sz w:val="20"/>
                <w:szCs w:val="20"/>
              </w:rPr>
            </w:pPr>
            <w:r>
              <w:rPr>
                <w:sz w:val="20"/>
                <w:szCs w:val="20"/>
              </w:rPr>
              <w:lastRenderedPageBreak/>
              <w:t xml:space="preserve">The overall </w:t>
            </w:r>
            <w:r>
              <w:rPr>
                <w:b/>
                <w:sz w:val="20"/>
                <w:szCs w:val="20"/>
              </w:rPr>
              <w:t xml:space="preserve">prevalence of </w:t>
            </w:r>
            <w:r>
              <w:rPr>
                <w:b/>
                <w:i/>
                <w:sz w:val="20"/>
                <w:szCs w:val="20"/>
              </w:rPr>
              <w:t>B. burgdorferi</w:t>
            </w:r>
            <w:r>
              <w:rPr>
                <w:sz w:val="20"/>
                <w:szCs w:val="20"/>
              </w:rPr>
              <w:t xml:space="preserve"> in ticks was </w:t>
            </w:r>
            <w:r>
              <w:rPr>
                <w:b/>
                <w:sz w:val="20"/>
                <w:szCs w:val="20"/>
              </w:rPr>
              <w:t>14% (32 out of 227);</w:t>
            </w:r>
            <w:r>
              <w:rPr>
                <w:sz w:val="20"/>
                <w:szCs w:val="20"/>
              </w:rPr>
              <w:t xml:space="preserve"> however, in the sample subjected to scutal index measurement, the prevalence was only 1.8% (2 out of 109)</w:t>
            </w:r>
            <w:r>
              <w:rPr>
                <w:b/>
                <w:sz w:val="20"/>
                <w:szCs w:val="20"/>
              </w:rPr>
              <w:t>.</w:t>
            </w:r>
          </w:p>
          <w:p w14:paraId="6E03DBB5" w14:textId="77777777" w:rsidR="002D58E4" w:rsidRDefault="002D58E4" w:rsidP="002914A2">
            <w:pPr>
              <w:rPr>
                <w:sz w:val="20"/>
                <w:szCs w:val="20"/>
              </w:rPr>
            </w:pPr>
          </w:p>
          <w:p w14:paraId="25108DFD" w14:textId="77777777" w:rsidR="002D58E4" w:rsidRDefault="00F721D4" w:rsidP="002914A2">
            <w:pPr>
              <w:rPr>
                <w:sz w:val="20"/>
                <w:szCs w:val="20"/>
              </w:rPr>
            </w:pPr>
            <w:r>
              <w:rPr>
                <w:sz w:val="20"/>
                <w:szCs w:val="20"/>
              </w:rPr>
              <w:lastRenderedPageBreak/>
              <w:t>The duration of attachment by history had a poor correlation with that obtained by scutal index measurement (&lt;50% of subjects were able to estimate the duration of attachment within a 24-h range).</w:t>
            </w:r>
          </w:p>
          <w:p w14:paraId="0723F7A8" w14:textId="77777777" w:rsidR="002D58E4" w:rsidRDefault="00F721D4" w:rsidP="002914A2">
            <w:pPr>
              <w:rPr>
                <w:sz w:val="20"/>
                <w:szCs w:val="20"/>
              </w:rPr>
            </w:pPr>
            <w:r>
              <w:rPr>
                <w:b/>
                <w:sz w:val="20"/>
                <w:szCs w:val="20"/>
              </w:rPr>
              <w:t>Overall, the Lyme disease incidence rate was 3.7% in subjects with tested sera</w:t>
            </w:r>
            <w:r>
              <w:rPr>
                <w:sz w:val="20"/>
                <w:szCs w:val="20"/>
              </w:rPr>
              <w:t xml:space="preserve"> (4 Lyme disease cases out of 109 bites) </w:t>
            </w:r>
            <w:r>
              <w:rPr>
                <w:b/>
                <w:sz w:val="20"/>
                <w:szCs w:val="20"/>
              </w:rPr>
              <w:t>or 1.8%</w:t>
            </w:r>
            <w:r>
              <w:rPr>
                <w:sz w:val="20"/>
                <w:szCs w:val="20"/>
              </w:rPr>
              <w:t xml:space="preserve"> (4 out of 225) </w:t>
            </w:r>
            <w:r>
              <w:rPr>
                <w:b/>
                <w:sz w:val="20"/>
                <w:szCs w:val="20"/>
              </w:rPr>
              <w:t>of the total sample</w:t>
            </w:r>
            <w:r>
              <w:rPr>
                <w:sz w:val="20"/>
                <w:szCs w:val="20"/>
              </w:rPr>
              <w:t>.</w:t>
            </w:r>
          </w:p>
          <w:p w14:paraId="09E0AC38" w14:textId="77777777" w:rsidR="002D58E4" w:rsidRDefault="00F721D4" w:rsidP="002914A2">
            <w:pPr>
              <w:rPr>
                <w:sz w:val="20"/>
                <w:szCs w:val="20"/>
              </w:rPr>
            </w:pPr>
            <w:r>
              <w:rPr>
                <w:sz w:val="20"/>
                <w:szCs w:val="20"/>
              </w:rPr>
              <w:t xml:space="preserve">The incidence was significantly higher for duration of attachment </w:t>
            </w:r>
            <w:r>
              <w:rPr>
                <w:b/>
                <w:sz w:val="20"/>
                <w:szCs w:val="20"/>
              </w:rPr>
              <w:t>≥72 h (20%,</w:t>
            </w:r>
            <w:r>
              <w:rPr>
                <w:sz w:val="20"/>
                <w:szCs w:val="20"/>
              </w:rPr>
              <w:t xml:space="preserve"> or 3 out of 15) than for </w:t>
            </w:r>
            <w:r>
              <w:rPr>
                <w:b/>
                <w:sz w:val="20"/>
                <w:szCs w:val="20"/>
              </w:rPr>
              <w:t>&lt;72 h (1.1%,</w:t>
            </w:r>
            <w:r>
              <w:rPr>
                <w:sz w:val="20"/>
                <w:szCs w:val="20"/>
              </w:rPr>
              <w:t xml:space="preserve"> or 1 out of 94) (</w:t>
            </w:r>
            <w:r>
              <w:rPr>
                <w:i/>
                <w:sz w:val="20"/>
                <w:szCs w:val="20"/>
              </w:rPr>
              <w:t xml:space="preserve">P </w:t>
            </w:r>
            <w:r>
              <w:rPr>
                <w:sz w:val="20"/>
                <w:szCs w:val="20"/>
              </w:rPr>
              <w:t xml:space="preserve">=0.008). </w:t>
            </w:r>
          </w:p>
          <w:p w14:paraId="0B3B9F10" w14:textId="77777777" w:rsidR="002D58E4" w:rsidRDefault="00F721D4" w:rsidP="002914A2">
            <w:pPr>
              <w:rPr>
                <w:sz w:val="20"/>
                <w:szCs w:val="20"/>
              </w:rPr>
            </w:pPr>
            <w:r>
              <w:rPr>
                <w:sz w:val="20"/>
                <w:szCs w:val="20"/>
              </w:rPr>
              <w:t xml:space="preserve">The difference between the rates for </w:t>
            </w:r>
            <w:r>
              <w:rPr>
                <w:b/>
                <w:sz w:val="20"/>
                <w:szCs w:val="20"/>
              </w:rPr>
              <w:t>adult vs. nymphal</w:t>
            </w:r>
            <w:r>
              <w:rPr>
                <w:sz w:val="20"/>
                <w:szCs w:val="20"/>
              </w:rPr>
              <w:t xml:space="preserve"> ticks was </w:t>
            </w:r>
            <w:r>
              <w:rPr>
                <w:b/>
                <w:sz w:val="20"/>
                <w:szCs w:val="20"/>
              </w:rPr>
              <w:t>not significant</w:t>
            </w:r>
            <w:r>
              <w:rPr>
                <w:sz w:val="20"/>
                <w:szCs w:val="20"/>
              </w:rPr>
              <w:t xml:space="preserve"> (4% vs. 3.4%). </w:t>
            </w:r>
          </w:p>
          <w:p w14:paraId="0951DD91" w14:textId="77777777" w:rsidR="002D58E4" w:rsidRDefault="002D58E4" w:rsidP="002914A2">
            <w:pPr>
              <w:rPr>
                <w:sz w:val="20"/>
                <w:szCs w:val="20"/>
              </w:rPr>
            </w:pPr>
          </w:p>
          <w:p w14:paraId="24ADB25C" w14:textId="77777777" w:rsidR="002D58E4" w:rsidRDefault="00F721D4" w:rsidP="002914A2">
            <w:pPr>
              <w:rPr>
                <w:i/>
                <w:sz w:val="20"/>
                <w:szCs w:val="20"/>
              </w:rPr>
            </w:pPr>
            <w:r>
              <w:rPr>
                <w:i/>
                <w:sz w:val="20"/>
                <w:szCs w:val="20"/>
              </w:rPr>
              <w:t xml:space="preserve">4-6 weeks after bite: </w:t>
            </w:r>
          </w:p>
          <w:p w14:paraId="36A02D1E" w14:textId="77777777" w:rsidR="002D58E4" w:rsidRDefault="00F721D4" w:rsidP="002914A2">
            <w:pPr>
              <w:rPr>
                <w:sz w:val="20"/>
                <w:szCs w:val="20"/>
              </w:rPr>
            </w:pPr>
            <w:r>
              <w:rPr>
                <w:sz w:val="20"/>
                <w:szCs w:val="20"/>
              </w:rPr>
              <w:t xml:space="preserve">Patients bitten by </w:t>
            </w:r>
            <w:r>
              <w:rPr>
                <w:sz w:val="20"/>
                <w:szCs w:val="20"/>
                <w:u w:val="single"/>
              </w:rPr>
              <w:t>ticks tested positive</w:t>
            </w:r>
            <w:r>
              <w:rPr>
                <w:sz w:val="20"/>
                <w:szCs w:val="20"/>
              </w:rPr>
              <w:t xml:space="preserve"> for </w:t>
            </w:r>
            <w:r>
              <w:rPr>
                <w:i/>
                <w:sz w:val="20"/>
                <w:szCs w:val="20"/>
              </w:rPr>
              <w:t xml:space="preserve">Borrelia </w:t>
            </w:r>
            <w:r>
              <w:rPr>
                <w:sz w:val="20"/>
                <w:szCs w:val="20"/>
              </w:rPr>
              <w:t xml:space="preserve">infection:  </w:t>
            </w:r>
            <w:r>
              <w:rPr>
                <w:b/>
                <w:sz w:val="20"/>
                <w:szCs w:val="20"/>
              </w:rPr>
              <w:t>100%</w:t>
            </w:r>
            <w:r>
              <w:rPr>
                <w:sz w:val="20"/>
                <w:szCs w:val="20"/>
              </w:rPr>
              <w:t xml:space="preserve"> (2 out of 2).</w:t>
            </w:r>
          </w:p>
          <w:p w14:paraId="39EFAC7E" w14:textId="77777777" w:rsidR="002D58E4" w:rsidRDefault="00F721D4" w:rsidP="002914A2">
            <w:pPr>
              <w:rPr>
                <w:sz w:val="20"/>
                <w:szCs w:val="20"/>
              </w:rPr>
            </w:pPr>
            <w:r>
              <w:rPr>
                <w:sz w:val="20"/>
                <w:szCs w:val="20"/>
              </w:rPr>
              <w:t xml:space="preserve">Patients bitten by </w:t>
            </w:r>
            <w:r>
              <w:rPr>
                <w:sz w:val="20"/>
                <w:szCs w:val="20"/>
                <w:u w:val="single"/>
              </w:rPr>
              <w:t>ticks tested negative</w:t>
            </w:r>
            <w:r>
              <w:rPr>
                <w:sz w:val="20"/>
                <w:szCs w:val="20"/>
              </w:rPr>
              <w:t xml:space="preserve"> for Borrelia infection: </w:t>
            </w:r>
            <w:r>
              <w:rPr>
                <w:b/>
                <w:sz w:val="20"/>
                <w:szCs w:val="20"/>
              </w:rPr>
              <w:t>1.9%</w:t>
            </w:r>
            <w:r>
              <w:rPr>
                <w:sz w:val="20"/>
                <w:szCs w:val="20"/>
              </w:rPr>
              <w:t xml:space="preserve"> (2 out of 107).</w:t>
            </w:r>
          </w:p>
          <w:p w14:paraId="3AB93A63" w14:textId="77777777" w:rsidR="002D58E4" w:rsidRDefault="002D58E4" w:rsidP="002914A2">
            <w:pPr>
              <w:rPr>
                <w:sz w:val="20"/>
                <w:szCs w:val="20"/>
              </w:rPr>
            </w:pPr>
          </w:p>
          <w:p w14:paraId="6F01AEEB" w14:textId="77777777" w:rsidR="002D58E4" w:rsidRDefault="00F721D4" w:rsidP="002914A2">
            <w:pPr>
              <w:rPr>
                <w:sz w:val="20"/>
                <w:szCs w:val="20"/>
              </w:rPr>
            </w:pPr>
            <w:r>
              <w:rPr>
                <w:sz w:val="20"/>
                <w:szCs w:val="20"/>
              </w:rPr>
              <w:t>The study concluded that “</w:t>
            </w:r>
            <w:r>
              <w:rPr>
                <w:b/>
                <w:sz w:val="20"/>
                <w:szCs w:val="20"/>
              </w:rPr>
              <w:t>tick identification and measurement of engorgement can be used to identify a small, high-risk subset of persons who may benefit from antibiotic prophylaxis.”</w:t>
            </w:r>
          </w:p>
        </w:tc>
      </w:tr>
      <w:tr w:rsidR="002D58E4" w14:paraId="626BCB15" w14:textId="77777777" w:rsidTr="00E70FE5">
        <w:trPr>
          <w:trHeight w:val="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BAC9151" w14:textId="77777777" w:rsidR="002D58E4" w:rsidRDefault="00F721D4" w:rsidP="002914A2">
            <w:pPr>
              <w:rPr>
                <w:sz w:val="20"/>
                <w:szCs w:val="20"/>
              </w:rPr>
            </w:pPr>
            <w:r>
              <w:rPr>
                <w:sz w:val="20"/>
                <w:szCs w:val="20"/>
              </w:rPr>
              <w:t>Falco, 1996;</w:t>
            </w:r>
          </w:p>
          <w:p w14:paraId="064FC146" w14:textId="77777777" w:rsidR="002D58E4" w:rsidRDefault="002D58E4" w:rsidP="002914A2">
            <w:pPr>
              <w:rPr>
                <w:sz w:val="20"/>
                <w:szCs w:val="20"/>
              </w:rPr>
            </w:pPr>
          </w:p>
          <w:p w14:paraId="3CB63CAC" w14:textId="77777777" w:rsidR="002D58E4" w:rsidRDefault="00F721D4" w:rsidP="002914A2">
            <w:pPr>
              <w:rPr>
                <w:sz w:val="20"/>
                <w:szCs w:val="20"/>
              </w:rPr>
            </w:pPr>
            <w:r>
              <w:rPr>
                <w:sz w:val="20"/>
                <w:szCs w:val="20"/>
              </w:rPr>
              <w:t>NY, USA</w:t>
            </w:r>
          </w:p>
        </w:tc>
        <w:tc>
          <w:tcPr>
            <w:tcW w:w="875" w:type="dxa"/>
            <w:tcBorders>
              <w:top w:val="single" w:sz="6" w:space="0" w:color="AEAEAE"/>
              <w:left w:val="single" w:sz="6" w:space="0" w:color="AEAEAE"/>
              <w:bottom w:val="single" w:sz="6" w:space="0" w:color="AEAEAE"/>
              <w:right w:val="single" w:sz="6" w:space="0" w:color="AEAEAE"/>
            </w:tcBorders>
            <w:vAlign w:val="center"/>
          </w:tcPr>
          <w:p w14:paraId="36426CB3" w14:textId="77777777" w:rsidR="002D58E4" w:rsidRDefault="00F721D4" w:rsidP="002914A2">
            <w:pPr>
              <w:rPr>
                <w:sz w:val="20"/>
                <w:szCs w:val="20"/>
              </w:rPr>
            </w:pPr>
            <w:r>
              <w:rPr>
                <w:sz w:val="20"/>
                <w:szCs w:val="20"/>
              </w:rPr>
              <w:t>Cross-sectional study and animal study</w:t>
            </w:r>
          </w:p>
        </w:tc>
        <w:tc>
          <w:tcPr>
            <w:tcW w:w="540" w:type="dxa"/>
            <w:tcBorders>
              <w:top w:val="single" w:sz="6" w:space="0" w:color="AEAEAE"/>
              <w:left w:val="single" w:sz="6" w:space="0" w:color="AEAEAE"/>
              <w:bottom w:val="single" w:sz="6" w:space="0" w:color="AEAEAE"/>
              <w:right w:val="single" w:sz="6" w:space="0" w:color="AEAEAE"/>
            </w:tcBorders>
            <w:vAlign w:val="center"/>
          </w:tcPr>
          <w:p w14:paraId="2D50DD2E" w14:textId="77777777" w:rsidR="002D58E4" w:rsidRDefault="00F721D4" w:rsidP="002914A2">
            <w:pPr>
              <w:jc w:val="center"/>
              <w:rPr>
                <w:sz w:val="20"/>
                <w:szCs w:val="20"/>
              </w:rPr>
            </w:pPr>
            <w:r>
              <w:rPr>
                <w:sz w:val="20"/>
                <w:szCs w:val="20"/>
              </w:rPr>
              <w:t>NA</w:t>
            </w:r>
          </w:p>
        </w:tc>
        <w:tc>
          <w:tcPr>
            <w:tcW w:w="1870" w:type="dxa"/>
            <w:tcBorders>
              <w:top w:val="single" w:sz="6" w:space="0" w:color="AEAEAE"/>
              <w:left w:val="single" w:sz="6" w:space="0" w:color="AEAEAE"/>
              <w:bottom w:val="single" w:sz="6" w:space="0" w:color="AEAEAE"/>
              <w:right w:val="single" w:sz="6" w:space="0" w:color="AEAEAE"/>
            </w:tcBorders>
            <w:vAlign w:val="center"/>
          </w:tcPr>
          <w:p w14:paraId="1241F280" w14:textId="77777777" w:rsidR="002D58E4" w:rsidRDefault="00F721D4" w:rsidP="002914A2">
            <w:pPr>
              <w:rPr>
                <w:sz w:val="20"/>
                <w:szCs w:val="20"/>
              </w:rPr>
            </w:pPr>
            <w:r>
              <w:rPr>
                <w:sz w:val="20"/>
                <w:szCs w:val="20"/>
              </w:rPr>
              <w:t xml:space="preserve">Feeding times were calculated for 744 </w:t>
            </w:r>
            <w:r>
              <w:rPr>
                <w:i/>
                <w:sz w:val="20"/>
                <w:szCs w:val="20"/>
              </w:rPr>
              <w:t>I. scapularis</w:t>
            </w:r>
            <w:r>
              <w:rPr>
                <w:sz w:val="20"/>
                <w:szCs w:val="20"/>
              </w:rPr>
              <w:t xml:space="preserve"> ticks submitted by bite victims between 1985 and 1989 in Westchester</w:t>
            </w:r>
          </w:p>
          <w:p w14:paraId="0700C23D" w14:textId="77777777" w:rsidR="002D58E4" w:rsidRDefault="00F721D4" w:rsidP="002914A2">
            <w:pPr>
              <w:rPr>
                <w:sz w:val="20"/>
                <w:szCs w:val="20"/>
              </w:rPr>
            </w:pPr>
            <w:r>
              <w:rPr>
                <w:sz w:val="20"/>
                <w:szCs w:val="20"/>
              </w:rPr>
              <w:lastRenderedPageBreak/>
              <w:t>County, New York</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328584E" w14:textId="77777777" w:rsidR="002D58E4" w:rsidRDefault="00F721D4" w:rsidP="002914A2">
            <w:pPr>
              <w:rPr>
                <w:sz w:val="20"/>
                <w:szCs w:val="20"/>
              </w:rPr>
            </w:pPr>
            <w:r w:rsidRPr="002914A2">
              <w:rPr>
                <w:b/>
                <w:sz w:val="20"/>
                <w:szCs w:val="20"/>
              </w:rPr>
              <w:lastRenderedPageBreak/>
              <w:t xml:space="preserve">Determined mean scutal index </w:t>
            </w:r>
            <w:r w:rsidRPr="002914A2">
              <w:rPr>
                <w:sz w:val="20"/>
                <w:szCs w:val="20"/>
              </w:rPr>
              <w:t>(</w:t>
            </w:r>
            <w:r w:rsidRPr="002914A2">
              <w:rPr>
                <w:i/>
                <w:sz w:val="20"/>
                <w:szCs w:val="20"/>
              </w:rPr>
              <w:t>the ratio between tick abdominal length and scutum width</w:t>
            </w:r>
            <w:r w:rsidRPr="002914A2">
              <w:rPr>
                <w:sz w:val="20"/>
                <w:szCs w:val="20"/>
              </w:rPr>
              <w:t>)</w:t>
            </w:r>
            <w:r>
              <w:rPr>
                <w:sz w:val="20"/>
                <w:szCs w:val="20"/>
              </w:rPr>
              <w:t xml:space="preserve"> values for 0, 24, 48, 72, and 96 h attachment </w:t>
            </w:r>
            <w:r>
              <w:rPr>
                <w:sz w:val="20"/>
                <w:szCs w:val="20"/>
              </w:rPr>
              <w:lastRenderedPageBreak/>
              <w:t>intervals (animal studies);</w:t>
            </w:r>
          </w:p>
          <w:p w14:paraId="7DD08060" w14:textId="77777777" w:rsidR="002D58E4" w:rsidRDefault="002D58E4" w:rsidP="002914A2">
            <w:pPr>
              <w:rPr>
                <w:sz w:val="20"/>
                <w:szCs w:val="20"/>
              </w:rPr>
            </w:pPr>
          </w:p>
          <w:p w14:paraId="42D9CD20" w14:textId="77777777" w:rsidR="002D58E4" w:rsidRDefault="00F721D4" w:rsidP="002914A2">
            <w:pPr>
              <w:rPr>
                <w:sz w:val="20"/>
                <w:szCs w:val="20"/>
              </w:rPr>
            </w:pPr>
            <w:r>
              <w:rPr>
                <w:b/>
                <w:sz w:val="20"/>
                <w:szCs w:val="20"/>
              </w:rPr>
              <w:t xml:space="preserve">Feeding times were calculated for nymphal </w:t>
            </w:r>
            <w:r>
              <w:rPr>
                <w:sz w:val="20"/>
                <w:szCs w:val="20"/>
              </w:rPr>
              <w:t xml:space="preserve">(N=444) </w:t>
            </w:r>
            <w:r>
              <w:rPr>
                <w:b/>
                <w:sz w:val="20"/>
                <w:szCs w:val="20"/>
              </w:rPr>
              <w:t>and female</w:t>
            </w:r>
            <w:r>
              <w:rPr>
                <w:sz w:val="20"/>
                <w:szCs w:val="20"/>
              </w:rPr>
              <w:t xml:space="preserve"> (N=300)</w:t>
            </w:r>
            <w:r>
              <w:rPr>
                <w:b/>
                <w:sz w:val="20"/>
                <w:szCs w:val="20"/>
              </w:rPr>
              <w:t xml:space="preserve"> ticks </w:t>
            </w:r>
            <w:r>
              <w:rPr>
                <w:sz w:val="20"/>
                <w:szCs w:val="20"/>
              </w:rPr>
              <w:t>collected from humans in an endemic area.</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89F0DFB" w14:textId="77777777" w:rsidR="002D58E4" w:rsidRDefault="00F721D4" w:rsidP="002914A2">
            <w:pPr>
              <w:rPr>
                <w:sz w:val="20"/>
                <w:szCs w:val="20"/>
              </w:rPr>
            </w:pPr>
            <w:r>
              <w:rPr>
                <w:sz w:val="20"/>
                <w:szCs w:val="20"/>
              </w:rPr>
              <w:lastRenderedPageBreak/>
              <w:t xml:space="preserve">The duration of attachment (as determined by scutal index) influences the </w:t>
            </w:r>
            <w:r>
              <w:rPr>
                <w:b/>
                <w:sz w:val="20"/>
                <w:szCs w:val="20"/>
              </w:rPr>
              <w:t xml:space="preserve">probability of </w:t>
            </w:r>
            <w:r>
              <w:rPr>
                <w:b/>
                <w:i/>
                <w:sz w:val="20"/>
                <w:szCs w:val="20"/>
              </w:rPr>
              <w:t xml:space="preserve">Borrelia </w:t>
            </w:r>
            <w:r>
              <w:rPr>
                <w:b/>
                <w:sz w:val="20"/>
                <w:szCs w:val="20"/>
              </w:rPr>
              <w:t xml:space="preserve">transmission after a tick bite </w:t>
            </w:r>
            <w:r>
              <w:rPr>
                <w:sz w:val="20"/>
                <w:szCs w:val="20"/>
              </w:rPr>
              <w:t>and depends</w:t>
            </w:r>
            <w:r>
              <w:rPr>
                <w:b/>
                <w:sz w:val="20"/>
                <w:szCs w:val="20"/>
              </w:rPr>
              <w:t xml:space="preserve"> </w:t>
            </w:r>
            <w:r>
              <w:rPr>
                <w:sz w:val="20"/>
                <w:szCs w:val="20"/>
              </w:rPr>
              <w:t xml:space="preserve">on the </w:t>
            </w:r>
            <w:r>
              <w:rPr>
                <w:sz w:val="20"/>
                <w:szCs w:val="20"/>
              </w:rPr>
              <w:lastRenderedPageBreak/>
              <w:t>stage of the tick (nymph vs. adult)</w:t>
            </w:r>
          </w:p>
        </w:tc>
        <w:tc>
          <w:tcPr>
            <w:tcW w:w="2126" w:type="dxa"/>
            <w:tcBorders>
              <w:top w:val="single" w:sz="6" w:space="0" w:color="AEAEAE"/>
              <w:left w:val="single" w:sz="6" w:space="0" w:color="AEAEAE"/>
              <w:bottom w:val="single" w:sz="6" w:space="0" w:color="AEAEAE"/>
              <w:right w:val="single" w:sz="6" w:space="0" w:color="AEAEAE"/>
            </w:tcBorders>
          </w:tcPr>
          <w:p w14:paraId="48E8295B" w14:textId="77777777" w:rsidR="002D58E4" w:rsidRDefault="00F721D4" w:rsidP="002914A2">
            <w:pPr>
              <w:rPr>
                <w:sz w:val="20"/>
                <w:szCs w:val="20"/>
              </w:rPr>
            </w:pPr>
            <w:r>
              <w:rPr>
                <w:b/>
                <w:sz w:val="20"/>
                <w:szCs w:val="20"/>
              </w:rPr>
              <w:lastRenderedPageBreak/>
              <w:t xml:space="preserve">Mean scutal indices values </w:t>
            </w:r>
            <w:r>
              <w:rPr>
                <w:sz w:val="20"/>
                <w:szCs w:val="20"/>
              </w:rPr>
              <w:t xml:space="preserve">for adult and nymphal ticks. </w:t>
            </w:r>
          </w:p>
          <w:p w14:paraId="0D87535D" w14:textId="77777777" w:rsidR="002D58E4" w:rsidRDefault="002D58E4" w:rsidP="002914A2">
            <w:pPr>
              <w:rPr>
                <w:b/>
                <w:sz w:val="20"/>
                <w:szCs w:val="20"/>
              </w:rPr>
            </w:pPr>
          </w:p>
          <w:p w14:paraId="1B95DF51" w14:textId="77777777" w:rsidR="002D58E4" w:rsidRDefault="00F721D4" w:rsidP="002914A2">
            <w:pPr>
              <w:rPr>
                <w:b/>
                <w:sz w:val="20"/>
                <w:szCs w:val="20"/>
              </w:rPr>
            </w:pPr>
            <w:r>
              <w:rPr>
                <w:b/>
                <w:sz w:val="20"/>
                <w:szCs w:val="20"/>
              </w:rPr>
              <w:t xml:space="preserve">Attachment duration of nymphal vs. adult ticks </w:t>
            </w:r>
            <w:r>
              <w:rPr>
                <w:sz w:val="20"/>
                <w:szCs w:val="20"/>
              </w:rPr>
              <w:t>collected from humans.</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FA4F9AB" w14:textId="77777777" w:rsidR="002D58E4" w:rsidRDefault="00F721D4" w:rsidP="002914A2">
            <w:pPr>
              <w:rPr>
                <w:sz w:val="20"/>
                <w:szCs w:val="20"/>
              </w:rPr>
            </w:pPr>
            <w:r>
              <w:rPr>
                <w:sz w:val="20"/>
                <w:szCs w:val="20"/>
              </w:rPr>
              <w:t xml:space="preserve">In animal studies, there was a significant effect of attachment time on scutal index (significant differences in scutal indices at 24 vs. 48, 48 vs. 72, and 72 vs. 96 hours), except for the comparison of the ticks measured at 0 vs. 24 hours. </w:t>
            </w:r>
          </w:p>
          <w:p w14:paraId="570B0DC1" w14:textId="77777777" w:rsidR="002D58E4" w:rsidRDefault="002D58E4" w:rsidP="002914A2">
            <w:pPr>
              <w:rPr>
                <w:sz w:val="20"/>
                <w:szCs w:val="20"/>
              </w:rPr>
            </w:pPr>
          </w:p>
          <w:p w14:paraId="5E1B8FE2" w14:textId="77777777" w:rsidR="002D58E4" w:rsidRDefault="00F721D4" w:rsidP="002914A2">
            <w:pPr>
              <w:rPr>
                <w:sz w:val="20"/>
                <w:szCs w:val="20"/>
              </w:rPr>
            </w:pPr>
            <w:r>
              <w:rPr>
                <w:sz w:val="20"/>
                <w:szCs w:val="20"/>
              </w:rPr>
              <w:lastRenderedPageBreak/>
              <w:t xml:space="preserve">There was a </w:t>
            </w:r>
            <w:r>
              <w:rPr>
                <w:b/>
                <w:sz w:val="20"/>
                <w:szCs w:val="20"/>
              </w:rPr>
              <w:t>significant difference between</w:t>
            </w:r>
            <w:r>
              <w:rPr>
                <w:sz w:val="20"/>
                <w:szCs w:val="20"/>
              </w:rPr>
              <w:t xml:space="preserve"> </w:t>
            </w:r>
            <w:r>
              <w:rPr>
                <w:b/>
                <w:sz w:val="20"/>
                <w:szCs w:val="20"/>
              </w:rPr>
              <w:t>nymphal (mean = 34.7 hours) and female (mean = 28.7 hours) attachment times</w:t>
            </w:r>
            <w:r>
              <w:rPr>
                <w:sz w:val="20"/>
                <w:szCs w:val="20"/>
              </w:rPr>
              <w:t xml:space="preserve"> of ticks found on humans, with 73% of the females but only 54% of nymphs removed within 24 hours, meaning that adult ticks are found and removed sooner than nymphs. </w:t>
            </w:r>
          </w:p>
        </w:tc>
      </w:tr>
      <w:tr w:rsidR="002D58E4" w14:paraId="1B660140" w14:textId="77777777" w:rsidTr="00E70FE5">
        <w:trPr>
          <w:trHeight w:val="332"/>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C5AD9BE" w14:textId="77777777" w:rsidR="002D58E4" w:rsidRDefault="00F721D4" w:rsidP="002914A2">
            <w:pPr>
              <w:rPr>
                <w:sz w:val="20"/>
                <w:szCs w:val="20"/>
              </w:rPr>
            </w:pPr>
            <w:r>
              <w:rPr>
                <w:sz w:val="20"/>
                <w:szCs w:val="20"/>
              </w:rPr>
              <w:t>Yeh, 1995;</w:t>
            </w:r>
          </w:p>
          <w:p w14:paraId="24602431" w14:textId="77777777" w:rsidR="002D58E4" w:rsidRDefault="002D58E4" w:rsidP="002914A2">
            <w:pPr>
              <w:rPr>
                <w:sz w:val="20"/>
                <w:szCs w:val="20"/>
              </w:rPr>
            </w:pPr>
          </w:p>
          <w:p w14:paraId="1759414C" w14:textId="77777777" w:rsidR="002D58E4" w:rsidRDefault="00F721D4" w:rsidP="002914A2">
            <w:pPr>
              <w:rPr>
                <w:sz w:val="20"/>
                <w:szCs w:val="20"/>
              </w:rPr>
            </w:pPr>
            <w:r>
              <w:rPr>
                <w:sz w:val="20"/>
                <w:szCs w:val="20"/>
              </w:rPr>
              <w:t>RI, PA; USA</w:t>
            </w:r>
          </w:p>
        </w:tc>
        <w:tc>
          <w:tcPr>
            <w:tcW w:w="875" w:type="dxa"/>
            <w:tcBorders>
              <w:top w:val="single" w:sz="6" w:space="0" w:color="AEAEAE"/>
              <w:left w:val="single" w:sz="6" w:space="0" w:color="AEAEAE"/>
              <w:bottom w:val="single" w:sz="6" w:space="0" w:color="AEAEAE"/>
              <w:right w:val="single" w:sz="6" w:space="0" w:color="AEAEAE"/>
            </w:tcBorders>
            <w:vAlign w:val="center"/>
          </w:tcPr>
          <w:p w14:paraId="562ABDC0" w14:textId="77777777" w:rsidR="002D58E4" w:rsidRDefault="00F721D4" w:rsidP="002914A2">
            <w:pPr>
              <w:rPr>
                <w:sz w:val="20"/>
                <w:szCs w:val="20"/>
              </w:rPr>
            </w:pPr>
            <w:r>
              <w:rPr>
                <w:sz w:val="20"/>
                <w:szCs w:val="20"/>
              </w:rPr>
              <w:t>Cross-sectional study and animal study</w:t>
            </w:r>
          </w:p>
        </w:tc>
        <w:tc>
          <w:tcPr>
            <w:tcW w:w="540" w:type="dxa"/>
            <w:tcBorders>
              <w:top w:val="single" w:sz="6" w:space="0" w:color="AEAEAE"/>
              <w:left w:val="single" w:sz="6" w:space="0" w:color="AEAEAE"/>
              <w:bottom w:val="single" w:sz="6" w:space="0" w:color="AEAEAE"/>
              <w:right w:val="single" w:sz="6" w:space="0" w:color="AEAEAE"/>
            </w:tcBorders>
            <w:vAlign w:val="center"/>
          </w:tcPr>
          <w:p w14:paraId="40BE50FB" w14:textId="77777777" w:rsidR="002D58E4" w:rsidRDefault="00F721D4" w:rsidP="002914A2">
            <w:pPr>
              <w:jc w:val="center"/>
              <w:rPr>
                <w:sz w:val="20"/>
                <w:szCs w:val="20"/>
              </w:rPr>
            </w:pPr>
            <w:r>
              <w:rPr>
                <w:sz w:val="20"/>
                <w:szCs w:val="20"/>
              </w:rPr>
              <w:t>NA</w:t>
            </w:r>
          </w:p>
        </w:tc>
        <w:tc>
          <w:tcPr>
            <w:tcW w:w="1870" w:type="dxa"/>
            <w:tcBorders>
              <w:top w:val="single" w:sz="6" w:space="0" w:color="AEAEAE"/>
              <w:left w:val="single" w:sz="6" w:space="0" w:color="AEAEAE"/>
              <w:bottom w:val="single" w:sz="6" w:space="0" w:color="AEAEAE"/>
              <w:right w:val="single" w:sz="6" w:space="0" w:color="AEAEAE"/>
            </w:tcBorders>
            <w:vAlign w:val="center"/>
          </w:tcPr>
          <w:p w14:paraId="60358C0B" w14:textId="77777777" w:rsidR="002D58E4" w:rsidRDefault="00F721D4" w:rsidP="002914A2">
            <w:pPr>
              <w:rPr>
                <w:sz w:val="20"/>
                <w:szCs w:val="20"/>
              </w:rPr>
            </w:pPr>
            <w:r>
              <w:rPr>
                <w:sz w:val="20"/>
                <w:szCs w:val="20"/>
              </w:rPr>
              <w:t xml:space="preserve">Feeding times were calculated for </w:t>
            </w:r>
            <w:r>
              <w:rPr>
                <w:i/>
                <w:sz w:val="20"/>
                <w:szCs w:val="20"/>
              </w:rPr>
              <w:t>I. scapularis</w:t>
            </w:r>
            <w:r>
              <w:rPr>
                <w:sz w:val="20"/>
                <w:szCs w:val="20"/>
              </w:rPr>
              <w:t xml:space="preserve"> ticks submitted by bite victims</w:t>
            </w:r>
            <w:r>
              <w:rPr>
                <w:sz w:val="24"/>
                <w:szCs w:val="24"/>
              </w:rPr>
              <w:t xml:space="preserve"> </w:t>
            </w:r>
            <w:r>
              <w:rPr>
                <w:sz w:val="20"/>
                <w:szCs w:val="20"/>
              </w:rPr>
              <w:t xml:space="preserve">in selected RI and PA communities </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14A5A31" w14:textId="77777777" w:rsidR="002D58E4" w:rsidRDefault="00F721D4" w:rsidP="002914A2">
            <w:pPr>
              <w:rPr>
                <w:sz w:val="20"/>
                <w:szCs w:val="20"/>
              </w:rPr>
            </w:pPr>
            <w:r>
              <w:rPr>
                <w:b/>
                <w:sz w:val="20"/>
                <w:szCs w:val="20"/>
              </w:rPr>
              <w:t xml:space="preserve">Determined three engorgement </w:t>
            </w:r>
            <w:r w:rsidRPr="00F721D4">
              <w:rPr>
                <w:b/>
                <w:sz w:val="20"/>
                <w:szCs w:val="20"/>
              </w:rPr>
              <w:t xml:space="preserve">indices </w:t>
            </w:r>
            <w:r w:rsidRPr="00F721D4">
              <w:rPr>
                <w:sz w:val="20"/>
                <w:szCs w:val="20"/>
              </w:rPr>
              <w:t>(the ratios between total body length and width as well as the length and width of the scutum)</w:t>
            </w:r>
            <w:r>
              <w:rPr>
                <w:sz w:val="20"/>
                <w:szCs w:val="20"/>
              </w:rPr>
              <w:t xml:space="preserve"> values for 0, 12, 24, 36, 48, 60, and 72 h after tick attachment (animal studies);</w:t>
            </w:r>
          </w:p>
          <w:p w14:paraId="1C72B543" w14:textId="77777777" w:rsidR="002D58E4" w:rsidRDefault="002D58E4" w:rsidP="002914A2">
            <w:pPr>
              <w:rPr>
                <w:sz w:val="20"/>
                <w:szCs w:val="20"/>
              </w:rPr>
            </w:pPr>
          </w:p>
          <w:p w14:paraId="77A08C4D" w14:textId="77777777" w:rsidR="002D58E4" w:rsidRDefault="00F721D4" w:rsidP="002914A2">
            <w:pPr>
              <w:rPr>
                <w:sz w:val="20"/>
                <w:szCs w:val="20"/>
              </w:rPr>
            </w:pPr>
            <w:r>
              <w:rPr>
                <w:b/>
                <w:sz w:val="20"/>
                <w:szCs w:val="20"/>
              </w:rPr>
              <w:t xml:space="preserve">Feeding times were calculated for nymphal and adult ticks </w:t>
            </w:r>
            <w:r>
              <w:rPr>
                <w:sz w:val="20"/>
                <w:szCs w:val="20"/>
              </w:rPr>
              <w:t>collected from humans in an endemic area.</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5335DD2" w14:textId="77777777" w:rsidR="002D58E4" w:rsidRDefault="00F721D4" w:rsidP="002914A2">
            <w:pPr>
              <w:rPr>
                <w:sz w:val="20"/>
                <w:szCs w:val="20"/>
              </w:rPr>
            </w:pPr>
            <w:r>
              <w:rPr>
                <w:sz w:val="20"/>
                <w:szCs w:val="20"/>
              </w:rPr>
              <w:t xml:space="preserve">The duration of attachment (as determined by scutal index) influences the </w:t>
            </w:r>
            <w:r>
              <w:rPr>
                <w:b/>
                <w:sz w:val="20"/>
                <w:szCs w:val="20"/>
              </w:rPr>
              <w:t xml:space="preserve">probability of </w:t>
            </w:r>
            <w:r>
              <w:rPr>
                <w:b/>
                <w:i/>
                <w:sz w:val="20"/>
                <w:szCs w:val="20"/>
              </w:rPr>
              <w:t xml:space="preserve">Borrelia </w:t>
            </w:r>
            <w:r>
              <w:rPr>
                <w:b/>
                <w:sz w:val="20"/>
                <w:szCs w:val="20"/>
              </w:rPr>
              <w:t xml:space="preserve">transmission after a tick bite </w:t>
            </w:r>
            <w:r>
              <w:rPr>
                <w:sz w:val="20"/>
                <w:szCs w:val="20"/>
              </w:rPr>
              <w:t>and depends</w:t>
            </w:r>
            <w:r>
              <w:rPr>
                <w:b/>
                <w:sz w:val="20"/>
                <w:szCs w:val="20"/>
              </w:rPr>
              <w:t xml:space="preserve"> </w:t>
            </w:r>
            <w:r>
              <w:rPr>
                <w:sz w:val="20"/>
                <w:szCs w:val="20"/>
              </w:rPr>
              <w:t>on the stage of the tick (nymph vs. adult)</w:t>
            </w:r>
          </w:p>
        </w:tc>
        <w:tc>
          <w:tcPr>
            <w:tcW w:w="2126" w:type="dxa"/>
            <w:tcBorders>
              <w:top w:val="single" w:sz="6" w:space="0" w:color="AEAEAE"/>
              <w:left w:val="single" w:sz="6" w:space="0" w:color="AEAEAE"/>
              <w:bottom w:val="single" w:sz="6" w:space="0" w:color="AEAEAE"/>
              <w:right w:val="single" w:sz="6" w:space="0" w:color="AEAEAE"/>
            </w:tcBorders>
          </w:tcPr>
          <w:p w14:paraId="7EA31C79" w14:textId="77777777" w:rsidR="002D58E4" w:rsidRDefault="00F721D4" w:rsidP="002914A2">
            <w:pPr>
              <w:rPr>
                <w:sz w:val="20"/>
                <w:szCs w:val="20"/>
              </w:rPr>
            </w:pPr>
            <w:r>
              <w:rPr>
                <w:b/>
                <w:sz w:val="20"/>
                <w:szCs w:val="20"/>
              </w:rPr>
              <w:t xml:space="preserve">Mean values for engorgement indices </w:t>
            </w:r>
            <w:r>
              <w:rPr>
                <w:sz w:val="20"/>
                <w:szCs w:val="20"/>
              </w:rPr>
              <w:t xml:space="preserve">for adult and nymphal ticks. </w:t>
            </w:r>
          </w:p>
          <w:p w14:paraId="52885055" w14:textId="77777777" w:rsidR="002D58E4" w:rsidRDefault="002D58E4" w:rsidP="002914A2">
            <w:pPr>
              <w:rPr>
                <w:b/>
                <w:sz w:val="20"/>
                <w:szCs w:val="20"/>
              </w:rPr>
            </w:pPr>
          </w:p>
          <w:p w14:paraId="527EA8D1" w14:textId="77777777" w:rsidR="002D58E4" w:rsidRDefault="00F721D4" w:rsidP="002914A2">
            <w:pPr>
              <w:rPr>
                <w:b/>
                <w:sz w:val="20"/>
                <w:szCs w:val="20"/>
              </w:rPr>
            </w:pPr>
            <w:r>
              <w:rPr>
                <w:b/>
                <w:sz w:val="20"/>
                <w:szCs w:val="20"/>
              </w:rPr>
              <w:t xml:space="preserve">Attachment duration of nymphal vs. adult ticks </w:t>
            </w:r>
            <w:r>
              <w:rPr>
                <w:sz w:val="20"/>
                <w:szCs w:val="20"/>
              </w:rPr>
              <w:t>collected from humans.</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01F2EE5" w14:textId="77777777" w:rsidR="002D58E4" w:rsidRDefault="00F721D4" w:rsidP="002914A2">
            <w:pPr>
              <w:rPr>
                <w:sz w:val="20"/>
                <w:szCs w:val="20"/>
              </w:rPr>
            </w:pPr>
            <w:r>
              <w:rPr>
                <w:sz w:val="20"/>
                <w:szCs w:val="20"/>
              </w:rPr>
              <w:t xml:space="preserve">In animal studies, there was no detectable change in the mean engorgement indices at 0 vs. 24 h of attachment, but indices for nymphs attached for 36, 48, and 60 h were significantly different from those attached for ≤24 h and from each other. For adult ticks, the indices of the ticks attached for ≤36 h were significantly different from those attached for ≥48 h. </w:t>
            </w:r>
          </w:p>
          <w:p w14:paraId="2756E048" w14:textId="77777777" w:rsidR="002D58E4" w:rsidRDefault="002D58E4" w:rsidP="002914A2">
            <w:pPr>
              <w:rPr>
                <w:sz w:val="20"/>
                <w:szCs w:val="20"/>
              </w:rPr>
            </w:pPr>
          </w:p>
          <w:p w14:paraId="4AE702DF" w14:textId="77777777" w:rsidR="002D58E4" w:rsidRDefault="00F721D4" w:rsidP="002914A2">
            <w:pPr>
              <w:rPr>
                <w:sz w:val="20"/>
                <w:szCs w:val="20"/>
              </w:rPr>
            </w:pPr>
            <w:r>
              <w:rPr>
                <w:sz w:val="20"/>
                <w:szCs w:val="20"/>
              </w:rPr>
              <w:t xml:space="preserve">More than 60% of tick-bite victims removed </w:t>
            </w:r>
            <w:r>
              <w:rPr>
                <w:b/>
                <w:sz w:val="20"/>
                <w:szCs w:val="20"/>
              </w:rPr>
              <w:t>adult ticks</w:t>
            </w:r>
            <w:r>
              <w:rPr>
                <w:sz w:val="20"/>
                <w:szCs w:val="20"/>
              </w:rPr>
              <w:t xml:space="preserve"> by 36 h of attachment, but only 10% found and removed the smaller </w:t>
            </w:r>
            <w:r>
              <w:rPr>
                <w:b/>
                <w:sz w:val="20"/>
                <w:szCs w:val="20"/>
              </w:rPr>
              <w:t>nymphal ticks</w:t>
            </w:r>
            <w:r>
              <w:rPr>
                <w:sz w:val="20"/>
                <w:szCs w:val="20"/>
              </w:rPr>
              <w:t xml:space="preserve"> within the first 24 h of tick feeding.</w:t>
            </w:r>
          </w:p>
        </w:tc>
      </w:tr>
      <w:tr w:rsidR="002D58E4" w14:paraId="3FB9E121" w14:textId="77777777" w:rsidTr="00E70FE5">
        <w:trPr>
          <w:trHeight w:val="2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34ABEBB" w14:textId="77777777" w:rsidR="002D58E4" w:rsidRDefault="00F721D4" w:rsidP="002914A2">
            <w:pPr>
              <w:rPr>
                <w:sz w:val="20"/>
                <w:szCs w:val="20"/>
              </w:rPr>
            </w:pPr>
            <w:r>
              <w:rPr>
                <w:sz w:val="20"/>
                <w:szCs w:val="20"/>
              </w:rPr>
              <w:t>Schwameis, et al. 2017</w:t>
            </w:r>
          </w:p>
          <w:p w14:paraId="5583D48A" w14:textId="77777777" w:rsidR="002D58E4" w:rsidRDefault="002D58E4" w:rsidP="002914A2">
            <w:pPr>
              <w:rPr>
                <w:sz w:val="20"/>
                <w:szCs w:val="20"/>
              </w:rPr>
            </w:pPr>
          </w:p>
          <w:p w14:paraId="3D7D8C59" w14:textId="77777777" w:rsidR="002D58E4" w:rsidRDefault="002D58E4" w:rsidP="002914A2">
            <w:pPr>
              <w:rPr>
                <w:sz w:val="20"/>
                <w:szCs w:val="20"/>
              </w:rPr>
            </w:pPr>
          </w:p>
          <w:p w14:paraId="147E007C" w14:textId="77777777" w:rsidR="002D58E4" w:rsidRDefault="00F721D4" w:rsidP="002914A2">
            <w:pPr>
              <w:rPr>
                <w:sz w:val="20"/>
                <w:szCs w:val="20"/>
              </w:rPr>
            </w:pPr>
            <w:r>
              <w:rPr>
                <w:sz w:val="20"/>
                <w:szCs w:val="20"/>
              </w:rPr>
              <w:t>Germany and Austria</w:t>
            </w:r>
          </w:p>
          <w:p w14:paraId="40E559D5" w14:textId="77777777" w:rsidR="002D58E4" w:rsidRDefault="002D58E4" w:rsidP="002914A2">
            <w:pPr>
              <w:rPr>
                <w:sz w:val="20"/>
                <w:szCs w:val="20"/>
              </w:rPr>
            </w:pPr>
          </w:p>
        </w:tc>
        <w:tc>
          <w:tcPr>
            <w:tcW w:w="875" w:type="dxa"/>
            <w:tcBorders>
              <w:top w:val="single" w:sz="6" w:space="0" w:color="AEAEAE"/>
              <w:left w:val="single" w:sz="6" w:space="0" w:color="AEAEAE"/>
              <w:bottom w:val="single" w:sz="6" w:space="0" w:color="AEAEAE"/>
              <w:right w:val="single" w:sz="6" w:space="0" w:color="AEAEAE"/>
            </w:tcBorders>
            <w:vAlign w:val="center"/>
          </w:tcPr>
          <w:p w14:paraId="39B4107A" w14:textId="77777777" w:rsidR="002D58E4" w:rsidRDefault="00F721D4" w:rsidP="002914A2">
            <w:pPr>
              <w:rPr>
                <w:sz w:val="20"/>
                <w:szCs w:val="20"/>
              </w:rPr>
            </w:pPr>
            <w:r>
              <w:rPr>
                <w:sz w:val="20"/>
                <w:szCs w:val="20"/>
              </w:rPr>
              <w:t>Randomized, double-blind, placebo-controlled trial</w:t>
            </w:r>
          </w:p>
        </w:tc>
        <w:tc>
          <w:tcPr>
            <w:tcW w:w="540" w:type="dxa"/>
            <w:tcBorders>
              <w:top w:val="single" w:sz="6" w:space="0" w:color="AEAEAE"/>
              <w:left w:val="single" w:sz="6" w:space="0" w:color="AEAEAE"/>
              <w:bottom w:val="single" w:sz="6" w:space="0" w:color="AEAEAE"/>
              <w:right w:val="single" w:sz="6" w:space="0" w:color="AEAEAE"/>
            </w:tcBorders>
            <w:vAlign w:val="center"/>
          </w:tcPr>
          <w:p w14:paraId="4BE8F8D4" w14:textId="77777777" w:rsidR="002D58E4" w:rsidRDefault="00F721D4" w:rsidP="002914A2">
            <w:pPr>
              <w:jc w:val="center"/>
              <w:rPr>
                <w:sz w:val="20"/>
                <w:szCs w:val="20"/>
              </w:rPr>
            </w:pPr>
            <w:r>
              <w:rPr>
                <w:sz w:val="20"/>
                <w:szCs w:val="20"/>
              </w:rPr>
              <w:t>Low risk of bias</w:t>
            </w:r>
          </w:p>
        </w:tc>
        <w:tc>
          <w:tcPr>
            <w:tcW w:w="1870" w:type="dxa"/>
            <w:tcBorders>
              <w:top w:val="single" w:sz="6" w:space="0" w:color="AEAEAE"/>
              <w:left w:val="single" w:sz="6" w:space="0" w:color="AEAEAE"/>
              <w:bottom w:val="single" w:sz="6" w:space="0" w:color="AEAEAE"/>
              <w:right w:val="single" w:sz="6" w:space="0" w:color="AEAEAE"/>
            </w:tcBorders>
            <w:vAlign w:val="center"/>
          </w:tcPr>
          <w:p w14:paraId="439EB50E" w14:textId="77777777" w:rsidR="002D58E4" w:rsidRDefault="00F721D4" w:rsidP="002914A2">
            <w:pPr>
              <w:rPr>
                <w:sz w:val="20"/>
                <w:szCs w:val="20"/>
              </w:rPr>
            </w:pPr>
            <w:r>
              <w:rPr>
                <w:sz w:val="20"/>
                <w:szCs w:val="20"/>
              </w:rPr>
              <w:t>Adults between 18–79 years of age who presented within 72 hours after noticing</w:t>
            </w:r>
          </w:p>
          <w:p w14:paraId="3A94C456" w14:textId="77777777" w:rsidR="002D58E4" w:rsidRDefault="00F721D4" w:rsidP="002914A2">
            <w:pPr>
              <w:rPr>
                <w:sz w:val="20"/>
                <w:szCs w:val="20"/>
              </w:rPr>
            </w:pPr>
            <w:r>
              <w:rPr>
                <w:sz w:val="20"/>
                <w:szCs w:val="20"/>
              </w:rPr>
              <w:t>a tick bite, who either left the tick attached</w:t>
            </w:r>
          </w:p>
          <w:p w14:paraId="783CE072" w14:textId="77777777" w:rsidR="002D58E4" w:rsidRDefault="00F721D4" w:rsidP="002914A2">
            <w:pPr>
              <w:rPr>
                <w:sz w:val="20"/>
                <w:szCs w:val="20"/>
              </w:rPr>
            </w:pPr>
            <w:r>
              <w:rPr>
                <w:sz w:val="20"/>
                <w:szCs w:val="20"/>
              </w:rPr>
              <w:t>or collected it.</w:t>
            </w:r>
          </w:p>
          <w:p w14:paraId="527B6103" w14:textId="77777777" w:rsidR="002D58E4" w:rsidRDefault="002D58E4" w:rsidP="002914A2">
            <w:pPr>
              <w:rPr>
                <w:sz w:val="20"/>
                <w:szCs w:val="20"/>
              </w:rPr>
            </w:pPr>
          </w:p>
          <w:p w14:paraId="624583A2" w14:textId="77777777" w:rsidR="002D58E4" w:rsidRDefault="00F721D4" w:rsidP="002914A2">
            <w:pPr>
              <w:rPr>
                <w:sz w:val="20"/>
                <w:szCs w:val="20"/>
              </w:rPr>
            </w:pPr>
            <w:r>
              <w:rPr>
                <w:sz w:val="20"/>
                <w:szCs w:val="20"/>
              </w:rPr>
              <w:t xml:space="preserve">Excluded: People who had documented Lyme disease in the </w:t>
            </w:r>
            <w:r>
              <w:rPr>
                <w:sz w:val="20"/>
                <w:szCs w:val="20"/>
              </w:rPr>
              <w:lastRenderedPageBreak/>
              <w:t xml:space="preserve">previous 12 months, who were seropositive in the previous 2 years, or who had a history of tick bite in the past 60 days. </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FD7CC00" w14:textId="77777777" w:rsidR="002D58E4" w:rsidRDefault="00F721D4" w:rsidP="002914A2">
            <w:pPr>
              <w:rPr>
                <w:sz w:val="20"/>
                <w:szCs w:val="20"/>
              </w:rPr>
            </w:pPr>
            <w:r>
              <w:rPr>
                <w:b/>
                <w:sz w:val="20"/>
                <w:szCs w:val="20"/>
              </w:rPr>
              <w:lastRenderedPageBreak/>
              <w:t xml:space="preserve">Topical 10% Azithromycin: </w:t>
            </w:r>
            <w:r>
              <w:rPr>
                <w:sz w:val="20"/>
                <w:szCs w:val="20"/>
              </w:rPr>
              <w:t xml:space="preserve">administered twice per day on the tick bite site for 3 consecutive days. Each dispensed drop was supposed to cover an approximate area of 1 cm in diameter and treated surface was to </w:t>
            </w:r>
            <w:r>
              <w:rPr>
                <w:sz w:val="20"/>
                <w:szCs w:val="20"/>
              </w:rPr>
              <w:lastRenderedPageBreak/>
              <w:t>be left uncovered for 30 minutes until dry.</w:t>
            </w:r>
          </w:p>
          <w:p w14:paraId="34B9CFED" w14:textId="77777777" w:rsidR="002D58E4" w:rsidRDefault="002D58E4" w:rsidP="002914A2">
            <w:pPr>
              <w:rPr>
                <w:sz w:val="20"/>
                <w:szCs w:val="20"/>
              </w:rPr>
            </w:pPr>
          </w:p>
          <w:p w14:paraId="576A8C37" w14:textId="77777777" w:rsidR="002D58E4" w:rsidRDefault="00F721D4" w:rsidP="002914A2">
            <w:pPr>
              <w:rPr>
                <w:b/>
                <w:sz w:val="20"/>
                <w:szCs w:val="20"/>
              </w:rPr>
            </w:pPr>
            <w:r>
              <w:rPr>
                <w:b/>
                <w:sz w:val="20"/>
                <w:szCs w:val="20"/>
              </w:rPr>
              <w:t xml:space="preserve">Placebo: </w:t>
            </w:r>
            <w:r>
              <w:rPr>
                <w:sz w:val="20"/>
                <w:szCs w:val="20"/>
              </w:rPr>
              <w:t xml:space="preserve">“Azithromycin and placebo preparations were identical in appearance (colorless ethanol-based gel formulations), odor, and feel, and provided in identical packaging that administered gel in individual drops.” </w:t>
            </w:r>
            <w:r>
              <w:rPr>
                <w:b/>
                <w:sz w:val="20"/>
                <w:szCs w:val="20"/>
              </w:rPr>
              <w:t xml:space="preserve"> </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D920102" w14:textId="77777777" w:rsidR="002D58E4" w:rsidRDefault="00F721D4" w:rsidP="002914A2">
            <w:pPr>
              <w:rPr>
                <w:sz w:val="20"/>
                <w:szCs w:val="20"/>
              </w:rPr>
            </w:pPr>
            <w:r>
              <w:rPr>
                <w:sz w:val="20"/>
                <w:szCs w:val="20"/>
              </w:rPr>
              <w:lastRenderedPageBreak/>
              <w:t xml:space="preserve">Primary efficacy endpoint was </w:t>
            </w:r>
            <w:r>
              <w:rPr>
                <w:b/>
                <w:sz w:val="20"/>
                <w:szCs w:val="20"/>
              </w:rPr>
              <w:t>treatment failure at 8 weeks.</w:t>
            </w:r>
            <w:r>
              <w:rPr>
                <w:sz w:val="20"/>
                <w:szCs w:val="20"/>
              </w:rPr>
              <w:t xml:space="preserve"> </w:t>
            </w:r>
            <w:r>
              <w:t xml:space="preserve"> “</w:t>
            </w:r>
            <w:r>
              <w:rPr>
                <w:sz w:val="20"/>
                <w:szCs w:val="20"/>
              </w:rPr>
              <w:t xml:space="preserve">Treatment failure was defined as seroconversion (IgM, IgG, or both), appearance of erythema migrans throughout the study participants seronegative at baseline (IgM, IgG, or both), or both </w:t>
            </w:r>
            <w:r>
              <w:rPr>
                <w:sz w:val="20"/>
                <w:szCs w:val="20"/>
              </w:rPr>
              <w:lastRenderedPageBreak/>
              <w:t xml:space="preserve">seroconversion and erythema migrans throughout the study.” Serum samples were assessed for presence of </w:t>
            </w:r>
            <w:r>
              <w:rPr>
                <w:i/>
                <w:sz w:val="20"/>
                <w:szCs w:val="20"/>
              </w:rPr>
              <w:t xml:space="preserve">B. burgdorferi </w:t>
            </w:r>
            <w:r>
              <w:rPr>
                <w:sz w:val="20"/>
                <w:szCs w:val="20"/>
              </w:rPr>
              <w:t xml:space="preserve">by ELISA, confirmed by Western Blot. </w:t>
            </w:r>
            <w:r>
              <w:rPr>
                <w:b/>
                <w:sz w:val="20"/>
                <w:szCs w:val="20"/>
              </w:rPr>
              <w:t xml:space="preserve">Ticks were collected and tested for presence of </w:t>
            </w:r>
            <w:r>
              <w:rPr>
                <w:b/>
                <w:i/>
                <w:sz w:val="20"/>
                <w:szCs w:val="20"/>
              </w:rPr>
              <w:t>B. burgdorferi</w:t>
            </w:r>
            <w:r>
              <w:rPr>
                <w:i/>
                <w:sz w:val="20"/>
                <w:szCs w:val="20"/>
              </w:rPr>
              <w:t xml:space="preserve"> sensu lato</w:t>
            </w:r>
            <w:r>
              <w:rPr>
                <w:sz w:val="20"/>
                <w:szCs w:val="20"/>
              </w:rPr>
              <w:t xml:space="preserve"> by PCR. </w:t>
            </w:r>
          </w:p>
        </w:tc>
        <w:tc>
          <w:tcPr>
            <w:tcW w:w="2126" w:type="dxa"/>
            <w:tcBorders>
              <w:top w:val="single" w:sz="6" w:space="0" w:color="AEAEAE"/>
              <w:left w:val="single" w:sz="6" w:space="0" w:color="AEAEAE"/>
              <w:bottom w:val="single" w:sz="6" w:space="0" w:color="AEAEAE"/>
              <w:right w:val="single" w:sz="6" w:space="0" w:color="AEAEAE"/>
            </w:tcBorders>
          </w:tcPr>
          <w:p w14:paraId="553D7A33" w14:textId="77777777" w:rsidR="002D58E4" w:rsidRDefault="00F721D4" w:rsidP="002914A2">
            <w:pPr>
              <w:rPr>
                <w:sz w:val="20"/>
                <w:szCs w:val="20"/>
              </w:rPr>
            </w:pPr>
            <w:r>
              <w:rPr>
                <w:sz w:val="20"/>
                <w:szCs w:val="20"/>
              </w:rPr>
              <w:lastRenderedPageBreak/>
              <w:t xml:space="preserve">Proportion of participants (intention-to-treat population) who were bitten by infected ticks: </w:t>
            </w:r>
          </w:p>
          <w:p w14:paraId="3285D384"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Azithromycin: 17%</w:t>
            </w:r>
          </w:p>
          <w:p w14:paraId="53103263"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Placebo: 17%</w:t>
            </w:r>
          </w:p>
          <w:p w14:paraId="2F69EC16"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Total: 17%</w:t>
            </w:r>
          </w:p>
          <w:p w14:paraId="0D92E5F5" w14:textId="77777777" w:rsidR="002D58E4" w:rsidRDefault="002D58E4" w:rsidP="002914A2">
            <w:pPr>
              <w:rPr>
                <w:sz w:val="20"/>
                <w:szCs w:val="20"/>
              </w:rPr>
            </w:pPr>
          </w:p>
          <w:p w14:paraId="578C92F0" w14:textId="77777777" w:rsidR="002D58E4" w:rsidRDefault="00F721D4" w:rsidP="002914A2">
            <w:pPr>
              <w:rPr>
                <w:sz w:val="20"/>
                <w:szCs w:val="20"/>
              </w:rPr>
            </w:pPr>
            <w:r>
              <w:rPr>
                <w:sz w:val="20"/>
                <w:szCs w:val="20"/>
              </w:rPr>
              <w:t xml:space="preserve">Proportion of participants (ITT population) reporting treatment failure- </w:t>
            </w:r>
            <w:r>
              <w:rPr>
                <w:sz w:val="20"/>
                <w:szCs w:val="20"/>
              </w:rPr>
              <w:lastRenderedPageBreak/>
              <w:t>seroconversion, EM, or both-</w:t>
            </w:r>
            <w:r>
              <w:rPr>
                <w:b/>
                <w:sz w:val="20"/>
                <w:szCs w:val="20"/>
              </w:rPr>
              <w:t>at 8 weeks</w:t>
            </w:r>
            <w:r>
              <w:rPr>
                <w:sz w:val="20"/>
                <w:szCs w:val="20"/>
              </w:rPr>
              <w:t xml:space="preserve">: </w:t>
            </w:r>
          </w:p>
          <w:p w14:paraId="46EDDE19"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Azithromycin: 2.2%</w:t>
            </w:r>
          </w:p>
          <w:p w14:paraId="2E6E47EA"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Placebo: 2.2%</w:t>
            </w:r>
          </w:p>
          <w:p w14:paraId="57C9A5E3" w14:textId="77777777" w:rsidR="002D58E4" w:rsidRDefault="002D58E4" w:rsidP="002914A2">
            <w:pPr>
              <w:rPr>
                <w:sz w:val="20"/>
                <w:szCs w:val="20"/>
              </w:rPr>
            </w:pPr>
          </w:p>
          <w:p w14:paraId="6DEDD30C" w14:textId="77777777" w:rsidR="002D58E4" w:rsidRDefault="00F721D4" w:rsidP="002914A2">
            <w:pPr>
              <w:rPr>
                <w:sz w:val="20"/>
                <w:szCs w:val="20"/>
              </w:rPr>
            </w:pPr>
            <w:r>
              <w:rPr>
                <w:sz w:val="20"/>
                <w:szCs w:val="20"/>
              </w:rPr>
              <w:t xml:space="preserve">Proportion of participants (ITT population) reporting EM </w:t>
            </w:r>
            <w:r>
              <w:rPr>
                <w:b/>
                <w:sz w:val="20"/>
                <w:szCs w:val="20"/>
              </w:rPr>
              <w:t>at 30 days</w:t>
            </w:r>
            <w:r>
              <w:rPr>
                <w:sz w:val="20"/>
                <w:szCs w:val="20"/>
              </w:rPr>
              <w:t xml:space="preserve">: </w:t>
            </w:r>
          </w:p>
          <w:p w14:paraId="57C66E8A"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Azithromycin: 0.4%</w:t>
            </w:r>
          </w:p>
          <w:p w14:paraId="728B95A5"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Placebo: 1.6%</w:t>
            </w:r>
          </w:p>
          <w:p w14:paraId="6FF8E242" w14:textId="77777777" w:rsidR="002D58E4" w:rsidRDefault="002D58E4" w:rsidP="002914A2">
            <w:pPr>
              <w:pBdr>
                <w:top w:val="nil"/>
                <w:left w:val="nil"/>
                <w:bottom w:val="nil"/>
                <w:right w:val="nil"/>
                <w:between w:val="nil"/>
              </w:pBdr>
              <w:ind w:left="270" w:hanging="720"/>
              <w:rPr>
                <w:color w:val="000000"/>
                <w:sz w:val="20"/>
                <w:szCs w:val="20"/>
              </w:rPr>
            </w:pPr>
          </w:p>
          <w:p w14:paraId="3A0CFFFA" w14:textId="77777777" w:rsidR="002D58E4" w:rsidRDefault="00F721D4" w:rsidP="002914A2">
            <w:pPr>
              <w:rPr>
                <w:sz w:val="20"/>
                <w:szCs w:val="20"/>
              </w:rPr>
            </w:pPr>
            <w:r>
              <w:rPr>
                <w:sz w:val="20"/>
                <w:szCs w:val="20"/>
              </w:rPr>
              <w:t xml:space="preserve">Proportion of participants (ITT population) reporting treatment failure- seroconversion, EM, or both-at 8 weeks who were bitten by infected ticks: </w:t>
            </w:r>
          </w:p>
          <w:p w14:paraId="1FC4F95B"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Azithromycin: 3/11, 27.3%</w:t>
            </w:r>
          </w:p>
          <w:p w14:paraId="629EE23C" w14:textId="77777777" w:rsidR="002D58E4" w:rsidRDefault="00F721D4" w:rsidP="002914A2">
            <w:pPr>
              <w:numPr>
                <w:ilvl w:val="0"/>
                <w:numId w:val="2"/>
              </w:numPr>
              <w:pBdr>
                <w:top w:val="nil"/>
                <w:left w:val="nil"/>
                <w:bottom w:val="nil"/>
                <w:right w:val="nil"/>
                <w:between w:val="nil"/>
              </w:pBdr>
              <w:ind w:left="270" w:hanging="180"/>
              <w:rPr>
                <w:b/>
                <w:color w:val="000000"/>
                <w:sz w:val="20"/>
                <w:szCs w:val="20"/>
              </w:rPr>
            </w:pPr>
            <w:r>
              <w:rPr>
                <w:color w:val="000000"/>
                <w:sz w:val="20"/>
                <w:szCs w:val="20"/>
              </w:rPr>
              <w:t>Placebo: 9/11, 81.8%</w:t>
            </w:r>
          </w:p>
          <w:p w14:paraId="045A1142" w14:textId="77777777" w:rsidR="002D58E4" w:rsidRDefault="002D58E4" w:rsidP="002914A2">
            <w:pPr>
              <w:pBdr>
                <w:top w:val="nil"/>
                <w:left w:val="nil"/>
                <w:bottom w:val="nil"/>
                <w:right w:val="nil"/>
                <w:between w:val="nil"/>
              </w:pBdr>
              <w:ind w:left="270" w:hanging="720"/>
              <w:rPr>
                <w:b/>
                <w:color w:val="000000"/>
                <w:sz w:val="20"/>
                <w:szCs w:val="20"/>
              </w:rPr>
            </w:pPr>
          </w:p>
          <w:p w14:paraId="0E54D551" w14:textId="77777777" w:rsidR="002D58E4" w:rsidRDefault="00F721D4" w:rsidP="002914A2">
            <w:pPr>
              <w:rPr>
                <w:sz w:val="20"/>
                <w:szCs w:val="20"/>
              </w:rPr>
            </w:pPr>
            <w:r>
              <w:rPr>
                <w:sz w:val="20"/>
                <w:szCs w:val="20"/>
              </w:rPr>
              <w:t xml:space="preserve">Proportion of participants (ITT population) reporting EM </w:t>
            </w:r>
            <w:r>
              <w:rPr>
                <w:b/>
                <w:sz w:val="20"/>
                <w:szCs w:val="20"/>
              </w:rPr>
              <w:t>at 30 days</w:t>
            </w:r>
            <w:r>
              <w:rPr>
                <w:sz w:val="20"/>
                <w:szCs w:val="20"/>
              </w:rPr>
              <w:t xml:space="preserve"> who were bitten by infected ticks: </w:t>
            </w:r>
          </w:p>
          <w:p w14:paraId="67882AB6" w14:textId="77777777" w:rsidR="002D58E4"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Azithromycin: 0/2, 0%</w:t>
            </w:r>
          </w:p>
          <w:p w14:paraId="18FE2F7E" w14:textId="78B87148" w:rsidR="002914A2" w:rsidRPr="002914A2" w:rsidRDefault="00F721D4" w:rsidP="002914A2">
            <w:pPr>
              <w:numPr>
                <w:ilvl w:val="0"/>
                <w:numId w:val="2"/>
              </w:numPr>
              <w:pBdr>
                <w:top w:val="nil"/>
                <w:left w:val="nil"/>
                <w:bottom w:val="nil"/>
                <w:right w:val="nil"/>
                <w:between w:val="nil"/>
              </w:pBdr>
              <w:ind w:left="270" w:hanging="180"/>
              <w:rPr>
                <w:color w:val="000000"/>
                <w:sz w:val="20"/>
                <w:szCs w:val="20"/>
              </w:rPr>
            </w:pPr>
            <w:r>
              <w:rPr>
                <w:color w:val="000000"/>
                <w:sz w:val="20"/>
                <w:szCs w:val="20"/>
              </w:rPr>
              <w:t>Placebo: 7/8, 87.5%</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A70A77F" w14:textId="77777777" w:rsidR="002D58E4" w:rsidRDefault="00F721D4" w:rsidP="002914A2">
            <w:pPr>
              <w:rPr>
                <w:sz w:val="20"/>
                <w:szCs w:val="20"/>
              </w:rPr>
            </w:pPr>
            <w:r>
              <w:rPr>
                <w:sz w:val="20"/>
                <w:szCs w:val="20"/>
              </w:rPr>
              <w:lastRenderedPageBreak/>
              <w:t>“Topical azithromycin was well tolerated and had a good safety profile. Inclusion of asymptomatic</w:t>
            </w:r>
          </w:p>
          <w:p w14:paraId="7ED6B236" w14:textId="77777777" w:rsidR="002D58E4" w:rsidRDefault="00F721D4" w:rsidP="002914A2">
            <w:pPr>
              <w:rPr>
                <w:sz w:val="20"/>
                <w:szCs w:val="20"/>
              </w:rPr>
            </w:pPr>
            <w:r>
              <w:rPr>
                <w:sz w:val="20"/>
                <w:szCs w:val="20"/>
              </w:rPr>
              <w:t xml:space="preserve">seroconversion into the primary efficacy analysis led to no prevention effect with topical azithromycin. Topical treatment with 10% azithromycin did not lead to prevention of erythema migrans, seroconversion, or both, 8 weeks after a tick bite when compared with placebo. A subgroup analysis in this study suggested </w:t>
            </w:r>
            <w:r>
              <w:rPr>
                <w:sz w:val="20"/>
                <w:szCs w:val="20"/>
              </w:rPr>
              <w:lastRenderedPageBreak/>
              <w:t>that topical azithromycin reduces erythema migrans after bites of infected ticks.”</w:t>
            </w:r>
          </w:p>
          <w:p w14:paraId="0D7FC438" w14:textId="77777777" w:rsidR="002D58E4" w:rsidRDefault="002D58E4" w:rsidP="002914A2">
            <w:pPr>
              <w:rPr>
                <w:sz w:val="20"/>
                <w:szCs w:val="20"/>
              </w:rPr>
            </w:pPr>
          </w:p>
          <w:p w14:paraId="799762E5" w14:textId="77777777" w:rsidR="002D58E4" w:rsidRDefault="00F721D4" w:rsidP="002914A2">
            <w:pPr>
              <w:rPr>
                <w:sz w:val="20"/>
                <w:szCs w:val="20"/>
              </w:rPr>
            </w:pPr>
            <w:r>
              <w:rPr>
                <w:sz w:val="20"/>
                <w:szCs w:val="20"/>
              </w:rPr>
              <w:t xml:space="preserve">The results of the study suggest that Azithromycin was more effective in preventing erythema migrans by 30 days among the group of participants who had been confirmed to have been bitten by infected ticks. </w:t>
            </w:r>
          </w:p>
        </w:tc>
      </w:tr>
      <w:tr w:rsidR="002D58E4" w14:paraId="2B9AA87F" w14:textId="77777777" w:rsidTr="00E70FE5">
        <w:trPr>
          <w:trHeight w:val="1250"/>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8FE853B" w14:textId="77777777" w:rsidR="002D58E4" w:rsidRDefault="00F721D4" w:rsidP="002914A2">
            <w:pPr>
              <w:rPr>
                <w:sz w:val="20"/>
                <w:szCs w:val="20"/>
              </w:rPr>
            </w:pPr>
            <w:r>
              <w:rPr>
                <w:sz w:val="20"/>
                <w:szCs w:val="20"/>
              </w:rPr>
              <w:t>Briciu, 2016</w:t>
            </w:r>
          </w:p>
          <w:p w14:paraId="374A04E5" w14:textId="77777777" w:rsidR="002D58E4" w:rsidRDefault="002D58E4" w:rsidP="002914A2">
            <w:pPr>
              <w:rPr>
                <w:sz w:val="20"/>
                <w:szCs w:val="20"/>
              </w:rPr>
            </w:pPr>
          </w:p>
          <w:p w14:paraId="2DAAA494" w14:textId="77777777" w:rsidR="002D58E4" w:rsidRDefault="00F721D4" w:rsidP="002914A2">
            <w:pPr>
              <w:rPr>
                <w:sz w:val="20"/>
                <w:szCs w:val="20"/>
              </w:rPr>
            </w:pPr>
            <w:r>
              <w:rPr>
                <w:sz w:val="20"/>
                <w:szCs w:val="20"/>
              </w:rPr>
              <w:t>Romania</w:t>
            </w:r>
          </w:p>
        </w:tc>
        <w:tc>
          <w:tcPr>
            <w:tcW w:w="875" w:type="dxa"/>
            <w:tcBorders>
              <w:top w:val="single" w:sz="6" w:space="0" w:color="AEAEAE"/>
              <w:left w:val="single" w:sz="6" w:space="0" w:color="AEAEAE"/>
              <w:bottom w:val="single" w:sz="6" w:space="0" w:color="AEAEAE"/>
              <w:right w:val="single" w:sz="6" w:space="0" w:color="AEAEAE"/>
            </w:tcBorders>
            <w:vAlign w:val="center"/>
          </w:tcPr>
          <w:p w14:paraId="06787E03" w14:textId="77777777" w:rsidR="002D58E4" w:rsidRDefault="00F721D4" w:rsidP="002914A2">
            <w:pPr>
              <w:rPr>
                <w:sz w:val="20"/>
                <w:szCs w:val="20"/>
              </w:rPr>
            </w:pPr>
            <w:r>
              <w:rPr>
                <w:sz w:val="20"/>
                <w:szCs w:val="20"/>
              </w:rPr>
              <w:t>Prospective cohort</w:t>
            </w:r>
          </w:p>
        </w:tc>
        <w:tc>
          <w:tcPr>
            <w:tcW w:w="540" w:type="dxa"/>
            <w:tcBorders>
              <w:top w:val="single" w:sz="6" w:space="0" w:color="AEAEAE"/>
              <w:left w:val="single" w:sz="6" w:space="0" w:color="AEAEAE"/>
              <w:bottom w:val="single" w:sz="6" w:space="0" w:color="AEAEAE"/>
              <w:right w:val="single" w:sz="6" w:space="0" w:color="AEAEAE"/>
            </w:tcBorders>
            <w:vAlign w:val="center"/>
          </w:tcPr>
          <w:p w14:paraId="5786EE10" w14:textId="77777777" w:rsidR="002D58E4" w:rsidRDefault="00F721D4" w:rsidP="002914A2">
            <w:pPr>
              <w:jc w:val="center"/>
              <w:rPr>
                <w:sz w:val="20"/>
                <w:szCs w:val="20"/>
              </w:rPr>
            </w:pPr>
            <w:r>
              <w:rPr>
                <w:sz w:val="20"/>
                <w:szCs w:val="20"/>
              </w:rPr>
              <w:t>6</w:t>
            </w:r>
          </w:p>
        </w:tc>
        <w:tc>
          <w:tcPr>
            <w:tcW w:w="1870" w:type="dxa"/>
            <w:tcBorders>
              <w:top w:val="single" w:sz="6" w:space="0" w:color="AEAEAE"/>
              <w:left w:val="single" w:sz="6" w:space="0" w:color="AEAEAE"/>
              <w:bottom w:val="single" w:sz="6" w:space="0" w:color="AEAEAE"/>
              <w:right w:val="single" w:sz="6" w:space="0" w:color="AEAEAE"/>
            </w:tcBorders>
            <w:vAlign w:val="center"/>
          </w:tcPr>
          <w:p w14:paraId="6E67C5C2" w14:textId="77777777" w:rsidR="002D58E4" w:rsidRDefault="00F721D4" w:rsidP="002914A2">
            <w:pPr>
              <w:rPr>
                <w:sz w:val="20"/>
                <w:szCs w:val="20"/>
              </w:rPr>
            </w:pPr>
            <w:r>
              <w:rPr>
                <w:sz w:val="20"/>
                <w:szCs w:val="20"/>
              </w:rPr>
              <w:t xml:space="preserve">386 patients who presented after a tick bite at the Clinical Hospital of Infectious Diseases. </w:t>
            </w:r>
          </w:p>
          <w:p w14:paraId="1E1A9D8A" w14:textId="77777777" w:rsidR="002D58E4" w:rsidRDefault="002D58E4" w:rsidP="002914A2">
            <w:pPr>
              <w:rPr>
                <w:sz w:val="20"/>
                <w:szCs w:val="20"/>
              </w:rPr>
            </w:pPr>
          </w:p>
          <w:p w14:paraId="7E1A668F" w14:textId="77777777" w:rsidR="002D58E4" w:rsidRDefault="00F721D4" w:rsidP="002914A2">
            <w:pPr>
              <w:rPr>
                <w:sz w:val="20"/>
                <w:szCs w:val="20"/>
              </w:rPr>
            </w:pPr>
            <w:r>
              <w:rPr>
                <w:sz w:val="20"/>
                <w:szCs w:val="20"/>
              </w:rPr>
              <w:t xml:space="preserve">Ticks were identified and tested for </w:t>
            </w:r>
            <w:r>
              <w:rPr>
                <w:i/>
                <w:sz w:val="20"/>
                <w:szCs w:val="20"/>
              </w:rPr>
              <w:t>B. burgdorferi sensu lato</w:t>
            </w:r>
            <w:r>
              <w:rPr>
                <w:sz w:val="20"/>
                <w:szCs w:val="20"/>
              </w:rPr>
              <w:t xml:space="preserve"> infection using </w:t>
            </w:r>
            <w:r>
              <w:rPr>
                <w:b/>
                <w:sz w:val="20"/>
                <w:szCs w:val="20"/>
              </w:rPr>
              <w:t>PCR</w:t>
            </w:r>
            <w:r>
              <w:rPr>
                <w:sz w:val="20"/>
                <w:szCs w:val="20"/>
              </w:rPr>
              <w:t xml:space="preserve">. </w:t>
            </w:r>
            <w:r>
              <w:rPr>
                <w:b/>
                <w:sz w:val="20"/>
                <w:szCs w:val="20"/>
              </w:rPr>
              <w:lastRenderedPageBreak/>
              <w:t>20 out of 38</w:t>
            </w:r>
            <w:r>
              <w:rPr>
                <w:sz w:val="20"/>
                <w:szCs w:val="20"/>
              </w:rPr>
              <w:t xml:space="preserve"> patients bitten </w:t>
            </w:r>
            <w:r>
              <w:rPr>
                <w:i/>
                <w:sz w:val="20"/>
                <w:szCs w:val="20"/>
              </w:rPr>
              <w:t>by B. burgdorferi</w:t>
            </w:r>
            <w:r>
              <w:rPr>
                <w:sz w:val="20"/>
                <w:szCs w:val="20"/>
              </w:rPr>
              <w:t xml:space="preserve">-infected ticks and a control group (age, sex, and residence-matched individuals bitten by </w:t>
            </w:r>
            <w:r>
              <w:rPr>
                <w:i/>
                <w:sz w:val="20"/>
                <w:szCs w:val="20"/>
              </w:rPr>
              <w:t>B. burgdorferi</w:t>
            </w:r>
            <w:r>
              <w:rPr>
                <w:sz w:val="20"/>
                <w:szCs w:val="20"/>
              </w:rPr>
              <w:t xml:space="preserve">-negative ticks, </w:t>
            </w:r>
            <w:r>
              <w:rPr>
                <w:b/>
                <w:sz w:val="20"/>
                <w:szCs w:val="20"/>
              </w:rPr>
              <w:t>N=20</w:t>
            </w:r>
            <w:r>
              <w:rPr>
                <w:sz w:val="20"/>
                <w:szCs w:val="20"/>
              </w:rPr>
              <w:t>) were followed up for 1 year</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5DD7B54" w14:textId="77777777" w:rsidR="002D58E4" w:rsidRDefault="00F721D4" w:rsidP="002914A2">
            <w:pPr>
              <w:rPr>
                <w:sz w:val="20"/>
                <w:szCs w:val="20"/>
              </w:rPr>
            </w:pPr>
            <w:r>
              <w:rPr>
                <w:sz w:val="20"/>
                <w:szCs w:val="20"/>
              </w:rPr>
              <w:lastRenderedPageBreak/>
              <w:t>Amoxicillin</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CD11744" w14:textId="77777777" w:rsidR="002D58E4" w:rsidRDefault="00F721D4" w:rsidP="002914A2">
            <w:pPr>
              <w:rPr>
                <w:sz w:val="20"/>
                <w:szCs w:val="20"/>
              </w:rPr>
            </w:pPr>
            <w:r>
              <w:rPr>
                <w:sz w:val="20"/>
                <w:szCs w:val="20"/>
              </w:rPr>
              <w:t>Patients were followed up for Lyme disease symptoms. Sera were tested at baseline and at 1 year (2-tiered test: ELISA and immunoblot) for seroconversion.</w:t>
            </w:r>
          </w:p>
        </w:tc>
        <w:tc>
          <w:tcPr>
            <w:tcW w:w="2126" w:type="dxa"/>
            <w:tcBorders>
              <w:top w:val="single" w:sz="6" w:space="0" w:color="AEAEAE"/>
              <w:left w:val="single" w:sz="6" w:space="0" w:color="AEAEAE"/>
              <w:bottom w:val="single" w:sz="6" w:space="0" w:color="AEAEAE"/>
              <w:right w:val="single" w:sz="6" w:space="0" w:color="AEAEAE"/>
            </w:tcBorders>
            <w:vAlign w:val="center"/>
          </w:tcPr>
          <w:p w14:paraId="6C7645B2" w14:textId="77777777" w:rsidR="002D58E4" w:rsidRDefault="00F721D4" w:rsidP="002914A2">
            <w:pPr>
              <w:rPr>
                <w:sz w:val="20"/>
                <w:szCs w:val="20"/>
              </w:rPr>
            </w:pPr>
            <w:r>
              <w:rPr>
                <w:b/>
                <w:sz w:val="20"/>
                <w:szCs w:val="20"/>
              </w:rPr>
              <w:t>Symptoms of Lyme disease</w:t>
            </w:r>
            <w:r>
              <w:rPr>
                <w:sz w:val="20"/>
                <w:szCs w:val="20"/>
              </w:rPr>
              <w:t xml:space="preserve"> (according to European guidelines – Stanek, 2011) </w:t>
            </w:r>
            <w:r>
              <w:rPr>
                <w:b/>
                <w:sz w:val="20"/>
                <w:szCs w:val="20"/>
              </w:rPr>
              <w:t>and/ or seroconversion</w:t>
            </w:r>
            <w:r>
              <w:rPr>
                <w:sz w:val="20"/>
                <w:szCs w:val="20"/>
              </w:rPr>
              <w:t xml:space="preserve"> at one-year follow-up.</w:t>
            </w:r>
          </w:p>
          <w:p w14:paraId="105CAE22" w14:textId="77777777" w:rsidR="002D58E4" w:rsidRDefault="002D58E4" w:rsidP="002914A2">
            <w:pPr>
              <w:rPr>
                <w:sz w:val="20"/>
                <w:szCs w:val="20"/>
              </w:rPr>
            </w:pPr>
          </w:p>
          <w:p w14:paraId="4E911A8E" w14:textId="77777777" w:rsidR="002D58E4" w:rsidRDefault="00F721D4" w:rsidP="002914A2">
            <w:pPr>
              <w:rPr>
                <w:sz w:val="20"/>
                <w:szCs w:val="20"/>
              </w:rPr>
            </w:pPr>
            <w:r>
              <w:rPr>
                <w:sz w:val="20"/>
                <w:szCs w:val="20"/>
                <w:u w:val="single"/>
              </w:rPr>
              <w:t>Note:</w:t>
            </w:r>
            <w:r>
              <w:rPr>
                <w:sz w:val="20"/>
                <w:szCs w:val="20"/>
              </w:rPr>
              <w:t xml:space="preserve"> 18 out of 20 tick-test (+) and 19 out of 20 tick-test (-) patients </w:t>
            </w:r>
            <w:r>
              <w:rPr>
                <w:sz w:val="20"/>
                <w:szCs w:val="20"/>
              </w:rPr>
              <w:lastRenderedPageBreak/>
              <w:t>received antibiotic prophylaxis after the bite, which may have biased the results.  Also, additional tick bites were recorded during the long follow-up – another source of bias.</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FB48903" w14:textId="77777777" w:rsidR="002D58E4" w:rsidRDefault="00F721D4" w:rsidP="002914A2">
            <w:pPr>
              <w:rPr>
                <w:sz w:val="20"/>
                <w:szCs w:val="20"/>
              </w:rPr>
            </w:pPr>
            <w:r>
              <w:rPr>
                <w:sz w:val="20"/>
                <w:szCs w:val="20"/>
              </w:rPr>
              <w:lastRenderedPageBreak/>
              <w:t xml:space="preserve">Overall, 11% of ticks were positive for </w:t>
            </w:r>
            <w:r>
              <w:rPr>
                <w:i/>
                <w:sz w:val="20"/>
                <w:szCs w:val="20"/>
              </w:rPr>
              <w:t>B. burgdorferi s.l.</w:t>
            </w:r>
            <w:r>
              <w:rPr>
                <w:sz w:val="20"/>
                <w:szCs w:val="20"/>
              </w:rPr>
              <w:t xml:space="preserve"> (43 out of 389) (mainly </w:t>
            </w:r>
            <w:r>
              <w:rPr>
                <w:i/>
                <w:sz w:val="20"/>
                <w:szCs w:val="20"/>
              </w:rPr>
              <w:t>B. afzelii</w:t>
            </w:r>
            <w:r>
              <w:rPr>
                <w:sz w:val="20"/>
                <w:szCs w:val="20"/>
              </w:rPr>
              <w:t xml:space="preserve">, but </w:t>
            </w:r>
            <w:r>
              <w:rPr>
                <w:i/>
                <w:sz w:val="20"/>
                <w:szCs w:val="20"/>
              </w:rPr>
              <w:t>also B. garinii, B. burgdorferi sensu stricto, B. spielmanii/ B. valaisiana and B. lusitaniae</w:t>
            </w:r>
            <w:r>
              <w:rPr>
                <w:sz w:val="20"/>
                <w:szCs w:val="20"/>
              </w:rPr>
              <w:t>).</w:t>
            </w:r>
          </w:p>
          <w:p w14:paraId="3BF9003F" w14:textId="77777777" w:rsidR="002D58E4" w:rsidRDefault="002D58E4" w:rsidP="002914A2">
            <w:pPr>
              <w:rPr>
                <w:sz w:val="20"/>
                <w:szCs w:val="20"/>
              </w:rPr>
            </w:pPr>
          </w:p>
          <w:p w14:paraId="5A8B47A7" w14:textId="77777777" w:rsidR="002D58E4" w:rsidRDefault="00F721D4" w:rsidP="002914A2">
            <w:pPr>
              <w:rPr>
                <w:sz w:val="20"/>
                <w:szCs w:val="20"/>
              </w:rPr>
            </w:pPr>
            <w:r>
              <w:rPr>
                <w:b/>
                <w:sz w:val="20"/>
                <w:szCs w:val="20"/>
              </w:rPr>
              <w:t>Lyme disease (EM) incidence rate</w:t>
            </w:r>
            <w:r>
              <w:rPr>
                <w:sz w:val="20"/>
                <w:szCs w:val="20"/>
              </w:rPr>
              <w:t xml:space="preserve"> 1 year after bite: Patients bitten by ticks tested positive for </w:t>
            </w:r>
            <w:r>
              <w:rPr>
                <w:i/>
                <w:sz w:val="20"/>
                <w:szCs w:val="20"/>
              </w:rPr>
              <w:t>Borrelia</w:t>
            </w:r>
            <w:r>
              <w:rPr>
                <w:sz w:val="20"/>
                <w:szCs w:val="20"/>
              </w:rPr>
              <w:t xml:space="preserve"> infection:  </w:t>
            </w:r>
            <w:r>
              <w:rPr>
                <w:b/>
                <w:sz w:val="20"/>
                <w:szCs w:val="20"/>
              </w:rPr>
              <w:t>10%</w:t>
            </w:r>
            <w:r>
              <w:rPr>
                <w:sz w:val="20"/>
                <w:szCs w:val="20"/>
              </w:rPr>
              <w:t xml:space="preserve"> (2 </w:t>
            </w:r>
            <w:r>
              <w:rPr>
                <w:sz w:val="20"/>
                <w:szCs w:val="20"/>
              </w:rPr>
              <w:lastRenderedPageBreak/>
              <w:t>out of 20) – both after prophylaxis with amoxicillin.</w:t>
            </w:r>
          </w:p>
          <w:p w14:paraId="2C48B88C" w14:textId="77777777" w:rsidR="002D58E4" w:rsidRDefault="00F721D4" w:rsidP="002914A2">
            <w:pPr>
              <w:rPr>
                <w:sz w:val="20"/>
                <w:szCs w:val="20"/>
              </w:rPr>
            </w:pPr>
            <w:r>
              <w:rPr>
                <w:sz w:val="20"/>
                <w:szCs w:val="20"/>
              </w:rPr>
              <w:t xml:space="preserve">Patients bitten by ticks tested negative for </w:t>
            </w:r>
            <w:r>
              <w:rPr>
                <w:i/>
                <w:sz w:val="20"/>
                <w:szCs w:val="20"/>
              </w:rPr>
              <w:t>Borrelia</w:t>
            </w:r>
            <w:r>
              <w:rPr>
                <w:sz w:val="20"/>
                <w:szCs w:val="20"/>
              </w:rPr>
              <w:t xml:space="preserve"> infection: </w:t>
            </w:r>
            <w:r>
              <w:rPr>
                <w:b/>
                <w:sz w:val="20"/>
                <w:szCs w:val="20"/>
              </w:rPr>
              <w:t>0%</w:t>
            </w:r>
            <w:r>
              <w:rPr>
                <w:sz w:val="20"/>
                <w:szCs w:val="20"/>
              </w:rPr>
              <w:t xml:space="preserve"> (0 out of 20).</w:t>
            </w:r>
          </w:p>
          <w:p w14:paraId="7CDC9564" w14:textId="77777777" w:rsidR="002D58E4" w:rsidRDefault="00F721D4" w:rsidP="002914A2">
            <w:pPr>
              <w:rPr>
                <w:sz w:val="20"/>
                <w:szCs w:val="20"/>
              </w:rPr>
            </w:pPr>
            <w:r>
              <w:rPr>
                <w:b/>
                <w:sz w:val="20"/>
                <w:szCs w:val="20"/>
              </w:rPr>
              <w:t>Seroconversion</w:t>
            </w:r>
            <w:r>
              <w:rPr>
                <w:sz w:val="20"/>
                <w:szCs w:val="20"/>
              </w:rPr>
              <w:t xml:space="preserve"> after 1 year: Patients bitten by ticks tested positive:  </w:t>
            </w:r>
            <w:r>
              <w:rPr>
                <w:b/>
                <w:sz w:val="20"/>
                <w:szCs w:val="20"/>
              </w:rPr>
              <w:t>10%</w:t>
            </w:r>
            <w:r>
              <w:rPr>
                <w:sz w:val="20"/>
                <w:szCs w:val="20"/>
              </w:rPr>
              <w:t xml:space="preserve"> (2 out of 20)</w:t>
            </w:r>
          </w:p>
          <w:p w14:paraId="355C28EC" w14:textId="77777777" w:rsidR="002D58E4" w:rsidRDefault="00F721D4" w:rsidP="002914A2">
            <w:pPr>
              <w:rPr>
                <w:sz w:val="20"/>
                <w:szCs w:val="20"/>
              </w:rPr>
            </w:pPr>
            <w:r>
              <w:rPr>
                <w:sz w:val="20"/>
                <w:szCs w:val="20"/>
              </w:rPr>
              <w:t xml:space="preserve">Patients bitten by ticks tested negative:  </w:t>
            </w:r>
            <w:r>
              <w:rPr>
                <w:b/>
                <w:sz w:val="20"/>
                <w:szCs w:val="20"/>
              </w:rPr>
              <w:t>15%</w:t>
            </w:r>
            <w:r>
              <w:rPr>
                <w:sz w:val="20"/>
                <w:szCs w:val="20"/>
              </w:rPr>
              <w:t xml:space="preserve"> (3 out of 20).</w:t>
            </w:r>
          </w:p>
        </w:tc>
      </w:tr>
      <w:tr w:rsidR="002D58E4" w14:paraId="4C9AB08B" w14:textId="77777777" w:rsidTr="00E70FE5">
        <w:trPr>
          <w:trHeight w:val="683"/>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73EE3E8" w14:textId="77777777" w:rsidR="002D58E4" w:rsidRDefault="00F721D4" w:rsidP="002914A2">
            <w:pPr>
              <w:rPr>
                <w:sz w:val="20"/>
                <w:szCs w:val="20"/>
              </w:rPr>
            </w:pPr>
            <w:r>
              <w:rPr>
                <w:sz w:val="20"/>
                <w:szCs w:val="20"/>
              </w:rPr>
              <w:t>Tijsse-Klasen, 2011</w:t>
            </w:r>
          </w:p>
          <w:p w14:paraId="72BA17F7" w14:textId="77777777" w:rsidR="002D58E4" w:rsidRDefault="002D58E4" w:rsidP="002914A2">
            <w:pPr>
              <w:rPr>
                <w:sz w:val="20"/>
                <w:szCs w:val="20"/>
              </w:rPr>
            </w:pPr>
          </w:p>
          <w:p w14:paraId="68365304" w14:textId="77777777" w:rsidR="002D58E4" w:rsidRDefault="00F721D4" w:rsidP="002914A2">
            <w:pPr>
              <w:rPr>
                <w:sz w:val="20"/>
                <w:szCs w:val="20"/>
              </w:rPr>
            </w:pPr>
            <w:r>
              <w:rPr>
                <w:sz w:val="20"/>
                <w:szCs w:val="20"/>
              </w:rPr>
              <w:t>Netherlands</w:t>
            </w:r>
          </w:p>
        </w:tc>
        <w:tc>
          <w:tcPr>
            <w:tcW w:w="875" w:type="dxa"/>
            <w:tcBorders>
              <w:top w:val="single" w:sz="6" w:space="0" w:color="AEAEAE"/>
              <w:left w:val="single" w:sz="6" w:space="0" w:color="AEAEAE"/>
              <w:bottom w:val="single" w:sz="6" w:space="0" w:color="AEAEAE"/>
              <w:right w:val="single" w:sz="6" w:space="0" w:color="AEAEAE"/>
            </w:tcBorders>
            <w:vAlign w:val="center"/>
          </w:tcPr>
          <w:p w14:paraId="071BBD10" w14:textId="77777777" w:rsidR="002D58E4" w:rsidRDefault="00F721D4" w:rsidP="002914A2">
            <w:pPr>
              <w:rPr>
                <w:sz w:val="20"/>
                <w:szCs w:val="20"/>
              </w:rPr>
            </w:pPr>
            <w:r>
              <w:rPr>
                <w:sz w:val="20"/>
                <w:szCs w:val="20"/>
              </w:rPr>
              <w:t>Prospective cohort</w:t>
            </w:r>
          </w:p>
        </w:tc>
        <w:tc>
          <w:tcPr>
            <w:tcW w:w="540" w:type="dxa"/>
            <w:tcBorders>
              <w:top w:val="single" w:sz="6" w:space="0" w:color="AEAEAE"/>
              <w:left w:val="single" w:sz="6" w:space="0" w:color="AEAEAE"/>
              <w:bottom w:val="single" w:sz="6" w:space="0" w:color="AEAEAE"/>
              <w:right w:val="single" w:sz="6" w:space="0" w:color="AEAEAE"/>
            </w:tcBorders>
            <w:vAlign w:val="center"/>
          </w:tcPr>
          <w:p w14:paraId="4E30C4E9" w14:textId="77777777" w:rsidR="002D58E4" w:rsidRDefault="00F721D4" w:rsidP="002914A2">
            <w:pPr>
              <w:jc w:val="center"/>
              <w:rPr>
                <w:sz w:val="20"/>
                <w:szCs w:val="20"/>
              </w:rPr>
            </w:pPr>
            <w:r>
              <w:rPr>
                <w:sz w:val="20"/>
                <w:szCs w:val="20"/>
              </w:rPr>
              <w:t>4</w:t>
            </w:r>
          </w:p>
        </w:tc>
        <w:tc>
          <w:tcPr>
            <w:tcW w:w="1870" w:type="dxa"/>
            <w:tcBorders>
              <w:top w:val="single" w:sz="6" w:space="0" w:color="AEAEAE"/>
              <w:left w:val="single" w:sz="6" w:space="0" w:color="AEAEAE"/>
              <w:bottom w:val="single" w:sz="6" w:space="0" w:color="AEAEAE"/>
              <w:right w:val="single" w:sz="6" w:space="0" w:color="AEAEAE"/>
            </w:tcBorders>
            <w:vAlign w:val="center"/>
          </w:tcPr>
          <w:p w14:paraId="3FFEFE07" w14:textId="77777777" w:rsidR="002D58E4" w:rsidRDefault="00F721D4" w:rsidP="002914A2">
            <w:pPr>
              <w:rPr>
                <w:sz w:val="20"/>
                <w:szCs w:val="20"/>
              </w:rPr>
            </w:pPr>
            <w:r>
              <w:rPr>
                <w:sz w:val="20"/>
                <w:szCs w:val="20"/>
              </w:rPr>
              <w:t xml:space="preserve">246 participants who had consulted a general practitioner for tick bites were included. </w:t>
            </w:r>
          </w:p>
          <w:p w14:paraId="34643526" w14:textId="77777777" w:rsidR="002D58E4" w:rsidRDefault="002D58E4" w:rsidP="002914A2">
            <w:pPr>
              <w:rPr>
                <w:sz w:val="20"/>
                <w:szCs w:val="20"/>
              </w:rPr>
            </w:pPr>
          </w:p>
          <w:p w14:paraId="0357CE25" w14:textId="77777777" w:rsidR="002D58E4" w:rsidRDefault="00F721D4" w:rsidP="002914A2">
            <w:pPr>
              <w:rPr>
                <w:i/>
                <w:sz w:val="20"/>
                <w:szCs w:val="20"/>
              </w:rPr>
            </w:pPr>
            <w:r>
              <w:rPr>
                <w:sz w:val="20"/>
                <w:szCs w:val="20"/>
              </w:rPr>
              <w:t xml:space="preserve">Ticks were identified and tested for </w:t>
            </w:r>
            <w:r>
              <w:rPr>
                <w:i/>
                <w:sz w:val="20"/>
                <w:szCs w:val="20"/>
              </w:rPr>
              <w:t>Borrelia burgdorferi s.l., Rickettsia spp., Babesia spp. or Ehrlichia/Anaplasma spp</w:t>
            </w:r>
            <w:r>
              <w:rPr>
                <w:sz w:val="20"/>
                <w:szCs w:val="20"/>
              </w:rPr>
              <w:t xml:space="preserve"> infection using </w:t>
            </w:r>
            <w:r>
              <w:rPr>
                <w:b/>
                <w:sz w:val="20"/>
                <w:szCs w:val="20"/>
              </w:rPr>
              <w:t>PCR</w:t>
            </w:r>
            <w:r>
              <w:rPr>
                <w:sz w:val="20"/>
                <w:szCs w:val="20"/>
              </w:rPr>
              <w:t>.</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A8C2507" w14:textId="77777777" w:rsidR="002D58E4" w:rsidRDefault="00F721D4" w:rsidP="002914A2">
            <w:pPr>
              <w:rPr>
                <w:sz w:val="20"/>
                <w:szCs w:val="20"/>
              </w:rPr>
            </w:pPr>
            <w:r>
              <w:rPr>
                <w:sz w:val="20"/>
                <w:szCs w:val="20"/>
              </w:rPr>
              <w:t>NA</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D75513D" w14:textId="77777777" w:rsidR="002D58E4" w:rsidRDefault="00F721D4" w:rsidP="002914A2">
            <w:pPr>
              <w:rPr>
                <w:sz w:val="20"/>
                <w:szCs w:val="20"/>
              </w:rPr>
            </w:pPr>
            <w:r>
              <w:rPr>
                <w:sz w:val="20"/>
                <w:szCs w:val="20"/>
              </w:rPr>
              <w:t xml:space="preserve">Patients received an initial questionnaire concerning number of tick bites and duration of tick attachment. </w:t>
            </w:r>
          </w:p>
          <w:p w14:paraId="28BA66E1" w14:textId="77777777" w:rsidR="002D58E4" w:rsidRDefault="002D58E4" w:rsidP="002914A2">
            <w:pPr>
              <w:rPr>
                <w:sz w:val="20"/>
                <w:szCs w:val="20"/>
              </w:rPr>
            </w:pPr>
          </w:p>
          <w:p w14:paraId="120997CA" w14:textId="77777777" w:rsidR="002D58E4" w:rsidRDefault="00F721D4" w:rsidP="002914A2">
            <w:pPr>
              <w:rPr>
                <w:sz w:val="20"/>
                <w:szCs w:val="20"/>
              </w:rPr>
            </w:pPr>
            <w:r>
              <w:rPr>
                <w:sz w:val="20"/>
                <w:szCs w:val="20"/>
              </w:rPr>
              <w:t>Patients were followed up approximately 6 months later and received a questionnaire assessing the presence of Lyme disease symptoms.</w:t>
            </w:r>
          </w:p>
        </w:tc>
        <w:tc>
          <w:tcPr>
            <w:tcW w:w="2126" w:type="dxa"/>
            <w:tcBorders>
              <w:top w:val="single" w:sz="6" w:space="0" w:color="AEAEAE"/>
              <w:left w:val="single" w:sz="6" w:space="0" w:color="AEAEAE"/>
              <w:bottom w:val="single" w:sz="6" w:space="0" w:color="AEAEAE"/>
              <w:right w:val="single" w:sz="6" w:space="0" w:color="AEAEAE"/>
            </w:tcBorders>
            <w:vAlign w:val="center"/>
          </w:tcPr>
          <w:p w14:paraId="1510CFE4" w14:textId="77777777" w:rsidR="002D58E4" w:rsidRDefault="00F721D4" w:rsidP="002914A2">
            <w:pPr>
              <w:rPr>
                <w:b/>
                <w:sz w:val="20"/>
                <w:szCs w:val="20"/>
              </w:rPr>
            </w:pPr>
            <w:r>
              <w:rPr>
                <w:sz w:val="20"/>
                <w:szCs w:val="20"/>
              </w:rPr>
              <w:t>Possible symptoms related to the tick bite included local redness or erythema migrans and systemic symptoms as fever, malaise, palpitations, joint problems, or neurological symptoms</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1041773" w14:textId="77777777" w:rsidR="002D58E4" w:rsidRDefault="00F721D4" w:rsidP="002914A2">
            <w:pPr>
              <w:rPr>
                <w:i/>
                <w:sz w:val="20"/>
                <w:szCs w:val="20"/>
              </w:rPr>
            </w:pPr>
            <w:r>
              <w:rPr>
                <w:sz w:val="20"/>
                <w:szCs w:val="20"/>
              </w:rPr>
              <w:t xml:space="preserve">Overall, 16% of ticks were positive for </w:t>
            </w:r>
            <w:r>
              <w:rPr>
                <w:i/>
                <w:sz w:val="20"/>
                <w:szCs w:val="20"/>
              </w:rPr>
              <w:t>B. burgdorferi s.l.</w:t>
            </w:r>
          </w:p>
          <w:p w14:paraId="55046467" w14:textId="77777777" w:rsidR="002D58E4" w:rsidRDefault="002D58E4" w:rsidP="002914A2">
            <w:pPr>
              <w:rPr>
                <w:i/>
                <w:sz w:val="20"/>
                <w:szCs w:val="20"/>
              </w:rPr>
            </w:pPr>
          </w:p>
          <w:p w14:paraId="248CA427" w14:textId="77777777" w:rsidR="002D58E4" w:rsidRDefault="00F721D4" w:rsidP="002914A2">
            <w:pPr>
              <w:rPr>
                <w:sz w:val="20"/>
                <w:szCs w:val="20"/>
              </w:rPr>
            </w:pPr>
            <w:r>
              <w:rPr>
                <w:rFonts w:ascii="Arial Unicode MS" w:eastAsia="Arial Unicode MS" w:hAnsi="Arial Unicode MS" w:cs="Arial Unicode MS"/>
                <w:sz w:val="20"/>
                <w:szCs w:val="20"/>
              </w:rPr>
              <w:t>≥</w:t>
            </w:r>
            <w:r>
              <w:rPr>
                <w:sz w:val="20"/>
                <w:szCs w:val="20"/>
              </w:rPr>
              <w:t>6 months after tick bite, 14 out of 193 participants (8.3%) reported reddening at the bite site and 6 participants (4.1%) reported systemic symptoms. No association between symptoms and tick-borne microorganisms was found.</w:t>
            </w:r>
            <w:r>
              <w:t xml:space="preserve"> </w:t>
            </w:r>
          </w:p>
          <w:p w14:paraId="428232C0" w14:textId="77777777" w:rsidR="002D58E4" w:rsidRDefault="002D58E4" w:rsidP="002914A2">
            <w:pPr>
              <w:rPr>
                <w:sz w:val="20"/>
                <w:szCs w:val="20"/>
              </w:rPr>
            </w:pPr>
          </w:p>
          <w:p w14:paraId="17E1CDA3" w14:textId="77777777" w:rsidR="002D58E4" w:rsidRDefault="00F721D4" w:rsidP="002914A2">
            <w:pPr>
              <w:rPr>
                <w:sz w:val="20"/>
                <w:szCs w:val="20"/>
              </w:rPr>
            </w:pPr>
            <w:r>
              <w:rPr>
                <w:sz w:val="20"/>
                <w:szCs w:val="20"/>
              </w:rPr>
              <w:t>Attachment duration ≥24 h was positively associated with reddening at the bite site and systemic symptoms.</w:t>
            </w:r>
          </w:p>
        </w:tc>
      </w:tr>
      <w:tr w:rsidR="002D58E4" w14:paraId="2937965E" w14:textId="77777777" w:rsidTr="00E70FE5">
        <w:trPr>
          <w:trHeight w:val="3235"/>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573A587" w14:textId="77777777" w:rsidR="002D58E4" w:rsidRDefault="00F721D4" w:rsidP="002914A2">
            <w:pPr>
              <w:rPr>
                <w:sz w:val="20"/>
                <w:szCs w:val="20"/>
              </w:rPr>
            </w:pPr>
            <w:r>
              <w:rPr>
                <w:sz w:val="20"/>
                <w:szCs w:val="20"/>
              </w:rPr>
              <w:t>Hofhuis, 2013</w:t>
            </w:r>
          </w:p>
          <w:p w14:paraId="20A20E80" w14:textId="77777777" w:rsidR="002D58E4" w:rsidRDefault="002D58E4" w:rsidP="002914A2">
            <w:pPr>
              <w:rPr>
                <w:sz w:val="20"/>
                <w:szCs w:val="20"/>
              </w:rPr>
            </w:pPr>
          </w:p>
          <w:p w14:paraId="041311E8" w14:textId="77777777" w:rsidR="002D58E4" w:rsidRDefault="00F721D4" w:rsidP="002914A2">
            <w:pPr>
              <w:rPr>
                <w:sz w:val="20"/>
                <w:szCs w:val="20"/>
              </w:rPr>
            </w:pPr>
            <w:r>
              <w:rPr>
                <w:sz w:val="20"/>
                <w:szCs w:val="20"/>
              </w:rPr>
              <w:t>Netherlands</w:t>
            </w:r>
          </w:p>
        </w:tc>
        <w:tc>
          <w:tcPr>
            <w:tcW w:w="875" w:type="dxa"/>
            <w:tcBorders>
              <w:top w:val="single" w:sz="6" w:space="0" w:color="AEAEAE"/>
              <w:left w:val="single" w:sz="6" w:space="0" w:color="AEAEAE"/>
              <w:bottom w:val="single" w:sz="6" w:space="0" w:color="AEAEAE"/>
              <w:right w:val="single" w:sz="6" w:space="0" w:color="AEAEAE"/>
            </w:tcBorders>
            <w:vAlign w:val="center"/>
          </w:tcPr>
          <w:p w14:paraId="6AA296BE" w14:textId="77777777" w:rsidR="002D58E4" w:rsidRDefault="00F721D4" w:rsidP="002914A2">
            <w:pPr>
              <w:rPr>
                <w:sz w:val="20"/>
                <w:szCs w:val="20"/>
              </w:rPr>
            </w:pPr>
            <w:r>
              <w:rPr>
                <w:sz w:val="20"/>
                <w:szCs w:val="20"/>
              </w:rPr>
              <w:t>Prospective cohort</w:t>
            </w:r>
          </w:p>
        </w:tc>
        <w:tc>
          <w:tcPr>
            <w:tcW w:w="540" w:type="dxa"/>
            <w:tcBorders>
              <w:top w:val="single" w:sz="6" w:space="0" w:color="AEAEAE"/>
              <w:left w:val="single" w:sz="6" w:space="0" w:color="AEAEAE"/>
              <w:bottom w:val="single" w:sz="6" w:space="0" w:color="AEAEAE"/>
              <w:right w:val="single" w:sz="6" w:space="0" w:color="AEAEAE"/>
            </w:tcBorders>
            <w:vAlign w:val="center"/>
          </w:tcPr>
          <w:p w14:paraId="7A7DF054" w14:textId="77777777" w:rsidR="002D58E4" w:rsidRDefault="00F721D4" w:rsidP="002914A2">
            <w:pPr>
              <w:jc w:val="center"/>
              <w:rPr>
                <w:sz w:val="20"/>
                <w:szCs w:val="20"/>
              </w:rPr>
            </w:pPr>
            <w:r>
              <w:rPr>
                <w:sz w:val="20"/>
                <w:szCs w:val="20"/>
              </w:rPr>
              <w:t>8</w:t>
            </w:r>
          </w:p>
        </w:tc>
        <w:tc>
          <w:tcPr>
            <w:tcW w:w="1870" w:type="dxa"/>
            <w:tcBorders>
              <w:top w:val="single" w:sz="6" w:space="0" w:color="AEAEAE"/>
              <w:left w:val="single" w:sz="6" w:space="0" w:color="AEAEAE"/>
              <w:bottom w:val="single" w:sz="6" w:space="0" w:color="AEAEAE"/>
              <w:right w:val="single" w:sz="6" w:space="0" w:color="AEAEAE"/>
            </w:tcBorders>
            <w:vAlign w:val="center"/>
          </w:tcPr>
          <w:p w14:paraId="4C79C9A4" w14:textId="77777777" w:rsidR="002D58E4" w:rsidRDefault="00F721D4" w:rsidP="002914A2">
            <w:pPr>
              <w:rPr>
                <w:i/>
                <w:sz w:val="20"/>
                <w:szCs w:val="20"/>
              </w:rPr>
            </w:pPr>
            <w:r>
              <w:rPr>
                <w:sz w:val="20"/>
                <w:szCs w:val="20"/>
              </w:rPr>
              <w:t xml:space="preserve">644 patients who consulted a cooperating general practitioner for a recent EM or tick bite were included. 361 cases (55%) consulted their physician for a tick bite, and 283 (43%) consulted their physician at baseline with an EM that was </w:t>
            </w:r>
            <w:r>
              <w:rPr>
                <w:sz w:val="20"/>
                <w:szCs w:val="20"/>
              </w:rPr>
              <w:lastRenderedPageBreak/>
              <w:t>undisputed by their physician</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7396D9E" w14:textId="77777777" w:rsidR="002D58E4" w:rsidRDefault="00F721D4" w:rsidP="002914A2">
            <w:pPr>
              <w:rPr>
                <w:sz w:val="20"/>
                <w:szCs w:val="20"/>
              </w:rPr>
            </w:pPr>
            <w:r>
              <w:rPr>
                <w:sz w:val="20"/>
                <w:szCs w:val="20"/>
              </w:rPr>
              <w:lastRenderedPageBreak/>
              <w:t xml:space="preserve">Among the 361 cases that consulted their physician for a tick bite, 34 (9%) had received antibiotics at baseline. </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12F4CD1" w14:textId="77777777" w:rsidR="002D58E4" w:rsidRDefault="00F721D4" w:rsidP="002914A2">
            <w:pPr>
              <w:rPr>
                <w:sz w:val="20"/>
                <w:szCs w:val="20"/>
              </w:rPr>
            </w:pPr>
            <w:r>
              <w:rPr>
                <w:sz w:val="20"/>
                <w:szCs w:val="20"/>
              </w:rPr>
              <w:t>Blood samples were collected at baseline and ticks were removed. Over half (56%) of the cases reported tick removal within 24 hours.</w:t>
            </w:r>
            <w:r>
              <w:t xml:space="preserve"> </w:t>
            </w:r>
            <w:r>
              <w:rPr>
                <w:sz w:val="20"/>
                <w:szCs w:val="20"/>
              </w:rPr>
              <w:t xml:space="preserve">Ticks removed from patients at baseline were tested for presence of </w:t>
            </w:r>
            <w:r>
              <w:rPr>
                <w:i/>
                <w:sz w:val="20"/>
                <w:szCs w:val="20"/>
              </w:rPr>
              <w:t xml:space="preserve">Borrelia </w:t>
            </w:r>
            <w:r>
              <w:rPr>
                <w:sz w:val="20"/>
                <w:szCs w:val="20"/>
              </w:rPr>
              <w:t>by PCR. Patients also received a questionnaire about baseline data.</w:t>
            </w:r>
          </w:p>
          <w:p w14:paraId="3EA2E909" w14:textId="77777777" w:rsidR="002D58E4" w:rsidRDefault="002D58E4" w:rsidP="002914A2">
            <w:pPr>
              <w:rPr>
                <w:sz w:val="20"/>
                <w:szCs w:val="20"/>
              </w:rPr>
            </w:pPr>
          </w:p>
          <w:p w14:paraId="0AD2C288" w14:textId="77777777" w:rsidR="002D58E4" w:rsidRDefault="00F721D4" w:rsidP="002914A2">
            <w:pPr>
              <w:rPr>
                <w:sz w:val="20"/>
                <w:szCs w:val="20"/>
              </w:rPr>
            </w:pPr>
            <w:r>
              <w:rPr>
                <w:sz w:val="20"/>
                <w:szCs w:val="20"/>
              </w:rPr>
              <w:lastRenderedPageBreak/>
              <w:t>A follow-up questionnaire was sent and blood samples were collected 3 months later.</w:t>
            </w:r>
          </w:p>
        </w:tc>
        <w:tc>
          <w:tcPr>
            <w:tcW w:w="2126" w:type="dxa"/>
            <w:tcBorders>
              <w:top w:val="single" w:sz="6" w:space="0" w:color="AEAEAE"/>
              <w:left w:val="single" w:sz="6" w:space="0" w:color="AEAEAE"/>
              <w:bottom w:val="single" w:sz="6" w:space="0" w:color="AEAEAE"/>
              <w:right w:val="single" w:sz="6" w:space="0" w:color="AEAEAE"/>
            </w:tcBorders>
            <w:vAlign w:val="center"/>
          </w:tcPr>
          <w:p w14:paraId="527DA117" w14:textId="77777777" w:rsidR="002D58E4" w:rsidRDefault="00F721D4" w:rsidP="002914A2">
            <w:pPr>
              <w:rPr>
                <w:b/>
                <w:sz w:val="20"/>
                <w:szCs w:val="20"/>
              </w:rPr>
            </w:pPr>
            <w:r>
              <w:rPr>
                <w:i/>
                <w:sz w:val="20"/>
                <w:szCs w:val="20"/>
              </w:rPr>
              <w:lastRenderedPageBreak/>
              <w:t>Borrelia</w:t>
            </w:r>
            <w:r>
              <w:rPr>
                <w:sz w:val="20"/>
                <w:szCs w:val="20"/>
              </w:rPr>
              <w:t xml:space="preserve"> infection was defined as development of physician-confirmed clinical Lyme borreliosis such as EM, or seroconversion for </w:t>
            </w:r>
            <w:r>
              <w:rPr>
                <w:i/>
                <w:sz w:val="20"/>
                <w:szCs w:val="20"/>
              </w:rPr>
              <w:t>Borrelia</w:t>
            </w:r>
            <w:r>
              <w:rPr>
                <w:sz w:val="20"/>
                <w:szCs w:val="20"/>
              </w:rPr>
              <w:t xml:space="preserve">-specific antibodies confirmed by two-tiered testing via C6 ELISA and IgM/IgG Immunoblots. </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899C659" w14:textId="77777777" w:rsidR="002D58E4" w:rsidRDefault="00F721D4" w:rsidP="002914A2">
            <w:pPr>
              <w:rPr>
                <w:sz w:val="20"/>
                <w:szCs w:val="20"/>
              </w:rPr>
            </w:pPr>
            <w:r>
              <w:rPr>
                <w:i/>
                <w:sz w:val="20"/>
                <w:szCs w:val="20"/>
              </w:rPr>
              <w:t>Borrelia burgdorferi</w:t>
            </w:r>
            <w:r>
              <w:rPr>
                <w:sz w:val="20"/>
                <w:szCs w:val="20"/>
              </w:rPr>
              <w:t xml:space="preserve"> sensu lato</w:t>
            </w:r>
          </w:p>
          <w:p w14:paraId="7E5B19BF" w14:textId="77777777" w:rsidR="002D58E4" w:rsidRDefault="00F721D4" w:rsidP="002914A2">
            <w:pPr>
              <w:rPr>
                <w:sz w:val="20"/>
                <w:szCs w:val="20"/>
              </w:rPr>
            </w:pPr>
            <w:r>
              <w:rPr>
                <w:sz w:val="20"/>
                <w:szCs w:val="20"/>
              </w:rPr>
              <w:t xml:space="preserve">DNA was detected in 92 out of 314 ticks collected (29.3%). </w:t>
            </w:r>
          </w:p>
          <w:p w14:paraId="07F7B74A" w14:textId="77777777" w:rsidR="002D58E4" w:rsidRDefault="002D58E4" w:rsidP="002914A2">
            <w:pPr>
              <w:rPr>
                <w:sz w:val="20"/>
                <w:szCs w:val="20"/>
              </w:rPr>
            </w:pPr>
          </w:p>
          <w:p w14:paraId="453F51F2" w14:textId="77777777" w:rsidR="002D58E4" w:rsidRDefault="00F721D4" w:rsidP="002914A2">
            <w:pPr>
              <w:rPr>
                <w:sz w:val="20"/>
                <w:szCs w:val="20"/>
              </w:rPr>
            </w:pPr>
            <w:r>
              <w:rPr>
                <w:sz w:val="20"/>
                <w:szCs w:val="20"/>
              </w:rPr>
              <w:t xml:space="preserve">Seroconversion for </w:t>
            </w:r>
            <w:r>
              <w:rPr>
                <w:i/>
                <w:sz w:val="20"/>
                <w:szCs w:val="20"/>
              </w:rPr>
              <w:t>Borrelia</w:t>
            </w:r>
            <w:r>
              <w:rPr>
                <w:sz w:val="20"/>
                <w:szCs w:val="20"/>
              </w:rPr>
              <w:t xml:space="preserve">-specific antibodies was observed in 3.2% of tick bite cases.  Fourteen tick bite cases had evidence of early </w:t>
            </w:r>
            <w:r>
              <w:rPr>
                <w:i/>
                <w:sz w:val="20"/>
                <w:szCs w:val="20"/>
              </w:rPr>
              <w:t>Borrelia</w:t>
            </w:r>
            <w:r>
              <w:rPr>
                <w:sz w:val="20"/>
                <w:szCs w:val="20"/>
              </w:rPr>
              <w:t xml:space="preserve"> infection, of which EM developed among seven cases. The risk of developing EM after tick bites was 2.6% (95%CI: 1.1%–5.0%), and the risk of either EM or seroconversion was 5.1% (95%CI: 2.9%–8.2%).</w:t>
            </w:r>
            <w:r>
              <w:t xml:space="preserve"> </w:t>
            </w:r>
            <w:r>
              <w:rPr>
                <w:b/>
                <w:sz w:val="20"/>
                <w:szCs w:val="20"/>
              </w:rPr>
              <w:t xml:space="preserve">Participants </w:t>
            </w:r>
            <w:r>
              <w:rPr>
                <w:b/>
                <w:sz w:val="20"/>
                <w:szCs w:val="20"/>
              </w:rPr>
              <w:lastRenderedPageBreak/>
              <w:t xml:space="preserve">with </w:t>
            </w:r>
            <w:r>
              <w:rPr>
                <w:b/>
                <w:i/>
                <w:sz w:val="20"/>
                <w:szCs w:val="20"/>
              </w:rPr>
              <w:t>Borrelia</w:t>
            </w:r>
            <w:r>
              <w:rPr>
                <w:b/>
                <w:sz w:val="20"/>
                <w:szCs w:val="20"/>
              </w:rPr>
              <w:t>-positive ticks had a significantly higher risk of either EM or seroconversion (odds ratio 4.8, 95%CI: 1.1–20.4).</w:t>
            </w:r>
          </w:p>
        </w:tc>
      </w:tr>
      <w:tr w:rsidR="002D58E4" w14:paraId="68D0EBEE" w14:textId="77777777" w:rsidTr="00E70FE5">
        <w:trPr>
          <w:trHeight w:val="1817"/>
        </w:trPr>
        <w:tc>
          <w:tcPr>
            <w:tcW w:w="11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4906BBD" w14:textId="77777777" w:rsidR="002D58E4" w:rsidRDefault="00F721D4" w:rsidP="002914A2">
            <w:pPr>
              <w:rPr>
                <w:sz w:val="20"/>
                <w:szCs w:val="20"/>
              </w:rPr>
            </w:pPr>
            <w:r>
              <w:rPr>
                <w:sz w:val="20"/>
                <w:szCs w:val="20"/>
              </w:rPr>
              <w:t>Hofhuis, 2017</w:t>
            </w:r>
          </w:p>
          <w:p w14:paraId="43821876" w14:textId="77777777" w:rsidR="002D58E4" w:rsidRDefault="002D58E4" w:rsidP="002914A2">
            <w:pPr>
              <w:rPr>
                <w:sz w:val="20"/>
                <w:szCs w:val="20"/>
              </w:rPr>
            </w:pPr>
          </w:p>
          <w:p w14:paraId="70F148CC" w14:textId="77777777" w:rsidR="002D58E4" w:rsidRDefault="00F721D4" w:rsidP="002914A2">
            <w:pPr>
              <w:rPr>
                <w:sz w:val="20"/>
                <w:szCs w:val="20"/>
              </w:rPr>
            </w:pPr>
            <w:r>
              <w:rPr>
                <w:sz w:val="20"/>
                <w:szCs w:val="20"/>
              </w:rPr>
              <w:t>Netherlands</w:t>
            </w:r>
          </w:p>
        </w:tc>
        <w:tc>
          <w:tcPr>
            <w:tcW w:w="875" w:type="dxa"/>
            <w:tcBorders>
              <w:top w:val="single" w:sz="6" w:space="0" w:color="AEAEAE"/>
              <w:left w:val="single" w:sz="6" w:space="0" w:color="AEAEAE"/>
              <w:bottom w:val="single" w:sz="6" w:space="0" w:color="AEAEAE"/>
              <w:right w:val="single" w:sz="6" w:space="0" w:color="AEAEAE"/>
            </w:tcBorders>
            <w:vAlign w:val="center"/>
          </w:tcPr>
          <w:p w14:paraId="7382A375" w14:textId="77777777" w:rsidR="002D58E4" w:rsidRDefault="00F721D4" w:rsidP="002914A2">
            <w:pPr>
              <w:rPr>
                <w:sz w:val="20"/>
                <w:szCs w:val="20"/>
              </w:rPr>
            </w:pPr>
            <w:r>
              <w:rPr>
                <w:sz w:val="20"/>
                <w:szCs w:val="20"/>
              </w:rPr>
              <w:t>Pooled analysis of Hofhuis 2013, Wilhelmsson 2016, and Sprong 2013 (Parasit Vectors. 2013 Dec 4;6:338)</w:t>
            </w:r>
          </w:p>
        </w:tc>
        <w:tc>
          <w:tcPr>
            <w:tcW w:w="540" w:type="dxa"/>
            <w:tcBorders>
              <w:top w:val="single" w:sz="6" w:space="0" w:color="AEAEAE"/>
              <w:left w:val="single" w:sz="6" w:space="0" w:color="AEAEAE"/>
              <w:bottom w:val="single" w:sz="6" w:space="0" w:color="AEAEAE"/>
              <w:right w:val="single" w:sz="6" w:space="0" w:color="AEAEAE"/>
            </w:tcBorders>
            <w:vAlign w:val="center"/>
          </w:tcPr>
          <w:p w14:paraId="75C5A853" w14:textId="77777777" w:rsidR="002D58E4" w:rsidRDefault="00F721D4" w:rsidP="002914A2">
            <w:pPr>
              <w:jc w:val="center"/>
              <w:rPr>
                <w:sz w:val="20"/>
                <w:szCs w:val="20"/>
              </w:rPr>
            </w:pPr>
            <w:r>
              <w:rPr>
                <w:sz w:val="20"/>
                <w:szCs w:val="20"/>
              </w:rPr>
              <w:t>NA</w:t>
            </w:r>
          </w:p>
        </w:tc>
        <w:tc>
          <w:tcPr>
            <w:tcW w:w="1870" w:type="dxa"/>
            <w:tcBorders>
              <w:top w:val="single" w:sz="6" w:space="0" w:color="AEAEAE"/>
              <w:left w:val="single" w:sz="6" w:space="0" w:color="AEAEAE"/>
              <w:bottom w:val="single" w:sz="6" w:space="0" w:color="AEAEAE"/>
              <w:right w:val="single" w:sz="6" w:space="0" w:color="AEAEAE"/>
            </w:tcBorders>
            <w:vAlign w:val="center"/>
          </w:tcPr>
          <w:p w14:paraId="3AD77CDA" w14:textId="77777777" w:rsidR="002D58E4" w:rsidRDefault="00F721D4" w:rsidP="002914A2">
            <w:pPr>
              <w:rPr>
                <w:sz w:val="20"/>
                <w:szCs w:val="20"/>
              </w:rPr>
            </w:pPr>
            <w:r>
              <w:rPr>
                <w:sz w:val="20"/>
                <w:szCs w:val="20"/>
              </w:rPr>
              <w:t>3,525 single tick bite reports extracted from three large prospective studies, with 50 reports of Lyme borreliosis during the follow-up period, among 1,973 reports with known outcome.</w:t>
            </w:r>
          </w:p>
        </w:tc>
        <w:tc>
          <w:tcPr>
            <w:tcW w:w="198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7DD850B" w14:textId="77777777" w:rsidR="002D58E4" w:rsidRDefault="00F721D4" w:rsidP="002914A2">
            <w:pPr>
              <w:rPr>
                <w:sz w:val="20"/>
                <w:szCs w:val="20"/>
              </w:rPr>
            </w:pPr>
            <w:r>
              <w:rPr>
                <w:sz w:val="20"/>
                <w:szCs w:val="20"/>
              </w:rPr>
              <w:t>ND</w:t>
            </w:r>
          </w:p>
        </w:tc>
        <w:tc>
          <w:tcPr>
            <w:tcW w:w="241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845ECA3" w14:textId="77777777" w:rsidR="002D58E4" w:rsidRDefault="00F721D4" w:rsidP="002914A2">
            <w:pPr>
              <w:rPr>
                <w:sz w:val="20"/>
                <w:szCs w:val="20"/>
              </w:rPr>
            </w:pPr>
            <w:r>
              <w:rPr>
                <w:sz w:val="20"/>
                <w:szCs w:val="20"/>
              </w:rPr>
              <w:t>All study participants were asked to fill out questionnaires at enrollment and at follow-up, including questions on duration of tick attachment in the skin, the number of tick bites, and development of Lyme borreliosis.</w:t>
            </w:r>
          </w:p>
        </w:tc>
        <w:tc>
          <w:tcPr>
            <w:tcW w:w="2126" w:type="dxa"/>
            <w:tcBorders>
              <w:top w:val="single" w:sz="6" w:space="0" w:color="AEAEAE"/>
              <w:left w:val="single" w:sz="6" w:space="0" w:color="AEAEAE"/>
              <w:bottom w:val="single" w:sz="6" w:space="0" w:color="AEAEAE"/>
              <w:right w:val="single" w:sz="6" w:space="0" w:color="AEAEAE"/>
            </w:tcBorders>
            <w:vAlign w:val="center"/>
          </w:tcPr>
          <w:p w14:paraId="7D93E395" w14:textId="77777777" w:rsidR="002D58E4" w:rsidRDefault="00F721D4" w:rsidP="002914A2">
            <w:pPr>
              <w:rPr>
                <w:b/>
                <w:sz w:val="20"/>
                <w:szCs w:val="20"/>
              </w:rPr>
            </w:pPr>
            <w:r>
              <w:rPr>
                <w:sz w:val="20"/>
                <w:szCs w:val="20"/>
              </w:rPr>
              <w:t>Lyme borreliosis within three months after a tick bite was categorized as “physician-confirmed erythema migrans” or “physician-confirmed disseminated Lyme borreliosis” when patient-reported Lyme borreliosis was confirmed by the general practitioner through an additional questionnaire.</w:t>
            </w:r>
          </w:p>
        </w:tc>
        <w:tc>
          <w:tcPr>
            <w:tcW w:w="3661"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D8EB813" w14:textId="77777777" w:rsidR="002D58E4" w:rsidRDefault="00F721D4" w:rsidP="002914A2">
            <w:pPr>
              <w:rPr>
                <w:sz w:val="20"/>
                <w:szCs w:val="20"/>
              </w:rPr>
            </w:pPr>
            <w:r>
              <w:rPr>
                <w:sz w:val="20"/>
                <w:szCs w:val="20"/>
              </w:rPr>
              <w:t xml:space="preserve">The overall risk of developing Lyme borreliosis after a tick bite was 2.6% (95%CI 1.4–5.1). The risk increased with degree of tick engorgement, increased duration of tick attachment, and detection of </w:t>
            </w:r>
            <w:r>
              <w:rPr>
                <w:i/>
                <w:sz w:val="20"/>
                <w:szCs w:val="20"/>
              </w:rPr>
              <w:t>Borrelia burgdorferi</w:t>
            </w:r>
            <w:r>
              <w:rPr>
                <w:sz w:val="20"/>
                <w:szCs w:val="20"/>
              </w:rPr>
              <w:t xml:space="preserve"> s.l. DNA in ticks. </w:t>
            </w:r>
          </w:p>
          <w:p w14:paraId="57388EF0" w14:textId="77777777" w:rsidR="002D58E4" w:rsidRDefault="002D58E4" w:rsidP="002914A2">
            <w:pPr>
              <w:rPr>
                <w:sz w:val="20"/>
                <w:szCs w:val="20"/>
              </w:rPr>
            </w:pPr>
          </w:p>
          <w:p w14:paraId="2FD06574" w14:textId="77777777" w:rsidR="002D58E4" w:rsidRDefault="00F721D4" w:rsidP="002914A2">
            <w:pPr>
              <w:rPr>
                <w:sz w:val="20"/>
                <w:szCs w:val="20"/>
              </w:rPr>
            </w:pPr>
            <w:r>
              <w:rPr>
                <w:sz w:val="20"/>
                <w:szCs w:val="20"/>
              </w:rPr>
              <w:t>Detection of Borrelia DNA in the tick was the strongest and statistically significant predictor for the risk of developing Lyme borreliosis.</w:t>
            </w:r>
          </w:p>
        </w:tc>
      </w:tr>
    </w:tbl>
    <w:p w14:paraId="0F3F227B" w14:textId="59B9B92C" w:rsidR="002D58E4" w:rsidRDefault="00F721D4">
      <w:pPr>
        <w:spacing w:line="240" w:lineRule="auto"/>
        <w:sectPr w:rsidR="002D58E4" w:rsidSect="002914A2">
          <w:pgSz w:w="15840" w:h="12240"/>
          <w:pgMar w:top="720" w:right="531" w:bottom="993" w:left="720" w:header="720" w:footer="720" w:gutter="0"/>
          <w:cols w:space="720" w:equalWidth="0">
            <w:col w:w="14589"/>
          </w:cols>
        </w:sectPr>
      </w:pPr>
      <w:r>
        <w:rPr>
          <w:b/>
        </w:rPr>
        <w:t>*</w:t>
      </w:r>
      <w:r>
        <w:t xml:space="preserve"> Risk of Bias of Randomized Controlled Trial Data was assessed using the Cochrane Risk of Bias Tool and </w:t>
      </w:r>
      <w:r w:rsidR="002914A2">
        <w:t>a</w:t>
      </w:r>
      <w:r>
        <w:t>ssigned an overall rating of “High risk” “Unclear Risk” or “Low Risk”. Risk of Bias of Observational Data was rated on a scale from 0 (worst) to 9 (best) using the Newcastle-Ottawa Quality Assessment Scale for Observational Studies.</w:t>
      </w:r>
      <w:r>
        <w:br w:type="page"/>
      </w:r>
    </w:p>
    <w:p w14:paraId="041A91AB" w14:textId="77777777" w:rsidR="002D58E4" w:rsidRDefault="00F721D4">
      <w:pPr>
        <w:spacing w:after="0"/>
        <w:rPr>
          <w:b/>
          <w:sz w:val="32"/>
          <w:szCs w:val="32"/>
        </w:rPr>
      </w:pPr>
      <w:r>
        <w:rPr>
          <w:b/>
          <w:sz w:val="32"/>
          <w:szCs w:val="32"/>
        </w:rPr>
        <w:lastRenderedPageBreak/>
        <w:t xml:space="preserve">IV. </w:t>
      </w:r>
      <w:r>
        <w:rPr>
          <w:b/>
          <w:color w:val="000000"/>
          <w:sz w:val="32"/>
          <w:szCs w:val="32"/>
        </w:rPr>
        <w:t xml:space="preserve">What is the </w:t>
      </w:r>
      <w:r>
        <w:rPr>
          <w:b/>
          <w:sz w:val="32"/>
          <w:szCs w:val="32"/>
        </w:rPr>
        <w:t xml:space="preserve">preferred antibiotic regimen </w:t>
      </w:r>
      <w:r>
        <w:rPr>
          <w:b/>
          <w:color w:val="000000"/>
          <w:sz w:val="32"/>
          <w:szCs w:val="32"/>
        </w:rPr>
        <w:t>for the chemoprophylaxis of Lyme disease following a high-risk tick bite?</w:t>
      </w:r>
    </w:p>
    <w:p w14:paraId="0A52FD74" w14:textId="77777777" w:rsidR="002D58E4" w:rsidRDefault="002D58E4">
      <w:pPr>
        <w:spacing w:after="0"/>
        <w:rPr>
          <w:b/>
          <w:color w:val="000000"/>
          <w:sz w:val="24"/>
          <w:szCs w:val="24"/>
          <w:u w:val="single"/>
        </w:rPr>
      </w:pPr>
    </w:p>
    <w:p w14:paraId="2CD204B0" w14:textId="77777777" w:rsidR="002D58E4" w:rsidRDefault="00F721D4">
      <w:pPr>
        <w:spacing w:after="0"/>
        <w:rPr>
          <w:b/>
          <w:sz w:val="32"/>
          <w:szCs w:val="32"/>
        </w:rPr>
      </w:pPr>
      <w:r>
        <w:rPr>
          <w:b/>
          <w:color w:val="000000"/>
          <w:sz w:val="24"/>
          <w:szCs w:val="24"/>
          <w:u w:val="single"/>
        </w:rPr>
        <w:t>PROPHYLACTIC ANTIBIOTIC THERAPY vs. NO TREATMENT</w:t>
      </w:r>
    </w:p>
    <w:p w14:paraId="100A9A99" w14:textId="77777777" w:rsidR="002D58E4" w:rsidRDefault="00F721D4">
      <w:pPr>
        <w:spacing w:after="0"/>
        <w:rPr>
          <w:b/>
        </w:rPr>
      </w:pPr>
      <w:r>
        <w:rPr>
          <w:b/>
        </w:rPr>
        <w:t>In patients following a high-risk tick bite, should prophylactic antibiotic therapy be used over none?</w:t>
      </w:r>
    </w:p>
    <w:p w14:paraId="01D99E14" w14:textId="77777777" w:rsidR="002D58E4" w:rsidRDefault="00F721D4">
      <w:pPr>
        <w:spacing w:after="0"/>
      </w:pPr>
      <w:r>
        <w:t>P: In patients following a high-risk tick bite</w:t>
      </w:r>
    </w:p>
    <w:p w14:paraId="1492051D" w14:textId="77777777" w:rsidR="002D58E4" w:rsidRDefault="00F721D4">
      <w:pPr>
        <w:spacing w:after="0"/>
        <w:rPr>
          <w:highlight w:val="yellow"/>
        </w:rPr>
      </w:pPr>
      <w:r>
        <w:t xml:space="preserve">I: Prophylactic antibiotic therapy </w:t>
      </w:r>
    </w:p>
    <w:p w14:paraId="40DAE495" w14:textId="77777777" w:rsidR="002D58E4" w:rsidRDefault="00F721D4">
      <w:pPr>
        <w:spacing w:after="0"/>
      </w:pPr>
      <w:r>
        <w:t>C: No treatment</w:t>
      </w:r>
    </w:p>
    <w:p w14:paraId="287FF7B4" w14:textId="77777777" w:rsidR="002D58E4" w:rsidRDefault="002D58E4">
      <w:pPr>
        <w:spacing w:after="0"/>
        <w:rPr>
          <w:b/>
          <w:color w:val="000000"/>
          <w:sz w:val="18"/>
          <w:szCs w:val="18"/>
        </w:rPr>
      </w:pPr>
    </w:p>
    <w:p w14:paraId="504E8A7C" w14:textId="77777777" w:rsidR="002D58E4" w:rsidRDefault="00F721D4">
      <w:pPr>
        <w:spacing w:after="0"/>
        <w:rPr>
          <w:color w:val="000000"/>
          <w:sz w:val="18"/>
          <w:szCs w:val="18"/>
        </w:rPr>
      </w:pPr>
      <w:bookmarkStart w:id="10" w:name="_4d34og8" w:colFirst="0" w:colLast="0"/>
      <w:bookmarkEnd w:id="10"/>
      <w:r>
        <w:rPr>
          <w:b/>
          <w:color w:val="000000"/>
          <w:sz w:val="18"/>
          <w:szCs w:val="18"/>
        </w:rPr>
        <w:t>Bibliography</w:t>
      </w:r>
      <w:r>
        <w:rPr>
          <w:color w:val="000000"/>
          <w:sz w:val="18"/>
          <w:szCs w:val="18"/>
        </w:rPr>
        <w:t>: 1. Agre, et al.</w:t>
      </w:r>
      <w:r>
        <w:t xml:space="preserve"> </w:t>
      </w:r>
      <w:r>
        <w:rPr>
          <w:color w:val="000000"/>
          <w:sz w:val="18"/>
          <w:szCs w:val="18"/>
        </w:rPr>
        <w:t>Am J Dis Child. 1993 Sep;147(9):945-7 (PEDIATRIC); 2. Costello, et al. J Infect Dis. 1989 Jan;159(1):136-9; 3.  Nadelman, et al. N Engl J Med. 2001 Jul 12;345(2):79-84; 4. Shapiro, et al. N Engl J Med. 1992 Dec 17;327(25):1769-73.</w:t>
      </w:r>
    </w:p>
    <w:tbl>
      <w:tblPr>
        <w:tblStyle w:val="a6"/>
        <w:tblW w:w="14427"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9"/>
        <w:gridCol w:w="709"/>
        <w:gridCol w:w="850"/>
        <w:gridCol w:w="1380"/>
        <w:gridCol w:w="1030"/>
        <w:gridCol w:w="1134"/>
        <w:gridCol w:w="961"/>
        <w:gridCol w:w="1189"/>
        <w:gridCol w:w="948"/>
        <w:gridCol w:w="1292"/>
        <w:gridCol w:w="1847"/>
        <w:gridCol w:w="1199"/>
        <w:gridCol w:w="1179"/>
      </w:tblGrid>
      <w:tr w:rsidR="00830F11" w14:paraId="38F4A490" w14:textId="77777777" w:rsidTr="00E70FE5">
        <w:tc>
          <w:tcPr>
            <w:tcW w:w="6773"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70238592" w14:textId="77777777" w:rsidR="00830F11" w:rsidRDefault="00830F11">
            <w:pPr>
              <w:jc w:val="center"/>
              <w:rPr>
                <w:b/>
                <w:sz w:val="20"/>
                <w:szCs w:val="20"/>
              </w:rPr>
            </w:pPr>
            <w:r>
              <w:rPr>
                <w:b/>
                <w:sz w:val="20"/>
                <w:szCs w:val="20"/>
              </w:rPr>
              <w:t>Certainty assessment</w:t>
            </w:r>
          </w:p>
        </w:tc>
        <w:tc>
          <w:tcPr>
            <w:tcW w:w="213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1DC819AB" w14:textId="77777777" w:rsidR="00830F11" w:rsidRDefault="00830F11">
            <w:pPr>
              <w:jc w:val="center"/>
              <w:rPr>
                <w:b/>
                <w:sz w:val="20"/>
                <w:szCs w:val="20"/>
              </w:rPr>
            </w:pPr>
            <w:r>
              <w:rPr>
                <w:b/>
                <w:sz w:val="20"/>
                <w:szCs w:val="20"/>
              </w:rPr>
              <w:t>№ of events/№ of patients</w:t>
            </w:r>
          </w:p>
        </w:tc>
        <w:tc>
          <w:tcPr>
            <w:tcW w:w="313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08D70B1" w14:textId="77777777" w:rsidR="00830F11" w:rsidRDefault="00830F11">
            <w:pPr>
              <w:jc w:val="center"/>
              <w:rPr>
                <w:b/>
                <w:sz w:val="20"/>
                <w:szCs w:val="20"/>
              </w:rPr>
            </w:pPr>
            <w:r>
              <w:rPr>
                <w:b/>
                <w:sz w:val="20"/>
                <w:szCs w:val="20"/>
              </w:rPr>
              <w:t>Effect</w:t>
            </w:r>
          </w:p>
        </w:tc>
        <w:tc>
          <w:tcPr>
            <w:tcW w:w="1199" w:type="dxa"/>
            <w:vMerge w:val="restart"/>
            <w:tcBorders>
              <w:top w:val="single" w:sz="6" w:space="0" w:color="000000"/>
              <w:left w:val="single" w:sz="6" w:space="0" w:color="000000"/>
              <w:right w:val="single" w:sz="6" w:space="0" w:color="000000"/>
            </w:tcBorders>
            <w:shd w:val="clear" w:color="auto" w:fill="D9D9D9"/>
            <w:vAlign w:val="center"/>
          </w:tcPr>
          <w:p w14:paraId="6D28F949" w14:textId="6E114A6D" w:rsidR="00830F11" w:rsidRDefault="00830F11">
            <w:pPr>
              <w:jc w:val="center"/>
              <w:rPr>
                <w:b/>
                <w:sz w:val="20"/>
                <w:szCs w:val="20"/>
              </w:rPr>
            </w:pPr>
            <w:r>
              <w:rPr>
                <w:b/>
                <w:sz w:val="20"/>
                <w:szCs w:val="20"/>
              </w:rPr>
              <w:t xml:space="preserve">Certainty </w:t>
            </w:r>
          </w:p>
        </w:tc>
        <w:tc>
          <w:tcPr>
            <w:tcW w:w="1177" w:type="dxa"/>
            <w:vMerge w:val="restart"/>
            <w:tcBorders>
              <w:top w:val="single" w:sz="6" w:space="0" w:color="000000"/>
              <w:left w:val="single" w:sz="6" w:space="0" w:color="000000"/>
              <w:right w:val="single" w:sz="6" w:space="0" w:color="000000"/>
            </w:tcBorders>
            <w:shd w:val="clear" w:color="auto" w:fill="D9D9D9"/>
            <w:vAlign w:val="center"/>
          </w:tcPr>
          <w:p w14:paraId="57F04E31" w14:textId="77777777" w:rsidR="00830F11" w:rsidRDefault="00830F11">
            <w:pPr>
              <w:jc w:val="center"/>
              <w:rPr>
                <w:b/>
                <w:sz w:val="20"/>
                <w:szCs w:val="20"/>
              </w:rPr>
            </w:pPr>
            <w:r>
              <w:rPr>
                <w:b/>
                <w:sz w:val="20"/>
                <w:szCs w:val="20"/>
              </w:rPr>
              <w:t>Importance</w:t>
            </w:r>
          </w:p>
        </w:tc>
      </w:tr>
      <w:tr w:rsidR="00830F11" w14:paraId="742E4EC3" w14:textId="77777777" w:rsidTr="00E70FE5">
        <w:tc>
          <w:tcPr>
            <w:tcW w:w="7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C59FE55" w14:textId="77777777" w:rsidR="00830F11" w:rsidRDefault="00830F11">
            <w:pPr>
              <w:jc w:val="center"/>
              <w:rPr>
                <w:b/>
                <w:sz w:val="20"/>
                <w:szCs w:val="20"/>
              </w:rPr>
            </w:pPr>
            <w:r>
              <w:rPr>
                <w:b/>
                <w:sz w:val="20"/>
                <w:szCs w:val="20"/>
              </w:rPr>
              <w:t>№ of studies</w:t>
            </w:r>
          </w:p>
        </w:tc>
        <w:tc>
          <w:tcPr>
            <w:tcW w:w="7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7ECA6F" w14:textId="77777777" w:rsidR="00830F11" w:rsidRDefault="00830F11">
            <w:pPr>
              <w:jc w:val="center"/>
              <w:rPr>
                <w:b/>
                <w:sz w:val="20"/>
                <w:szCs w:val="20"/>
              </w:rPr>
            </w:pPr>
            <w:r>
              <w:rPr>
                <w:b/>
                <w:sz w:val="20"/>
                <w:szCs w:val="20"/>
              </w:rPr>
              <w:t>Study design</w:t>
            </w:r>
          </w:p>
        </w:tc>
        <w:tc>
          <w:tcPr>
            <w:tcW w:w="85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228F012" w14:textId="77777777" w:rsidR="00830F11" w:rsidRDefault="00830F11">
            <w:pPr>
              <w:jc w:val="center"/>
              <w:rPr>
                <w:b/>
                <w:sz w:val="20"/>
                <w:szCs w:val="20"/>
              </w:rPr>
            </w:pPr>
            <w:r>
              <w:rPr>
                <w:b/>
                <w:sz w:val="20"/>
                <w:szCs w:val="20"/>
              </w:rPr>
              <w:t>Risk of bias</w:t>
            </w:r>
          </w:p>
        </w:tc>
        <w:tc>
          <w:tcPr>
            <w:tcW w:w="13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78EC406" w14:textId="77777777" w:rsidR="00830F11" w:rsidRDefault="00830F11">
            <w:pPr>
              <w:jc w:val="center"/>
              <w:rPr>
                <w:b/>
                <w:sz w:val="20"/>
                <w:szCs w:val="20"/>
              </w:rPr>
            </w:pPr>
            <w:r>
              <w:rPr>
                <w:b/>
                <w:sz w:val="20"/>
                <w:szCs w:val="20"/>
              </w:rPr>
              <w:t>Inconsistency</w:t>
            </w:r>
          </w:p>
        </w:tc>
        <w:tc>
          <w:tcPr>
            <w:tcW w:w="103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B02D9CC" w14:textId="77777777" w:rsidR="00830F11" w:rsidRDefault="00830F11">
            <w:pPr>
              <w:jc w:val="center"/>
              <w:rPr>
                <w:b/>
                <w:sz w:val="20"/>
                <w:szCs w:val="20"/>
              </w:rPr>
            </w:pPr>
            <w:r>
              <w:rPr>
                <w:b/>
                <w:sz w:val="20"/>
                <w:szCs w:val="20"/>
              </w:rPr>
              <w:t>Indirectness</w:t>
            </w:r>
          </w:p>
        </w:tc>
        <w:tc>
          <w:tcPr>
            <w:tcW w:w="11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76A22C1" w14:textId="77777777" w:rsidR="00830F11" w:rsidRDefault="00830F11">
            <w:pPr>
              <w:jc w:val="center"/>
              <w:rPr>
                <w:b/>
                <w:sz w:val="20"/>
                <w:szCs w:val="20"/>
              </w:rPr>
            </w:pPr>
            <w:r>
              <w:rPr>
                <w:b/>
                <w:sz w:val="20"/>
                <w:szCs w:val="20"/>
              </w:rPr>
              <w:t>Imprecision</w:t>
            </w:r>
          </w:p>
        </w:tc>
        <w:tc>
          <w:tcPr>
            <w:tcW w:w="96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DC41012" w14:textId="77777777" w:rsidR="00830F11" w:rsidRDefault="00830F11">
            <w:pPr>
              <w:jc w:val="center"/>
              <w:rPr>
                <w:b/>
                <w:sz w:val="20"/>
                <w:szCs w:val="20"/>
              </w:rPr>
            </w:pPr>
            <w:r>
              <w:rPr>
                <w:b/>
                <w:sz w:val="20"/>
                <w:szCs w:val="20"/>
              </w:rPr>
              <w:t>Other considerations</w:t>
            </w:r>
          </w:p>
        </w:tc>
        <w:tc>
          <w:tcPr>
            <w:tcW w:w="118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A940BB" w14:textId="77777777" w:rsidR="00830F11" w:rsidRDefault="00830F11">
            <w:pPr>
              <w:jc w:val="center"/>
              <w:rPr>
                <w:b/>
                <w:sz w:val="20"/>
                <w:szCs w:val="20"/>
              </w:rPr>
            </w:pPr>
            <w:r>
              <w:rPr>
                <w:b/>
                <w:sz w:val="20"/>
                <w:szCs w:val="20"/>
              </w:rPr>
              <w:t>Antibiotic prophylaxis</w:t>
            </w:r>
          </w:p>
        </w:tc>
        <w:tc>
          <w:tcPr>
            <w:tcW w:w="94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2516A1" w14:textId="77777777" w:rsidR="00830F11" w:rsidRDefault="00830F11">
            <w:pPr>
              <w:jc w:val="center"/>
              <w:rPr>
                <w:b/>
                <w:sz w:val="20"/>
                <w:szCs w:val="20"/>
              </w:rPr>
            </w:pPr>
            <w:r>
              <w:rPr>
                <w:b/>
                <w:sz w:val="20"/>
                <w:szCs w:val="20"/>
              </w:rPr>
              <w:t>Placebo</w:t>
            </w:r>
          </w:p>
        </w:tc>
        <w:tc>
          <w:tcPr>
            <w:tcW w:w="12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E21060" w14:textId="77777777" w:rsidR="00830F11" w:rsidRDefault="00830F11">
            <w:pPr>
              <w:jc w:val="center"/>
              <w:rPr>
                <w:b/>
                <w:sz w:val="20"/>
                <w:szCs w:val="20"/>
              </w:rPr>
            </w:pPr>
            <w:r>
              <w:rPr>
                <w:b/>
                <w:sz w:val="20"/>
                <w:szCs w:val="20"/>
              </w:rPr>
              <w:t>Relative</w:t>
            </w:r>
            <w:r>
              <w:rPr>
                <w:b/>
                <w:sz w:val="20"/>
                <w:szCs w:val="20"/>
              </w:rPr>
              <w:br/>
              <w:t>(95% CI)</w:t>
            </w:r>
          </w:p>
        </w:tc>
        <w:tc>
          <w:tcPr>
            <w:tcW w:w="184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19B36AD" w14:textId="77777777" w:rsidR="00830F11" w:rsidRDefault="00830F11">
            <w:pPr>
              <w:jc w:val="center"/>
              <w:rPr>
                <w:b/>
                <w:sz w:val="20"/>
                <w:szCs w:val="20"/>
              </w:rPr>
            </w:pPr>
            <w:r>
              <w:rPr>
                <w:b/>
                <w:sz w:val="20"/>
                <w:szCs w:val="20"/>
              </w:rPr>
              <w:t>Absolute</w:t>
            </w:r>
            <w:r>
              <w:rPr>
                <w:b/>
                <w:sz w:val="20"/>
                <w:szCs w:val="20"/>
              </w:rPr>
              <w:br/>
              <w:t>(95% CI)</w:t>
            </w:r>
          </w:p>
        </w:tc>
        <w:tc>
          <w:tcPr>
            <w:tcW w:w="1199" w:type="dxa"/>
            <w:vMerge/>
            <w:tcBorders>
              <w:left w:val="single" w:sz="6" w:space="0" w:color="000000"/>
              <w:bottom w:val="single" w:sz="6" w:space="0" w:color="000000"/>
              <w:right w:val="single" w:sz="6" w:space="0" w:color="000000"/>
            </w:tcBorders>
            <w:shd w:val="clear" w:color="auto" w:fill="D9D9D9"/>
            <w:vAlign w:val="center"/>
          </w:tcPr>
          <w:p w14:paraId="7A8D51CD" w14:textId="77777777" w:rsidR="00830F11" w:rsidRDefault="00830F11">
            <w:pPr>
              <w:rPr>
                <w:b/>
                <w:sz w:val="20"/>
                <w:szCs w:val="20"/>
              </w:rPr>
            </w:pPr>
          </w:p>
        </w:tc>
        <w:tc>
          <w:tcPr>
            <w:tcW w:w="1177" w:type="dxa"/>
            <w:vMerge/>
            <w:tcBorders>
              <w:left w:val="single" w:sz="6" w:space="0" w:color="000000"/>
              <w:bottom w:val="single" w:sz="6" w:space="0" w:color="000000"/>
              <w:right w:val="single" w:sz="6" w:space="0" w:color="000000"/>
            </w:tcBorders>
            <w:shd w:val="clear" w:color="auto" w:fill="D9D9D9"/>
            <w:vAlign w:val="center"/>
          </w:tcPr>
          <w:p w14:paraId="1A882634" w14:textId="77777777" w:rsidR="00830F11" w:rsidRDefault="00830F11">
            <w:pPr>
              <w:rPr>
                <w:b/>
                <w:sz w:val="20"/>
                <w:szCs w:val="20"/>
              </w:rPr>
            </w:pPr>
          </w:p>
        </w:tc>
      </w:tr>
      <w:tr w:rsidR="002D58E4" w14:paraId="557F2554" w14:textId="77777777" w:rsidTr="00E70FE5">
        <w:trPr>
          <w:trHeight w:val="480"/>
        </w:trPr>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F907FAF" w14:textId="77777777" w:rsidR="002D58E4" w:rsidRDefault="00F721D4">
            <w:pPr>
              <w:rPr>
                <w:sz w:val="20"/>
                <w:szCs w:val="20"/>
              </w:rPr>
            </w:pPr>
            <w:r>
              <w:rPr>
                <w:b/>
                <w:sz w:val="20"/>
                <w:szCs w:val="20"/>
              </w:rPr>
              <w:t xml:space="preserve">Clinical evidence of Lyme disease after treatment </w:t>
            </w:r>
            <w:r>
              <w:rPr>
                <w:b/>
              </w:rPr>
              <w:t>*</w:t>
            </w:r>
          </w:p>
        </w:tc>
      </w:tr>
      <w:tr w:rsidR="002D58E4" w14:paraId="1B378774" w14:textId="77777777" w:rsidTr="00E70FE5">
        <w:tc>
          <w:tcPr>
            <w:tcW w:w="709" w:type="dxa"/>
            <w:tcBorders>
              <w:top w:val="single" w:sz="6" w:space="0" w:color="000000"/>
              <w:left w:val="single" w:sz="6" w:space="0" w:color="000000"/>
              <w:bottom w:val="single" w:sz="6" w:space="0" w:color="000000"/>
              <w:right w:val="single" w:sz="6" w:space="0" w:color="000000"/>
            </w:tcBorders>
          </w:tcPr>
          <w:p w14:paraId="09C7EFAB" w14:textId="77777777" w:rsidR="002D58E4" w:rsidRDefault="00F721D4">
            <w:pPr>
              <w:rPr>
                <w:sz w:val="20"/>
                <w:szCs w:val="20"/>
              </w:rPr>
            </w:pPr>
            <w:r>
              <w:rPr>
                <w:sz w:val="20"/>
                <w:szCs w:val="20"/>
              </w:rPr>
              <w:t xml:space="preserve">4 </w:t>
            </w:r>
          </w:p>
        </w:tc>
        <w:tc>
          <w:tcPr>
            <w:tcW w:w="709" w:type="dxa"/>
            <w:tcBorders>
              <w:top w:val="single" w:sz="6" w:space="0" w:color="000000"/>
              <w:left w:val="single" w:sz="6" w:space="0" w:color="000000"/>
              <w:bottom w:val="single" w:sz="6" w:space="0" w:color="000000"/>
              <w:right w:val="single" w:sz="6" w:space="0" w:color="000000"/>
            </w:tcBorders>
          </w:tcPr>
          <w:p w14:paraId="56423907" w14:textId="77777777" w:rsidR="002D58E4" w:rsidRDefault="00F721D4">
            <w:pPr>
              <w:rPr>
                <w:sz w:val="20"/>
                <w:szCs w:val="20"/>
              </w:rPr>
            </w:pPr>
            <w:r>
              <w:rPr>
                <w:sz w:val="20"/>
                <w:szCs w:val="20"/>
              </w:rPr>
              <w:t xml:space="preserve">RCT </w:t>
            </w:r>
            <w:r>
              <w:rPr>
                <w:sz w:val="20"/>
                <w:szCs w:val="20"/>
                <w:vertAlign w:val="superscript"/>
              </w:rPr>
              <w:t>1-4</w:t>
            </w:r>
          </w:p>
        </w:tc>
        <w:tc>
          <w:tcPr>
            <w:tcW w:w="850" w:type="dxa"/>
            <w:tcBorders>
              <w:top w:val="single" w:sz="6" w:space="0" w:color="000000"/>
              <w:left w:val="single" w:sz="6" w:space="0" w:color="000000"/>
              <w:bottom w:val="single" w:sz="6" w:space="0" w:color="000000"/>
              <w:right w:val="single" w:sz="6" w:space="0" w:color="000000"/>
            </w:tcBorders>
          </w:tcPr>
          <w:p w14:paraId="4592AD71" w14:textId="77777777" w:rsidR="002D58E4" w:rsidRDefault="00F721D4">
            <w:pPr>
              <w:rPr>
                <w:sz w:val="20"/>
                <w:szCs w:val="20"/>
              </w:rPr>
            </w:pPr>
            <w:r>
              <w:rPr>
                <w:sz w:val="20"/>
                <w:szCs w:val="20"/>
              </w:rPr>
              <w:t>not serious</w:t>
            </w:r>
          </w:p>
        </w:tc>
        <w:tc>
          <w:tcPr>
            <w:tcW w:w="1380" w:type="dxa"/>
            <w:tcBorders>
              <w:top w:val="single" w:sz="6" w:space="0" w:color="000000"/>
              <w:left w:val="single" w:sz="6" w:space="0" w:color="000000"/>
              <w:bottom w:val="single" w:sz="6" w:space="0" w:color="000000"/>
              <w:right w:val="single" w:sz="6" w:space="0" w:color="000000"/>
            </w:tcBorders>
          </w:tcPr>
          <w:p w14:paraId="2714911C" w14:textId="77777777" w:rsidR="002D58E4" w:rsidRDefault="00F721D4">
            <w:pPr>
              <w:rPr>
                <w:sz w:val="20"/>
                <w:szCs w:val="20"/>
              </w:rPr>
            </w:pPr>
            <w:r>
              <w:rPr>
                <w:sz w:val="20"/>
                <w:szCs w:val="20"/>
              </w:rPr>
              <w:t xml:space="preserve">not serious </w:t>
            </w:r>
          </w:p>
        </w:tc>
        <w:tc>
          <w:tcPr>
            <w:tcW w:w="1030" w:type="dxa"/>
            <w:tcBorders>
              <w:top w:val="single" w:sz="6" w:space="0" w:color="000000"/>
              <w:left w:val="single" w:sz="6" w:space="0" w:color="000000"/>
              <w:bottom w:val="single" w:sz="6" w:space="0" w:color="000000"/>
              <w:right w:val="single" w:sz="6" w:space="0" w:color="000000"/>
            </w:tcBorders>
          </w:tcPr>
          <w:p w14:paraId="5B0F9678"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000C5563" w14:textId="77777777" w:rsidR="002D58E4" w:rsidRDefault="00F721D4">
            <w:pPr>
              <w:rPr>
                <w:sz w:val="20"/>
                <w:szCs w:val="20"/>
              </w:rPr>
            </w:pPr>
            <w:r>
              <w:rPr>
                <w:sz w:val="20"/>
                <w:szCs w:val="20"/>
              </w:rPr>
              <w:t xml:space="preserve">not serious </w:t>
            </w:r>
            <w:r>
              <w:rPr>
                <w:sz w:val="20"/>
                <w:szCs w:val="20"/>
                <w:vertAlign w:val="superscript"/>
              </w:rPr>
              <w:t xml:space="preserve">a </w:t>
            </w:r>
          </w:p>
        </w:tc>
        <w:tc>
          <w:tcPr>
            <w:tcW w:w="961" w:type="dxa"/>
            <w:tcBorders>
              <w:top w:val="single" w:sz="6" w:space="0" w:color="000000"/>
              <w:left w:val="single" w:sz="6" w:space="0" w:color="000000"/>
              <w:bottom w:val="single" w:sz="6" w:space="0" w:color="000000"/>
              <w:right w:val="single" w:sz="6" w:space="0" w:color="000000"/>
            </w:tcBorders>
          </w:tcPr>
          <w:p w14:paraId="743457A1" w14:textId="77777777" w:rsidR="002D58E4" w:rsidRDefault="00F721D4">
            <w:pPr>
              <w:rPr>
                <w:sz w:val="20"/>
                <w:szCs w:val="20"/>
              </w:rPr>
            </w:pPr>
            <w:r>
              <w:rPr>
                <w:sz w:val="20"/>
                <w:szCs w:val="20"/>
              </w:rPr>
              <w:t xml:space="preserve">none </w:t>
            </w:r>
          </w:p>
        </w:tc>
        <w:tc>
          <w:tcPr>
            <w:tcW w:w="1189" w:type="dxa"/>
            <w:tcBorders>
              <w:top w:val="single" w:sz="6" w:space="0" w:color="000000"/>
              <w:left w:val="single" w:sz="6" w:space="0" w:color="000000"/>
              <w:bottom w:val="single" w:sz="6" w:space="0" w:color="000000"/>
              <w:right w:val="single" w:sz="6" w:space="0" w:color="000000"/>
            </w:tcBorders>
          </w:tcPr>
          <w:p w14:paraId="1712C330" w14:textId="77777777" w:rsidR="002D58E4" w:rsidRDefault="00F721D4">
            <w:pPr>
              <w:jc w:val="center"/>
              <w:rPr>
                <w:sz w:val="20"/>
                <w:szCs w:val="20"/>
              </w:rPr>
            </w:pPr>
            <w:r>
              <w:rPr>
                <w:sz w:val="20"/>
                <w:szCs w:val="20"/>
              </w:rPr>
              <w:t xml:space="preserve">3/543 </w:t>
            </w:r>
          </w:p>
          <w:p w14:paraId="45D6C7C0" w14:textId="77777777" w:rsidR="002D58E4" w:rsidRDefault="00F721D4">
            <w:pPr>
              <w:jc w:val="center"/>
              <w:rPr>
                <w:sz w:val="20"/>
                <w:szCs w:val="20"/>
              </w:rPr>
            </w:pPr>
            <w:r>
              <w:rPr>
                <w:sz w:val="20"/>
                <w:szCs w:val="20"/>
              </w:rPr>
              <w:t xml:space="preserve">(0.6%) </w:t>
            </w:r>
          </w:p>
        </w:tc>
        <w:tc>
          <w:tcPr>
            <w:tcW w:w="948" w:type="dxa"/>
            <w:tcBorders>
              <w:top w:val="single" w:sz="6" w:space="0" w:color="000000"/>
              <w:left w:val="single" w:sz="6" w:space="0" w:color="000000"/>
              <w:bottom w:val="single" w:sz="6" w:space="0" w:color="000000"/>
              <w:right w:val="single" w:sz="6" w:space="0" w:color="000000"/>
            </w:tcBorders>
          </w:tcPr>
          <w:p w14:paraId="5BB9FD3F" w14:textId="77777777" w:rsidR="002D58E4" w:rsidRDefault="00F721D4">
            <w:pPr>
              <w:jc w:val="center"/>
              <w:rPr>
                <w:sz w:val="20"/>
                <w:szCs w:val="20"/>
              </w:rPr>
            </w:pPr>
            <w:r>
              <w:rPr>
                <w:sz w:val="20"/>
                <w:szCs w:val="20"/>
              </w:rPr>
              <w:t xml:space="preserve">16/539 </w:t>
            </w:r>
          </w:p>
          <w:p w14:paraId="09353454" w14:textId="77777777" w:rsidR="002D58E4" w:rsidRDefault="00F721D4">
            <w:pPr>
              <w:jc w:val="center"/>
              <w:rPr>
                <w:sz w:val="20"/>
                <w:szCs w:val="20"/>
              </w:rPr>
            </w:pPr>
            <w:r>
              <w:rPr>
                <w:sz w:val="20"/>
                <w:szCs w:val="20"/>
              </w:rPr>
              <w:t xml:space="preserve">(3.0%) </w:t>
            </w:r>
          </w:p>
        </w:tc>
        <w:tc>
          <w:tcPr>
            <w:tcW w:w="1292" w:type="dxa"/>
            <w:tcBorders>
              <w:top w:val="single" w:sz="6" w:space="0" w:color="000000"/>
              <w:left w:val="single" w:sz="6" w:space="0" w:color="000000"/>
              <w:bottom w:val="single" w:sz="6" w:space="0" w:color="000000"/>
              <w:right w:val="single" w:sz="6" w:space="0" w:color="000000"/>
            </w:tcBorders>
          </w:tcPr>
          <w:p w14:paraId="59253735" w14:textId="77777777" w:rsidR="002D58E4" w:rsidRDefault="00F721D4">
            <w:pPr>
              <w:jc w:val="center"/>
              <w:rPr>
                <w:b/>
                <w:sz w:val="20"/>
                <w:szCs w:val="20"/>
              </w:rPr>
            </w:pPr>
            <w:r>
              <w:rPr>
                <w:b/>
                <w:sz w:val="20"/>
                <w:szCs w:val="20"/>
              </w:rPr>
              <w:t>RR 0.27</w:t>
            </w:r>
            <w:r>
              <w:rPr>
                <w:b/>
                <w:sz w:val="20"/>
                <w:szCs w:val="20"/>
              </w:rPr>
              <w:br/>
              <w:t xml:space="preserve">(0.10 to 0.75) </w:t>
            </w:r>
          </w:p>
        </w:tc>
        <w:tc>
          <w:tcPr>
            <w:tcW w:w="1847" w:type="dxa"/>
            <w:tcBorders>
              <w:top w:val="single" w:sz="6" w:space="0" w:color="000000"/>
              <w:left w:val="single" w:sz="6" w:space="0" w:color="000000"/>
              <w:bottom w:val="single" w:sz="6" w:space="0" w:color="000000"/>
              <w:right w:val="single" w:sz="6" w:space="0" w:color="000000"/>
            </w:tcBorders>
          </w:tcPr>
          <w:p w14:paraId="03C3CB0B" w14:textId="77777777" w:rsidR="002D58E4" w:rsidRDefault="00F721D4">
            <w:pPr>
              <w:jc w:val="center"/>
              <w:rPr>
                <w:sz w:val="20"/>
                <w:szCs w:val="20"/>
              </w:rPr>
            </w:pPr>
            <w:r>
              <w:rPr>
                <w:b/>
                <w:sz w:val="20"/>
                <w:szCs w:val="20"/>
              </w:rPr>
              <w:t>22 fewer per 1,000</w:t>
            </w:r>
            <w:r>
              <w:rPr>
                <w:sz w:val="20"/>
                <w:szCs w:val="20"/>
              </w:rPr>
              <w:br/>
            </w:r>
            <w:r>
              <w:rPr>
                <w:b/>
                <w:sz w:val="20"/>
                <w:szCs w:val="20"/>
              </w:rPr>
              <w:t xml:space="preserve">(from 7 fewer to 27 fewer) </w:t>
            </w:r>
          </w:p>
        </w:tc>
        <w:tc>
          <w:tcPr>
            <w:tcW w:w="1199" w:type="dxa"/>
            <w:tcBorders>
              <w:top w:val="single" w:sz="6" w:space="0" w:color="000000"/>
              <w:left w:val="single" w:sz="6" w:space="0" w:color="000000"/>
              <w:bottom w:val="single" w:sz="6" w:space="0" w:color="000000"/>
              <w:right w:val="single" w:sz="6" w:space="0" w:color="000000"/>
            </w:tcBorders>
          </w:tcPr>
          <w:p w14:paraId="09510FDC" w14:textId="77777777" w:rsidR="002D58E4" w:rsidRDefault="00F721D4">
            <w:pPr>
              <w:jc w:val="center"/>
              <w:rPr>
                <w:sz w:val="20"/>
                <w:szCs w:val="20"/>
              </w:rPr>
            </w:pPr>
            <w:r>
              <w:rPr>
                <w:rFonts w:ascii="Cambria Math" w:eastAsia="Cambria Math" w:hAnsi="Cambria Math" w:cs="Cambria Math"/>
                <w:sz w:val="20"/>
                <w:szCs w:val="20"/>
              </w:rPr>
              <w:t>⨁⨁⨁⨁</w:t>
            </w:r>
            <w:r>
              <w:rPr>
                <w:sz w:val="20"/>
                <w:szCs w:val="20"/>
              </w:rPr>
              <w:br/>
              <w:t xml:space="preserve">HIGH </w:t>
            </w:r>
          </w:p>
        </w:tc>
        <w:tc>
          <w:tcPr>
            <w:tcW w:w="1177" w:type="dxa"/>
            <w:tcBorders>
              <w:top w:val="single" w:sz="6" w:space="0" w:color="000000"/>
              <w:left w:val="single" w:sz="6" w:space="0" w:color="000000"/>
              <w:bottom w:val="single" w:sz="6" w:space="0" w:color="000000"/>
              <w:right w:val="single" w:sz="6" w:space="0" w:color="000000"/>
            </w:tcBorders>
          </w:tcPr>
          <w:p w14:paraId="05DA1A81" w14:textId="77777777" w:rsidR="002D58E4" w:rsidRDefault="00F721D4">
            <w:pPr>
              <w:rPr>
                <w:sz w:val="20"/>
                <w:szCs w:val="20"/>
              </w:rPr>
            </w:pPr>
            <w:r>
              <w:rPr>
                <w:sz w:val="20"/>
                <w:szCs w:val="20"/>
              </w:rPr>
              <w:t xml:space="preserve">CRITICAL </w:t>
            </w:r>
          </w:p>
        </w:tc>
      </w:tr>
      <w:tr w:rsidR="002D58E4" w14:paraId="05C1390D"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C5436A5" w14:textId="77777777" w:rsidR="002D58E4" w:rsidRDefault="00F721D4">
            <w:pPr>
              <w:rPr>
                <w:sz w:val="20"/>
                <w:szCs w:val="20"/>
              </w:rPr>
            </w:pPr>
            <w:r>
              <w:rPr>
                <w:b/>
                <w:sz w:val="20"/>
                <w:szCs w:val="20"/>
              </w:rPr>
              <w:t>Seroconversion post-treatment</w:t>
            </w:r>
          </w:p>
        </w:tc>
      </w:tr>
      <w:tr w:rsidR="002D58E4" w14:paraId="639C8460" w14:textId="77777777" w:rsidTr="00E70FE5">
        <w:tc>
          <w:tcPr>
            <w:tcW w:w="709" w:type="dxa"/>
            <w:tcBorders>
              <w:top w:val="single" w:sz="6" w:space="0" w:color="000000"/>
              <w:left w:val="single" w:sz="6" w:space="0" w:color="000000"/>
              <w:bottom w:val="single" w:sz="6" w:space="0" w:color="000000"/>
              <w:right w:val="single" w:sz="6" w:space="0" w:color="000000"/>
            </w:tcBorders>
          </w:tcPr>
          <w:p w14:paraId="60B66AC8" w14:textId="77777777" w:rsidR="002D58E4" w:rsidRDefault="00F721D4">
            <w:pPr>
              <w:rPr>
                <w:sz w:val="20"/>
                <w:szCs w:val="20"/>
              </w:rPr>
            </w:pPr>
            <w:r>
              <w:rPr>
                <w:sz w:val="20"/>
                <w:szCs w:val="20"/>
              </w:rPr>
              <w:t xml:space="preserve">3 </w:t>
            </w:r>
          </w:p>
        </w:tc>
        <w:tc>
          <w:tcPr>
            <w:tcW w:w="709" w:type="dxa"/>
            <w:tcBorders>
              <w:top w:val="single" w:sz="6" w:space="0" w:color="000000"/>
              <w:left w:val="single" w:sz="6" w:space="0" w:color="000000"/>
              <w:bottom w:val="single" w:sz="6" w:space="0" w:color="000000"/>
              <w:right w:val="single" w:sz="6" w:space="0" w:color="000000"/>
            </w:tcBorders>
          </w:tcPr>
          <w:p w14:paraId="512B6A4C" w14:textId="77777777" w:rsidR="002D58E4" w:rsidRDefault="00F721D4">
            <w:pPr>
              <w:rPr>
                <w:sz w:val="20"/>
                <w:szCs w:val="20"/>
              </w:rPr>
            </w:pPr>
            <w:r>
              <w:rPr>
                <w:sz w:val="20"/>
                <w:szCs w:val="20"/>
              </w:rPr>
              <w:t xml:space="preserve">RCT </w:t>
            </w:r>
            <w:r>
              <w:rPr>
                <w:sz w:val="20"/>
                <w:szCs w:val="20"/>
                <w:vertAlign w:val="superscript"/>
              </w:rPr>
              <w:t>1,2,4</w:t>
            </w:r>
          </w:p>
        </w:tc>
        <w:tc>
          <w:tcPr>
            <w:tcW w:w="850" w:type="dxa"/>
            <w:tcBorders>
              <w:top w:val="single" w:sz="6" w:space="0" w:color="000000"/>
              <w:left w:val="single" w:sz="6" w:space="0" w:color="000000"/>
              <w:bottom w:val="single" w:sz="6" w:space="0" w:color="000000"/>
              <w:right w:val="single" w:sz="6" w:space="0" w:color="000000"/>
            </w:tcBorders>
          </w:tcPr>
          <w:p w14:paraId="0999D82E" w14:textId="77777777" w:rsidR="002D58E4" w:rsidRDefault="00F721D4">
            <w:pPr>
              <w:rPr>
                <w:sz w:val="20"/>
                <w:szCs w:val="20"/>
              </w:rPr>
            </w:pPr>
            <w:r>
              <w:rPr>
                <w:sz w:val="20"/>
                <w:szCs w:val="20"/>
              </w:rPr>
              <w:t xml:space="preserve">not serious </w:t>
            </w:r>
          </w:p>
        </w:tc>
        <w:tc>
          <w:tcPr>
            <w:tcW w:w="1380" w:type="dxa"/>
            <w:tcBorders>
              <w:top w:val="single" w:sz="6" w:space="0" w:color="000000"/>
              <w:left w:val="single" w:sz="6" w:space="0" w:color="000000"/>
              <w:bottom w:val="single" w:sz="6" w:space="0" w:color="000000"/>
              <w:right w:val="single" w:sz="6" w:space="0" w:color="000000"/>
            </w:tcBorders>
          </w:tcPr>
          <w:p w14:paraId="6E0705C5" w14:textId="77777777" w:rsidR="002D58E4" w:rsidRDefault="00F721D4">
            <w:pPr>
              <w:rPr>
                <w:sz w:val="20"/>
                <w:szCs w:val="20"/>
              </w:rPr>
            </w:pPr>
            <w:r>
              <w:rPr>
                <w:sz w:val="20"/>
                <w:szCs w:val="20"/>
              </w:rPr>
              <w:t xml:space="preserve">not serious </w:t>
            </w:r>
          </w:p>
        </w:tc>
        <w:tc>
          <w:tcPr>
            <w:tcW w:w="1030" w:type="dxa"/>
            <w:tcBorders>
              <w:top w:val="single" w:sz="6" w:space="0" w:color="000000"/>
              <w:left w:val="single" w:sz="6" w:space="0" w:color="000000"/>
              <w:bottom w:val="single" w:sz="6" w:space="0" w:color="000000"/>
              <w:right w:val="single" w:sz="6" w:space="0" w:color="000000"/>
            </w:tcBorders>
          </w:tcPr>
          <w:p w14:paraId="1E754517" w14:textId="77777777" w:rsidR="002D58E4" w:rsidRDefault="00F721D4">
            <w:pPr>
              <w:rPr>
                <w:sz w:val="20"/>
                <w:szCs w:val="20"/>
              </w:rPr>
            </w:pPr>
            <w:r>
              <w:rPr>
                <w:sz w:val="20"/>
                <w:szCs w:val="20"/>
              </w:rPr>
              <w:t xml:space="preserve">serious </w:t>
            </w:r>
            <w:r>
              <w:rPr>
                <w:sz w:val="20"/>
                <w:szCs w:val="20"/>
                <w:vertAlign w:val="superscript"/>
              </w:rPr>
              <w:t>b</w:t>
            </w: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14:paraId="13E833D6" w14:textId="77777777" w:rsidR="002D58E4" w:rsidRDefault="00F721D4">
            <w:pPr>
              <w:rPr>
                <w:sz w:val="20"/>
                <w:szCs w:val="20"/>
              </w:rPr>
            </w:pPr>
            <w:r>
              <w:rPr>
                <w:sz w:val="20"/>
                <w:szCs w:val="20"/>
              </w:rPr>
              <w:t>serious</w:t>
            </w:r>
            <w:r>
              <w:rPr>
                <w:sz w:val="20"/>
                <w:szCs w:val="20"/>
                <w:vertAlign w:val="superscript"/>
              </w:rPr>
              <w:t xml:space="preserve"> c</w:t>
            </w:r>
          </w:p>
        </w:tc>
        <w:tc>
          <w:tcPr>
            <w:tcW w:w="961" w:type="dxa"/>
            <w:tcBorders>
              <w:top w:val="single" w:sz="6" w:space="0" w:color="000000"/>
              <w:left w:val="single" w:sz="6" w:space="0" w:color="000000"/>
              <w:bottom w:val="single" w:sz="6" w:space="0" w:color="000000"/>
              <w:right w:val="single" w:sz="6" w:space="0" w:color="000000"/>
            </w:tcBorders>
          </w:tcPr>
          <w:p w14:paraId="4E196039" w14:textId="77777777" w:rsidR="002D58E4" w:rsidRDefault="00F721D4">
            <w:pPr>
              <w:rPr>
                <w:sz w:val="20"/>
                <w:szCs w:val="20"/>
              </w:rPr>
            </w:pPr>
            <w:r>
              <w:rPr>
                <w:sz w:val="20"/>
                <w:szCs w:val="20"/>
              </w:rPr>
              <w:t xml:space="preserve">none </w:t>
            </w:r>
          </w:p>
        </w:tc>
        <w:tc>
          <w:tcPr>
            <w:tcW w:w="1189" w:type="dxa"/>
            <w:tcBorders>
              <w:top w:val="single" w:sz="6" w:space="0" w:color="000000"/>
              <w:left w:val="single" w:sz="6" w:space="0" w:color="000000"/>
              <w:bottom w:val="single" w:sz="6" w:space="0" w:color="000000"/>
              <w:right w:val="single" w:sz="6" w:space="0" w:color="000000"/>
            </w:tcBorders>
          </w:tcPr>
          <w:p w14:paraId="3E8D4F7C" w14:textId="77777777" w:rsidR="002D58E4" w:rsidRDefault="00F721D4">
            <w:pPr>
              <w:jc w:val="center"/>
              <w:rPr>
                <w:sz w:val="20"/>
                <w:szCs w:val="20"/>
              </w:rPr>
            </w:pPr>
            <w:r>
              <w:rPr>
                <w:sz w:val="20"/>
                <w:szCs w:val="20"/>
              </w:rPr>
              <w:t xml:space="preserve">0/281 </w:t>
            </w:r>
          </w:p>
          <w:p w14:paraId="4E2F2DA6" w14:textId="77777777" w:rsidR="002D58E4" w:rsidRDefault="00F721D4">
            <w:pPr>
              <w:jc w:val="center"/>
              <w:rPr>
                <w:sz w:val="20"/>
                <w:szCs w:val="20"/>
              </w:rPr>
            </w:pPr>
            <w:r>
              <w:rPr>
                <w:sz w:val="20"/>
                <w:szCs w:val="20"/>
              </w:rPr>
              <w:t xml:space="preserve">(0.0%) </w:t>
            </w:r>
          </w:p>
        </w:tc>
        <w:tc>
          <w:tcPr>
            <w:tcW w:w="948" w:type="dxa"/>
            <w:tcBorders>
              <w:top w:val="single" w:sz="6" w:space="0" w:color="000000"/>
              <w:left w:val="single" w:sz="6" w:space="0" w:color="000000"/>
              <w:bottom w:val="single" w:sz="6" w:space="0" w:color="000000"/>
              <w:right w:val="single" w:sz="6" w:space="0" w:color="000000"/>
            </w:tcBorders>
          </w:tcPr>
          <w:p w14:paraId="02F71ED6" w14:textId="77777777" w:rsidR="002D58E4" w:rsidRDefault="00F721D4">
            <w:pPr>
              <w:jc w:val="center"/>
              <w:rPr>
                <w:sz w:val="20"/>
                <w:szCs w:val="20"/>
              </w:rPr>
            </w:pPr>
            <w:r>
              <w:rPr>
                <w:sz w:val="20"/>
                <w:szCs w:val="20"/>
              </w:rPr>
              <w:t>5/263</w:t>
            </w:r>
          </w:p>
          <w:p w14:paraId="5D66AFF0" w14:textId="77777777" w:rsidR="002D58E4" w:rsidRDefault="00F721D4">
            <w:pPr>
              <w:jc w:val="center"/>
              <w:rPr>
                <w:sz w:val="20"/>
                <w:szCs w:val="20"/>
              </w:rPr>
            </w:pPr>
            <w:r>
              <w:rPr>
                <w:sz w:val="20"/>
                <w:szCs w:val="20"/>
              </w:rPr>
              <w:t xml:space="preserve"> (1.9%) </w:t>
            </w:r>
          </w:p>
        </w:tc>
        <w:tc>
          <w:tcPr>
            <w:tcW w:w="1292" w:type="dxa"/>
            <w:tcBorders>
              <w:top w:val="single" w:sz="6" w:space="0" w:color="000000"/>
              <w:left w:val="single" w:sz="6" w:space="0" w:color="000000"/>
              <w:bottom w:val="single" w:sz="6" w:space="0" w:color="000000"/>
              <w:right w:val="single" w:sz="6" w:space="0" w:color="000000"/>
            </w:tcBorders>
          </w:tcPr>
          <w:p w14:paraId="47786CDF"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71F579F4" w14:textId="77777777" w:rsidR="002D58E4" w:rsidRDefault="002D58E4">
            <w:pPr>
              <w:jc w:val="center"/>
              <w:rPr>
                <w:sz w:val="20"/>
                <w:szCs w:val="20"/>
              </w:rPr>
            </w:pPr>
          </w:p>
        </w:tc>
        <w:tc>
          <w:tcPr>
            <w:tcW w:w="1847" w:type="dxa"/>
            <w:tcBorders>
              <w:top w:val="single" w:sz="6" w:space="0" w:color="000000"/>
              <w:left w:val="single" w:sz="6" w:space="0" w:color="000000"/>
              <w:bottom w:val="single" w:sz="6" w:space="0" w:color="000000"/>
              <w:right w:val="single" w:sz="6" w:space="0" w:color="000000"/>
            </w:tcBorders>
          </w:tcPr>
          <w:p w14:paraId="715488C3" w14:textId="77777777" w:rsidR="002D58E4" w:rsidRDefault="00F721D4">
            <w:pPr>
              <w:jc w:val="center"/>
              <w:rPr>
                <w:sz w:val="20"/>
                <w:szCs w:val="20"/>
                <w:highlight w:val="yellow"/>
              </w:rPr>
            </w:pPr>
            <w:r>
              <w:rPr>
                <w:sz w:val="20"/>
                <w:szCs w:val="20"/>
              </w:rPr>
              <w:t>19 fewer per 1,000</w:t>
            </w:r>
            <w:r>
              <w:rPr>
                <w:sz w:val="20"/>
                <w:szCs w:val="20"/>
                <w:highlight w:val="yellow"/>
              </w:rPr>
              <w:br/>
            </w:r>
          </w:p>
        </w:tc>
        <w:tc>
          <w:tcPr>
            <w:tcW w:w="1199" w:type="dxa"/>
            <w:tcBorders>
              <w:top w:val="single" w:sz="6" w:space="0" w:color="000000"/>
              <w:left w:val="single" w:sz="6" w:space="0" w:color="000000"/>
              <w:bottom w:val="single" w:sz="6" w:space="0" w:color="000000"/>
              <w:right w:val="single" w:sz="6" w:space="0" w:color="000000"/>
            </w:tcBorders>
          </w:tcPr>
          <w:p w14:paraId="530F9C3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77" w:type="dxa"/>
            <w:tcBorders>
              <w:top w:val="single" w:sz="6" w:space="0" w:color="000000"/>
              <w:left w:val="single" w:sz="6" w:space="0" w:color="000000"/>
              <w:bottom w:val="single" w:sz="6" w:space="0" w:color="000000"/>
              <w:right w:val="single" w:sz="6" w:space="0" w:color="000000"/>
            </w:tcBorders>
          </w:tcPr>
          <w:p w14:paraId="18E9FD06" w14:textId="77777777" w:rsidR="002D58E4" w:rsidRDefault="00F721D4">
            <w:pPr>
              <w:rPr>
                <w:sz w:val="20"/>
                <w:szCs w:val="20"/>
              </w:rPr>
            </w:pPr>
            <w:r>
              <w:rPr>
                <w:sz w:val="20"/>
                <w:szCs w:val="20"/>
              </w:rPr>
              <w:t>IMPORTANT</w:t>
            </w:r>
          </w:p>
        </w:tc>
      </w:tr>
      <w:tr w:rsidR="002D58E4" w14:paraId="43D8AE44"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68F55BC" w14:textId="77777777" w:rsidR="002D58E4" w:rsidRDefault="00F721D4">
            <w:pPr>
              <w:rPr>
                <w:sz w:val="20"/>
                <w:szCs w:val="20"/>
              </w:rPr>
            </w:pPr>
            <w:r>
              <w:rPr>
                <w:b/>
                <w:sz w:val="20"/>
                <w:szCs w:val="20"/>
              </w:rPr>
              <w:t>Dermatologic Adverse Events</w:t>
            </w:r>
          </w:p>
        </w:tc>
      </w:tr>
      <w:tr w:rsidR="002D58E4" w14:paraId="431EE2FD" w14:textId="77777777" w:rsidTr="00E70FE5">
        <w:tc>
          <w:tcPr>
            <w:tcW w:w="709" w:type="dxa"/>
            <w:tcBorders>
              <w:top w:val="single" w:sz="6" w:space="0" w:color="000000"/>
              <w:left w:val="single" w:sz="6" w:space="0" w:color="000000"/>
              <w:bottom w:val="single" w:sz="6" w:space="0" w:color="000000"/>
              <w:right w:val="single" w:sz="6" w:space="0" w:color="000000"/>
            </w:tcBorders>
          </w:tcPr>
          <w:p w14:paraId="6AA23D8B" w14:textId="77777777" w:rsidR="002D58E4" w:rsidRDefault="00F721D4">
            <w:pPr>
              <w:rPr>
                <w:sz w:val="20"/>
                <w:szCs w:val="20"/>
              </w:rPr>
            </w:pPr>
            <w:r>
              <w:rPr>
                <w:sz w:val="20"/>
                <w:szCs w:val="20"/>
              </w:rPr>
              <w:t xml:space="preserve">4 </w:t>
            </w:r>
          </w:p>
        </w:tc>
        <w:tc>
          <w:tcPr>
            <w:tcW w:w="709" w:type="dxa"/>
            <w:tcBorders>
              <w:top w:val="single" w:sz="6" w:space="0" w:color="000000"/>
              <w:left w:val="single" w:sz="6" w:space="0" w:color="000000"/>
              <w:bottom w:val="single" w:sz="6" w:space="0" w:color="000000"/>
              <w:right w:val="single" w:sz="6" w:space="0" w:color="000000"/>
            </w:tcBorders>
          </w:tcPr>
          <w:p w14:paraId="6D1FEB57" w14:textId="77777777" w:rsidR="002D58E4" w:rsidRDefault="00F721D4">
            <w:pPr>
              <w:rPr>
                <w:sz w:val="20"/>
                <w:szCs w:val="20"/>
              </w:rPr>
            </w:pPr>
            <w:r>
              <w:rPr>
                <w:sz w:val="20"/>
                <w:szCs w:val="20"/>
              </w:rPr>
              <w:t xml:space="preserve">RCT </w:t>
            </w:r>
            <w:r>
              <w:rPr>
                <w:sz w:val="20"/>
                <w:szCs w:val="20"/>
                <w:vertAlign w:val="superscript"/>
              </w:rPr>
              <w:t>1-4</w:t>
            </w:r>
          </w:p>
        </w:tc>
        <w:tc>
          <w:tcPr>
            <w:tcW w:w="850" w:type="dxa"/>
            <w:tcBorders>
              <w:top w:val="single" w:sz="6" w:space="0" w:color="000000"/>
              <w:left w:val="single" w:sz="6" w:space="0" w:color="000000"/>
              <w:bottom w:val="single" w:sz="6" w:space="0" w:color="000000"/>
              <w:right w:val="single" w:sz="6" w:space="0" w:color="000000"/>
            </w:tcBorders>
          </w:tcPr>
          <w:p w14:paraId="7C944D61" w14:textId="77777777" w:rsidR="002D58E4" w:rsidRDefault="00F721D4">
            <w:pPr>
              <w:rPr>
                <w:sz w:val="20"/>
                <w:szCs w:val="20"/>
              </w:rPr>
            </w:pPr>
            <w:r>
              <w:rPr>
                <w:sz w:val="20"/>
                <w:szCs w:val="20"/>
              </w:rPr>
              <w:t xml:space="preserve">not serious </w:t>
            </w:r>
          </w:p>
        </w:tc>
        <w:tc>
          <w:tcPr>
            <w:tcW w:w="1380" w:type="dxa"/>
            <w:tcBorders>
              <w:top w:val="single" w:sz="6" w:space="0" w:color="000000"/>
              <w:left w:val="single" w:sz="6" w:space="0" w:color="000000"/>
              <w:bottom w:val="single" w:sz="6" w:space="0" w:color="000000"/>
              <w:right w:val="single" w:sz="6" w:space="0" w:color="000000"/>
            </w:tcBorders>
          </w:tcPr>
          <w:p w14:paraId="60698E47" w14:textId="77777777" w:rsidR="002D58E4" w:rsidRDefault="00F721D4">
            <w:pPr>
              <w:rPr>
                <w:sz w:val="20"/>
                <w:szCs w:val="20"/>
              </w:rPr>
            </w:pPr>
            <w:r>
              <w:rPr>
                <w:sz w:val="20"/>
                <w:szCs w:val="20"/>
              </w:rPr>
              <w:t xml:space="preserve">not serious </w:t>
            </w:r>
          </w:p>
        </w:tc>
        <w:tc>
          <w:tcPr>
            <w:tcW w:w="1030" w:type="dxa"/>
            <w:tcBorders>
              <w:top w:val="single" w:sz="6" w:space="0" w:color="000000"/>
              <w:left w:val="single" w:sz="6" w:space="0" w:color="000000"/>
              <w:bottom w:val="single" w:sz="6" w:space="0" w:color="000000"/>
              <w:right w:val="single" w:sz="6" w:space="0" w:color="000000"/>
            </w:tcBorders>
          </w:tcPr>
          <w:p w14:paraId="4C84265D"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04C09F32" w14:textId="77777777" w:rsidR="002D58E4" w:rsidRDefault="00F721D4">
            <w:pPr>
              <w:rPr>
                <w:sz w:val="20"/>
                <w:szCs w:val="20"/>
              </w:rPr>
            </w:pPr>
            <w:r>
              <w:rPr>
                <w:sz w:val="20"/>
                <w:szCs w:val="20"/>
              </w:rPr>
              <w:t xml:space="preserve">serious </w:t>
            </w:r>
            <w:r>
              <w:rPr>
                <w:sz w:val="20"/>
                <w:szCs w:val="20"/>
                <w:vertAlign w:val="superscript"/>
              </w:rPr>
              <w:t>c</w:t>
            </w:r>
          </w:p>
        </w:tc>
        <w:tc>
          <w:tcPr>
            <w:tcW w:w="961" w:type="dxa"/>
            <w:tcBorders>
              <w:top w:val="single" w:sz="6" w:space="0" w:color="000000"/>
              <w:left w:val="single" w:sz="6" w:space="0" w:color="000000"/>
              <w:bottom w:val="single" w:sz="6" w:space="0" w:color="000000"/>
              <w:right w:val="single" w:sz="6" w:space="0" w:color="000000"/>
            </w:tcBorders>
          </w:tcPr>
          <w:p w14:paraId="6CA7F9BC" w14:textId="77777777" w:rsidR="002D58E4" w:rsidRDefault="00F721D4">
            <w:pPr>
              <w:rPr>
                <w:sz w:val="20"/>
                <w:szCs w:val="20"/>
              </w:rPr>
            </w:pPr>
            <w:r>
              <w:rPr>
                <w:sz w:val="20"/>
                <w:szCs w:val="20"/>
              </w:rPr>
              <w:t xml:space="preserve">none </w:t>
            </w:r>
          </w:p>
        </w:tc>
        <w:tc>
          <w:tcPr>
            <w:tcW w:w="1189" w:type="dxa"/>
            <w:tcBorders>
              <w:top w:val="single" w:sz="6" w:space="0" w:color="000000"/>
              <w:left w:val="single" w:sz="6" w:space="0" w:color="000000"/>
              <w:bottom w:val="single" w:sz="6" w:space="0" w:color="000000"/>
              <w:right w:val="single" w:sz="6" w:space="0" w:color="000000"/>
            </w:tcBorders>
          </w:tcPr>
          <w:p w14:paraId="03248076" w14:textId="77777777" w:rsidR="002D58E4" w:rsidRDefault="00F721D4">
            <w:pPr>
              <w:jc w:val="center"/>
              <w:rPr>
                <w:sz w:val="20"/>
                <w:szCs w:val="20"/>
              </w:rPr>
            </w:pPr>
            <w:r>
              <w:rPr>
                <w:sz w:val="20"/>
                <w:szCs w:val="20"/>
              </w:rPr>
              <w:t xml:space="preserve">3/321 </w:t>
            </w:r>
          </w:p>
          <w:p w14:paraId="2A60D65B" w14:textId="77777777" w:rsidR="002D58E4" w:rsidRDefault="00F721D4">
            <w:pPr>
              <w:jc w:val="center"/>
              <w:rPr>
                <w:sz w:val="20"/>
                <w:szCs w:val="20"/>
              </w:rPr>
            </w:pPr>
            <w:r>
              <w:rPr>
                <w:sz w:val="20"/>
                <w:szCs w:val="20"/>
              </w:rPr>
              <w:t xml:space="preserve">(0.6%) </w:t>
            </w:r>
          </w:p>
        </w:tc>
        <w:tc>
          <w:tcPr>
            <w:tcW w:w="948" w:type="dxa"/>
            <w:tcBorders>
              <w:top w:val="single" w:sz="6" w:space="0" w:color="000000"/>
              <w:left w:val="single" w:sz="6" w:space="0" w:color="000000"/>
              <w:bottom w:val="single" w:sz="6" w:space="0" w:color="000000"/>
              <w:right w:val="single" w:sz="6" w:space="0" w:color="000000"/>
            </w:tcBorders>
          </w:tcPr>
          <w:p w14:paraId="600C3055" w14:textId="77777777" w:rsidR="002D58E4" w:rsidRDefault="00F721D4">
            <w:pPr>
              <w:jc w:val="center"/>
              <w:rPr>
                <w:sz w:val="20"/>
                <w:szCs w:val="20"/>
              </w:rPr>
            </w:pPr>
            <w:r>
              <w:rPr>
                <w:sz w:val="20"/>
                <w:szCs w:val="20"/>
              </w:rPr>
              <w:t>1/301</w:t>
            </w:r>
          </w:p>
          <w:p w14:paraId="4EA72477" w14:textId="77777777" w:rsidR="002D58E4" w:rsidRDefault="00F721D4">
            <w:pPr>
              <w:jc w:val="center"/>
              <w:rPr>
                <w:sz w:val="20"/>
                <w:szCs w:val="20"/>
              </w:rPr>
            </w:pPr>
            <w:r>
              <w:rPr>
                <w:sz w:val="20"/>
                <w:szCs w:val="20"/>
              </w:rPr>
              <w:t xml:space="preserve"> (0.2%) </w:t>
            </w:r>
          </w:p>
        </w:tc>
        <w:tc>
          <w:tcPr>
            <w:tcW w:w="1292" w:type="dxa"/>
            <w:tcBorders>
              <w:top w:val="single" w:sz="6" w:space="0" w:color="000000"/>
              <w:left w:val="single" w:sz="6" w:space="0" w:color="000000"/>
              <w:bottom w:val="single" w:sz="6" w:space="0" w:color="000000"/>
              <w:right w:val="single" w:sz="6" w:space="0" w:color="000000"/>
            </w:tcBorders>
          </w:tcPr>
          <w:p w14:paraId="7D2EBF2B" w14:textId="77777777" w:rsidR="002D58E4" w:rsidRDefault="00F721D4">
            <w:pPr>
              <w:jc w:val="center"/>
              <w:rPr>
                <w:sz w:val="20"/>
                <w:szCs w:val="20"/>
              </w:rPr>
            </w:pPr>
            <w:r>
              <w:rPr>
                <w:sz w:val="20"/>
                <w:szCs w:val="20"/>
              </w:rPr>
              <w:t>RR 1.75</w:t>
            </w:r>
            <w:r>
              <w:rPr>
                <w:sz w:val="20"/>
                <w:szCs w:val="20"/>
              </w:rPr>
              <w:br/>
              <w:t xml:space="preserve">(0.29 to 10.63) </w:t>
            </w:r>
          </w:p>
        </w:tc>
        <w:tc>
          <w:tcPr>
            <w:tcW w:w="1847" w:type="dxa"/>
            <w:tcBorders>
              <w:top w:val="single" w:sz="6" w:space="0" w:color="000000"/>
              <w:left w:val="single" w:sz="6" w:space="0" w:color="000000"/>
              <w:bottom w:val="single" w:sz="6" w:space="0" w:color="000000"/>
              <w:right w:val="single" w:sz="6" w:space="0" w:color="000000"/>
            </w:tcBorders>
          </w:tcPr>
          <w:p w14:paraId="0568E1F1" w14:textId="77777777" w:rsidR="002D58E4" w:rsidRDefault="00F721D4">
            <w:pPr>
              <w:jc w:val="center"/>
              <w:rPr>
                <w:sz w:val="20"/>
                <w:szCs w:val="20"/>
              </w:rPr>
            </w:pPr>
            <w:r>
              <w:rPr>
                <w:sz w:val="20"/>
                <w:szCs w:val="20"/>
              </w:rPr>
              <w:t>2 more per 1,000</w:t>
            </w:r>
            <w:r>
              <w:rPr>
                <w:sz w:val="20"/>
                <w:szCs w:val="20"/>
              </w:rPr>
              <w:br/>
              <w:t xml:space="preserve">(from 2 fewer to 21 more) </w:t>
            </w:r>
          </w:p>
        </w:tc>
        <w:tc>
          <w:tcPr>
            <w:tcW w:w="1199" w:type="dxa"/>
            <w:tcBorders>
              <w:top w:val="single" w:sz="6" w:space="0" w:color="000000"/>
              <w:left w:val="single" w:sz="6" w:space="0" w:color="000000"/>
              <w:bottom w:val="single" w:sz="6" w:space="0" w:color="000000"/>
              <w:right w:val="single" w:sz="6" w:space="0" w:color="000000"/>
            </w:tcBorders>
          </w:tcPr>
          <w:p w14:paraId="23B07DD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77" w:type="dxa"/>
            <w:tcBorders>
              <w:top w:val="single" w:sz="6" w:space="0" w:color="000000"/>
              <w:left w:val="single" w:sz="6" w:space="0" w:color="000000"/>
              <w:bottom w:val="single" w:sz="6" w:space="0" w:color="000000"/>
              <w:right w:val="single" w:sz="6" w:space="0" w:color="000000"/>
            </w:tcBorders>
          </w:tcPr>
          <w:p w14:paraId="44D89026" w14:textId="77777777" w:rsidR="002D58E4" w:rsidRDefault="00F721D4">
            <w:pPr>
              <w:rPr>
                <w:sz w:val="20"/>
                <w:szCs w:val="20"/>
              </w:rPr>
            </w:pPr>
            <w:r>
              <w:rPr>
                <w:sz w:val="20"/>
                <w:szCs w:val="20"/>
              </w:rPr>
              <w:t xml:space="preserve">IMPORTANT </w:t>
            </w:r>
          </w:p>
        </w:tc>
      </w:tr>
      <w:tr w:rsidR="002D58E4" w14:paraId="21475BB6"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2F6CDF1" w14:textId="77777777" w:rsidR="002D58E4" w:rsidRDefault="00F721D4">
            <w:pPr>
              <w:rPr>
                <w:sz w:val="20"/>
                <w:szCs w:val="20"/>
              </w:rPr>
            </w:pPr>
            <w:r>
              <w:rPr>
                <w:b/>
                <w:sz w:val="20"/>
                <w:szCs w:val="20"/>
              </w:rPr>
              <w:t>Total Adverse Events</w:t>
            </w:r>
            <w:r>
              <w:rPr>
                <w:sz w:val="20"/>
                <w:szCs w:val="20"/>
              </w:rPr>
              <w:t xml:space="preserve"> </w:t>
            </w:r>
          </w:p>
        </w:tc>
      </w:tr>
      <w:tr w:rsidR="002D58E4" w14:paraId="46643CB7" w14:textId="77777777" w:rsidTr="00E70FE5">
        <w:tc>
          <w:tcPr>
            <w:tcW w:w="709" w:type="dxa"/>
            <w:tcBorders>
              <w:top w:val="single" w:sz="6" w:space="0" w:color="000000"/>
              <w:left w:val="single" w:sz="6" w:space="0" w:color="000000"/>
              <w:bottom w:val="single" w:sz="6" w:space="0" w:color="000000"/>
              <w:right w:val="single" w:sz="6" w:space="0" w:color="000000"/>
            </w:tcBorders>
          </w:tcPr>
          <w:p w14:paraId="499621B2" w14:textId="77777777" w:rsidR="002D58E4" w:rsidRDefault="00F721D4">
            <w:pPr>
              <w:rPr>
                <w:sz w:val="20"/>
                <w:szCs w:val="20"/>
              </w:rPr>
            </w:pPr>
            <w:r>
              <w:rPr>
                <w:sz w:val="20"/>
                <w:szCs w:val="20"/>
              </w:rPr>
              <w:lastRenderedPageBreak/>
              <w:t xml:space="preserve">1 </w:t>
            </w:r>
          </w:p>
        </w:tc>
        <w:tc>
          <w:tcPr>
            <w:tcW w:w="709" w:type="dxa"/>
            <w:tcBorders>
              <w:top w:val="single" w:sz="6" w:space="0" w:color="000000"/>
              <w:left w:val="single" w:sz="6" w:space="0" w:color="000000"/>
              <w:bottom w:val="single" w:sz="6" w:space="0" w:color="000000"/>
              <w:right w:val="single" w:sz="6" w:space="0" w:color="000000"/>
            </w:tcBorders>
          </w:tcPr>
          <w:p w14:paraId="1F977592" w14:textId="77777777" w:rsidR="002D58E4" w:rsidRDefault="00F721D4">
            <w:pPr>
              <w:rPr>
                <w:sz w:val="20"/>
                <w:szCs w:val="20"/>
              </w:rPr>
            </w:pPr>
            <w:r>
              <w:rPr>
                <w:sz w:val="20"/>
                <w:szCs w:val="20"/>
              </w:rPr>
              <w:t xml:space="preserve">RCT </w:t>
            </w:r>
            <w:r>
              <w:rPr>
                <w:sz w:val="20"/>
                <w:szCs w:val="20"/>
                <w:vertAlign w:val="superscript"/>
              </w:rPr>
              <w:t>3</w:t>
            </w:r>
          </w:p>
        </w:tc>
        <w:tc>
          <w:tcPr>
            <w:tcW w:w="850" w:type="dxa"/>
            <w:tcBorders>
              <w:top w:val="single" w:sz="6" w:space="0" w:color="000000"/>
              <w:left w:val="single" w:sz="6" w:space="0" w:color="000000"/>
              <w:bottom w:val="single" w:sz="6" w:space="0" w:color="000000"/>
              <w:right w:val="single" w:sz="6" w:space="0" w:color="000000"/>
            </w:tcBorders>
          </w:tcPr>
          <w:p w14:paraId="10861598" w14:textId="77777777" w:rsidR="002D58E4" w:rsidRDefault="00F721D4">
            <w:pPr>
              <w:rPr>
                <w:sz w:val="20"/>
                <w:szCs w:val="20"/>
              </w:rPr>
            </w:pPr>
            <w:r>
              <w:rPr>
                <w:sz w:val="20"/>
                <w:szCs w:val="20"/>
              </w:rPr>
              <w:t xml:space="preserve">not serious </w:t>
            </w:r>
          </w:p>
        </w:tc>
        <w:tc>
          <w:tcPr>
            <w:tcW w:w="1380" w:type="dxa"/>
            <w:tcBorders>
              <w:top w:val="single" w:sz="6" w:space="0" w:color="000000"/>
              <w:left w:val="single" w:sz="6" w:space="0" w:color="000000"/>
              <w:bottom w:val="single" w:sz="6" w:space="0" w:color="000000"/>
              <w:right w:val="single" w:sz="6" w:space="0" w:color="000000"/>
            </w:tcBorders>
          </w:tcPr>
          <w:p w14:paraId="02F71A80" w14:textId="77777777" w:rsidR="002D58E4" w:rsidRDefault="00F721D4">
            <w:pPr>
              <w:rPr>
                <w:sz w:val="20"/>
                <w:szCs w:val="20"/>
              </w:rPr>
            </w:pPr>
            <w:r>
              <w:rPr>
                <w:sz w:val="20"/>
                <w:szCs w:val="20"/>
              </w:rPr>
              <w:t>not serious</w:t>
            </w:r>
          </w:p>
        </w:tc>
        <w:tc>
          <w:tcPr>
            <w:tcW w:w="1030" w:type="dxa"/>
            <w:tcBorders>
              <w:top w:val="single" w:sz="6" w:space="0" w:color="000000"/>
              <w:left w:val="single" w:sz="6" w:space="0" w:color="000000"/>
              <w:bottom w:val="single" w:sz="6" w:space="0" w:color="000000"/>
              <w:right w:val="single" w:sz="6" w:space="0" w:color="000000"/>
            </w:tcBorders>
          </w:tcPr>
          <w:p w14:paraId="5CC04F67"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58B31762" w14:textId="77777777" w:rsidR="002D58E4" w:rsidRDefault="00F721D4">
            <w:pPr>
              <w:rPr>
                <w:sz w:val="20"/>
                <w:szCs w:val="20"/>
              </w:rPr>
            </w:pPr>
            <w:r>
              <w:rPr>
                <w:sz w:val="20"/>
                <w:szCs w:val="20"/>
              </w:rPr>
              <w:t xml:space="preserve">not serious </w:t>
            </w:r>
            <w:r>
              <w:rPr>
                <w:sz w:val="20"/>
                <w:szCs w:val="20"/>
                <w:vertAlign w:val="superscript"/>
              </w:rPr>
              <w:t>d</w:t>
            </w:r>
          </w:p>
        </w:tc>
        <w:tc>
          <w:tcPr>
            <w:tcW w:w="961" w:type="dxa"/>
            <w:tcBorders>
              <w:top w:val="single" w:sz="6" w:space="0" w:color="000000"/>
              <w:left w:val="single" w:sz="6" w:space="0" w:color="000000"/>
              <w:bottom w:val="single" w:sz="6" w:space="0" w:color="000000"/>
              <w:right w:val="single" w:sz="6" w:space="0" w:color="000000"/>
            </w:tcBorders>
          </w:tcPr>
          <w:p w14:paraId="6994E9D5" w14:textId="77777777" w:rsidR="002D58E4" w:rsidRDefault="00F721D4">
            <w:pPr>
              <w:rPr>
                <w:sz w:val="20"/>
                <w:szCs w:val="20"/>
              </w:rPr>
            </w:pPr>
            <w:r>
              <w:rPr>
                <w:sz w:val="20"/>
                <w:szCs w:val="20"/>
              </w:rPr>
              <w:t xml:space="preserve">none </w:t>
            </w:r>
          </w:p>
        </w:tc>
        <w:tc>
          <w:tcPr>
            <w:tcW w:w="1189" w:type="dxa"/>
            <w:tcBorders>
              <w:top w:val="single" w:sz="6" w:space="0" w:color="000000"/>
              <w:left w:val="single" w:sz="6" w:space="0" w:color="000000"/>
              <w:bottom w:val="single" w:sz="6" w:space="0" w:color="000000"/>
              <w:right w:val="single" w:sz="6" w:space="0" w:color="000000"/>
            </w:tcBorders>
          </w:tcPr>
          <w:p w14:paraId="10DB8B6A" w14:textId="77777777" w:rsidR="002D58E4" w:rsidRDefault="00F721D4">
            <w:pPr>
              <w:jc w:val="center"/>
              <w:rPr>
                <w:sz w:val="20"/>
                <w:szCs w:val="20"/>
              </w:rPr>
            </w:pPr>
            <w:r>
              <w:rPr>
                <w:sz w:val="20"/>
                <w:szCs w:val="20"/>
              </w:rPr>
              <w:t xml:space="preserve">47/156 </w:t>
            </w:r>
          </w:p>
          <w:p w14:paraId="51801EB9" w14:textId="77777777" w:rsidR="002D58E4" w:rsidRDefault="00F721D4">
            <w:pPr>
              <w:jc w:val="center"/>
              <w:rPr>
                <w:sz w:val="20"/>
                <w:szCs w:val="20"/>
              </w:rPr>
            </w:pPr>
            <w:r>
              <w:rPr>
                <w:sz w:val="20"/>
                <w:szCs w:val="20"/>
              </w:rPr>
              <w:t xml:space="preserve">(30.1%) </w:t>
            </w:r>
          </w:p>
        </w:tc>
        <w:tc>
          <w:tcPr>
            <w:tcW w:w="948" w:type="dxa"/>
            <w:tcBorders>
              <w:top w:val="single" w:sz="6" w:space="0" w:color="000000"/>
              <w:left w:val="single" w:sz="6" w:space="0" w:color="000000"/>
              <w:bottom w:val="single" w:sz="6" w:space="0" w:color="000000"/>
              <w:right w:val="single" w:sz="6" w:space="0" w:color="000000"/>
            </w:tcBorders>
          </w:tcPr>
          <w:p w14:paraId="3B278868" w14:textId="77777777" w:rsidR="002D58E4" w:rsidRDefault="00F721D4">
            <w:pPr>
              <w:jc w:val="center"/>
              <w:rPr>
                <w:sz w:val="20"/>
                <w:szCs w:val="20"/>
              </w:rPr>
            </w:pPr>
            <w:r>
              <w:rPr>
                <w:sz w:val="20"/>
                <w:szCs w:val="20"/>
              </w:rPr>
              <w:t xml:space="preserve">17/153 (11.1%) </w:t>
            </w:r>
          </w:p>
        </w:tc>
        <w:tc>
          <w:tcPr>
            <w:tcW w:w="1292" w:type="dxa"/>
            <w:tcBorders>
              <w:top w:val="single" w:sz="6" w:space="0" w:color="000000"/>
              <w:left w:val="single" w:sz="6" w:space="0" w:color="000000"/>
              <w:bottom w:val="single" w:sz="6" w:space="0" w:color="000000"/>
              <w:right w:val="single" w:sz="6" w:space="0" w:color="000000"/>
            </w:tcBorders>
          </w:tcPr>
          <w:p w14:paraId="76A8D884" w14:textId="77777777" w:rsidR="002D58E4" w:rsidRDefault="00F721D4">
            <w:pPr>
              <w:jc w:val="center"/>
              <w:rPr>
                <w:b/>
                <w:sz w:val="20"/>
                <w:szCs w:val="20"/>
              </w:rPr>
            </w:pPr>
            <w:r>
              <w:rPr>
                <w:b/>
                <w:sz w:val="20"/>
                <w:szCs w:val="20"/>
              </w:rPr>
              <w:t>RR 2.71</w:t>
            </w:r>
            <w:r>
              <w:rPr>
                <w:b/>
                <w:sz w:val="20"/>
                <w:szCs w:val="20"/>
              </w:rPr>
              <w:br/>
              <w:t xml:space="preserve">(1.63 to 4.51) </w:t>
            </w:r>
          </w:p>
        </w:tc>
        <w:tc>
          <w:tcPr>
            <w:tcW w:w="1847" w:type="dxa"/>
            <w:tcBorders>
              <w:top w:val="single" w:sz="6" w:space="0" w:color="000000"/>
              <w:left w:val="single" w:sz="6" w:space="0" w:color="000000"/>
              <w:bottom w:val="single" w:sz="6" w:space="0" w:color="000000"/>
              <w:right w:val="single" w:sz="6" w:space="0" w:color="000000"/>
            </w:tcBorders>
          </w:tcPr>
          <w:p w14:paraId="46873EE2" w14:textId="77777777" w:rsidR="002D58E4" w:rsidRDefault="00F721D4">
            <w:pPr>
              <w:jc w:val="center"/>
              <w:rPr>
                <w:sz w:val="20"/>
                <w:szCs w:val="20"/>
              </w:rPr>
            </w:pPr>
            <w:r>
              <w:rPr>
                <w:b/>
                <w:sz w:val="20"/>
                <w:szCs w:val="20"/>
              </w:rPr>
              <w:t>190 more per 1,000</w:t>
            </w:r>
            <w:r>
              <w:rPr>
                <w:sz w:val="20"/>
                <w:szCs w:val="20"/>
              </w:rPr>
              <w:br/>
            </w:r>
            <w:r>
              <w:rPr>
                <w:b/>
                <w:sz w:val="20"/>
                <w:szCs w:val="20"/>
              </w:rPr>
              <w:t>(from 70 more to 390 more)</w:t>
            </w:r>
            <w:r>
              <w:rPr>
                <w:sz w:val="20"/>
                <w:szCs w:val="20"/>
              </w:rPr>
              <w:t xml:space="preserve"> </w:t>
            </w:r>
          </w:p>
        </w:tc>
        <w:tc>
          <w:tcPr>
            <w:tcW w:w="1199" w:type="dxa"/>
            <w:tcBorders>
              <w:top w:val="single" w:sz="6" w:space="0" w:color="000000"/>
              <w:left w:val="single" w:sz="6" w:space="0" w:color="000000"/>
              <w:bottom w:val="single" w:sz="6" w:space="0" w:color="000000"/>
              <w:right w:val="single" w:sz="6" w:space="0" w:color="000000"/>
            </w:tcBorders>
          </w:tcPr>
          <w:p w14:paraId="4D84328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HIGH</w:t>
            </w:r>
          </w:p>
        </w:tc>
        <w:tc>
          <w:tcPr>
            <w:tcW w:w="1177" w:type="dxa"/>
            <w:tcBorders>
              <w:top w:val="single" w:sz="6" w:space="0" w:color="000000"/>
              <w:left w:val="single" w:sz="6" w:space="0" w:color="000000"/>
              <w:bottom w:val="single" w:sz="6" w:space="0" w:color="000000"/>
              <w:right w:val="single" w:sz="6" w:space="0" w:color="000000"/>
            </w:tcBorders>
          </w:tcPr>
          <w:p w14:paraId="63942BE1" w14:textId="77777777" w:rsidR="002D58E4" w:rsidRDefault="00F721D4">
            <w:pPr>
              <w:rPr>
                <w:sz w:val="20"/>
                <w:szCs w:val="20"/>
              </w:rPr>
            </w:pPr>
            <w:r>
              <w:rPr>
                <w:sz w:val="20"/>
                <w:szCs w:val="20"/>
              </w:rPr>
              <w:t xml:space="preserve"> IMPORTANT</w:t>
            </w:r>
          </w:p>
        </w:tc>
      </w:tr>
      <w:tr w:rsidR="002D58E4" w14:paraId="7D56F75C"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E7A1A7D" w14:textId="77777777" w:rsidR="002D58E4" w:rsidRDefault="00F721D4">
            <w:pPr>
              <w:rPr>
                <w:sz w:val="20"/>
                <w:szCs w:val="20"/>
              </w:rPr>
            </w:pPr>
            <w:r>
              <w:rPr>
                <w:b/>
                <w:sz w:val="20"/>
                <w:szCs w:val="20"/>
              </w:rPr>
              <w:t>Adverse Events- Diarrhea</w:t>
            </w:r>
            <w:r>
              <w:rPr>
                <w:sz w:val="20"/>
                <w:szCs w:val="20"/>
              </w:rPr>
              <w:t xml:space="preserve"> </w:t>
            </w:r>
          </w:p>
        </w:tc>
      </w:tr>
      <w:tr w:rsidR="002D58E4" w14:paraId="7229C52C" w14:textId="77777777" w:rsidTr="00E70FE5">
        <w:tc>
          <w:tcPr>
            <w:tcW w:w="709" w:type="dxa"/>
            <w:tcBorders>
              <w:top w:val="single" w:sz="6" w:space="0" w:color="000000"/>
              <w:left w:val="single" w:sz="6" w:space="0" w:color="000000"/>
              <w:bottom w:val="single" w:sz="6" w:space="0" w:color="000000"/>
              <w:right w:val="single" w:sz="6" w:space="0" w:color="000000"/>
            </w:tcBorders>
          </w:tcPr>
          <w:p w14:paraId="0C5C8F58"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55F3CD74" w14:textId="77777777" w:rsidR="002D58E4" w:rsidRDefault="00F721D4">
            <w:pPr>
              <w:rPr>
                <w:sz w:val="20"/>
                <w:szCs w:val="20"/>
              </w:rPr>
            </w:pPr>
            <w:r>
              <w:rPr>
                <w:sz w:val="20"/>
                <w:szCs w:val="20"/>
              </w:rPr>
              <w:t xml:space="preserve">RCT </w:t>
            </w:r>
            <w:r>
              <w:rPr>
                <w:sz w:val="20"/>
                <w:szCs w:val="20"/>
                <w:vertAlign w:val="superscript"/>
              </w:rPr>
              <w:t>3</w:t>
            </w:r>
          </w:p>
        </w:tc>
        <w:tc>
          <w:tcPr>
            <w:tcW w:w="850" w:type="dxa"/>
            <w:tcBorders>
              <w:top w:val="single" w:sz="6" w:space="0" w:color="000000"/>
              <w:left w:val="single" w:sz="6" w:space="0" w:color="000000"/>
              <w:bottom w:val="single" w:sz="6" w:space="0" w:color="000000"/>
              <w:right w:val="single" w:sz="6" w:space="0" w:color="000000"/>
            </w:tcBorders>
          </w:tcPr>
          <w:p w14:paraId="051DB49C" w14:textId="77777777" w:rsidR="002D58E4" w:rsidRDefault="00F721D4">
            <w:pPr>
              <w:rPr>
                <w:sz w:val="20"/>
                <w:szCs w:val="20"/>
              </w:rPr>
            </w:pPr>
            <w:r>
              <w:rPr>
                <w:sz w:val="20"/>
                <w:szCs w:val="20"/>
              </w:rPr>
              <w:t xml:space="preserve">not serious </w:t>
            </w:r>
          </w:p>
        </w:tc>
        <w:tc>
          <w:tcPr>
            <w:tcW w:w="1380" w:type="dxa"/>
            <w:tcBorders>
              <w:top w:val="single" w:sz="6" w:space="0" w:color="000000"/>
              <w:left w:val="single" w:sz="6" w:space="0" w:color="000000"/>
              <w:bottom w:val="single" w:sz="6" w:space="0" w:color="000000"/>
              <w:right w:val="single" w:sz="6" w:space="0" w:color="000000"/>
            </w:tcBorders>
          </w:tcPr>
          <w:p w14:paraId="5FA67380" w14:textId="77777777" w:rsidR="002D58E4" w:rsidRDefault="00F721D4">
            <w:pPr>
              <w:rPr>
                <w:sz w:val="20"/>
                <w:szCs w:val="20"/>
              </w:rPr>
            </w:pPr>
            <w:r>
              <w:rPr>
                <w:sz w:val="20"/>
                <w:szCs w:val="20"/>
              </w:rPr>
              <w:t>not serious</w:t>
            </w:r>
          </w:p>
        </w:tc>
        <w:tc>
          <w:tcPr>
            <w:tcW w:w="1030" w:type="dxa"/>
            <w:tcBorders>
              <w:top w:val="single" w:sz="6" w:space="0" w:color="000000"/>
              <w:left w:val="single" w:sz="6" w:space="0" w:color="000000"/>
              <w:bottom w:val="single" w:sz="6" w:space="0" w:color="000000"/>
              <w:right w:val="single" w:sz="6" w:space="0" w:color="000000"/>
            </w:tcBorders>
          </w:tcPr>
          <w:p w14:paraId="0FA9E37F"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03894B7E" w14:textId="77777777" w:rsidR="002D58E4" w:rsidRDefault="00F721D4">
            <w:pPr>
              <w:rPr>
                <w:sz w:val="20"/>
                <w:szCs w:val="20"/>
              </w:rPr>
            </w:pPr>
            <w:r>
              <w:rPr>
                <w:sz w:val="20"/>
                <w:szCs w:val="20"/>
              </w:rPr>
              <w:t xml:space="preserve">serious </w:t>
            </w:r>
            <w:r>
              <w:rPr>
                <w:sz w:val="20"/>
                <w:szCs w:val="20"/>
                <w:vertAlign w:val="superscript"/>
              </w:rPr>
              <w:t>c</w:t>
            </w:r>
          </w:p>
        </w:tc>
        <w:tc>
          <w:tcPr>
            <w:tcW w:w="961" w:type="dxa"/>
            <w:tcBorders>
              <w:top w:val="single" w:sz="6" w:space="0" w:color="000000"/>
              <w:left w:val="single" w:sz="6" w:space="0" w:color="000000"/>
              <w:bottom w:val="single" w:sz="6" w:space="0" w:color="000000"/>
              <w:right w:val="single" w:sz="6" w:space="0" w:color="000000"/>
            </w:tcBorders>
          </w:tcPr>
          <w:p w14:paraId="4521D7C5" w14:textId="77777777" w:rsidR="002D58E4" w:rsidRDefault="00F721D4">
            <w:pPr>
              <w:rPr>
                <w:sz w:val="20"/>
                <w:szCs w:val="20"/>
              </w:rPr>
            </w:pPr>
            <w:r>
              <w:rPr>
                <w:sz w:val="20"/>
                <w:szCs w:val="20"/>
              </w:rPr>
              <w:t xml:space="preserve">none </w:t>
            </w:r>
          </w:p>
        </w:tc>
        <w:tc>
          <w:tcPr>
            <w:tcW w:w="1189" w:type="dxa"/>
            <w:tcBorders>
              <w:top w:val="single" w:sz="6" w:space="0" w:color="000000"/>
              <w:left w:val="single" w:sz="6" w:space="0" w:color="000000"/>
              <w:bottom w:val="single" w:sz="6" w:space="0" w:color="000000"/>
              <w:right w:val="single" w:sz="6" w:space="0" w:color="000000"/>
            </w:tcBorders>
          </w:tcPr>
          <w:p w14:paraId="3E5F86D8" w14:textId="77777777" w:rsidR="002D58E4" w:rsidRDefault="00F721D4">
            <w:pPr>
              <w:jc w:val="center"/>
              <w:rPr>
                <w:sz w:val="20"/>
                <w:szCs w:val="20"/>
              </w:rPr>
            </w:pPr>
            <w:r>
              <w:rPr>
                <w:sz w:val="20"/>
                <w:szCs w:val="20"/>
              </w:rPr>
              <w:t xml:space="preserve">6/156 </w:t>
            </w:r>
          </w:p>
          <w:p w14:paraId="71C4E3FB" w14:textId="77777777" w:rsidR="002D58E4" w:rsidRDefault="00F721D4">
            <w:pPr>
              <w:jc w:val="center"/>
              <w:rPr>
                <w:sz w:val="20"/>
                <w:szCs w:val="20"/>
              </w:rPr>
            </w:pPr>
            <w:r>
              <w:rPr>
                <w:sz w:val="20"/>
                <w:szCs w:val="20"/>
              </w:rPr>
              <w:t xml:space="preserve">(3.8%) </w:t>
            </w:r>
          </w:p>
        </w:tc>
        <w:tc>
          <w:tcPr>
            <w:tcW w:w="948" w:type="dxa"/>
            <w:tcBorders>
              <w:top w:val="single" w:sz="6" w:space="0" w:color="000000"/>
              <w:left w:val="single" w:sz="6" w:space="0" w:color="000000"/>
              <w:bottom w:val="single" w:sz="6" w:space="0" w:color="000000"/>
              <w:right w:val="single" w:sz="6" w:space="0" w:color="000000"/>
            </w:tcBorders>
          </w:tcPr>
          <w:p w14:paraId="296B1A62" w14:textId="77777777" w:rsidR="002D58E4" w:rsidRDefault="00F721D4">
            <w:pPr>
              <w:jc w:val="center"/>
              <w:rPr>
                <w:sz w:val="20"/>
                <w:szCs w:val="20"/>
              </w:rPr>
            </w:pPr>
            <w:r>
              <w:rPr>
                <w:sz w:val="20"/>
                <w:szCs w:val="20"/>
              </w:rPr>
              <w:t xml:space="preserve">6/153 </w:t>
            </w:r>
          </w:p>
          <w:p w14:paraId="0CDFE15E" w14:textId="77777777" w:rsidR="002D58E4" w:rsidRDefault="00F721D4">
            <w:pPr>
              <w:jc w:val="center"/>
              <w:rPr>
                <w:sz w:val="20"/>
                <w:szCs w:val="20"/>
              </w:rPr>
            </w:pPr>
            <w:r>
              <w:rPr>
                <w:sz w:val="20"/>
                <w:szCs w:val="20"/>
              </w:rPr>
              <w:t xml:space="preserve">(3.9%) </w:t>
            </w:r>
          </w:p>
        </w:tc>
        <w:tc>
          <w:tcPr>
            <w:tcW w:w="1292" w:type="dxa"/>
            <w:tcBorders>
              <w:top w:val="single" w:sz="6" w:space="0" w:color="000000"/>
              <w:left w:val="single" w:sz="6" w:space="0" w:color="000000"/>
              <w:bottom w:val="single" w:sz="6" w:space="0" w:color="000000"/>
              <w:right w:val="single" w:sz="6" w:space="0" w:color="000000"/>
            </w:tcBorders>
          </w:tcPr>
          <w:p w14:paraId="03D59CBB" w14:textId="77777777" w:rsidR="002D58E4" w:rsidRDefault="00F721D4">
            <w:pPr>
              <w:jc w:val="center"/>
              <w:rPr>
                <w:sz w:val="20"/>
                <w:szCs w:val="20"/>
              </w:rPr>
            </w:pPr>
            <w:r>
              <w:rPr>
                <w:sz w:val="20"/>
                <w:szCs w:val="20"/>
              </w:rPr>
              <w:t>RR 0.98</w:t>
            </w:r>
            <w:r>
              <w:rPr>
                <w:sz w:val="20"/>
                <w:szCs w:val="20"/>
              </w:rPr>
              <w:br/>
              <w:t xml:space="preserve">(0.32 to 2.97) </w:t>
            </w:r>
          </w:p>
        </w:tc>
        <w:tc>
          <w:tcPr>
            <w:tcW w:w="1847" w:type="dxa"/>
            <w:tcBorders>
              <w:top w:val="single" w:sz="6" w:space="0" w:color="000000"/>
              <w:left w:val="single" w:sz="6" w:space="0" w:color="000000"/>
              <w:bottom w:val="single" w:sz="6" w:space="0" w:color="000000"/>
              <w:right w:val="single" w:sz="6" w:space="0" w:color="000000"/>
            </w:tcBorders>
          </w:tcPr>
          <w:p w14:paraId="34EA73A6" w14:textId="77777777" w:rsidR="002D58E4" w:rsidRDefault="00F721D4">
            <w:pPr>
              <w:jc w:val="center"/>
              <w:rPr>
                <w:sz w:val="20"/>
                <w:szCs w:val="20"/>
              </w:rPr>
            </w:pPr>
            <w:r>
              <w:rPr>
                <w:sz w:val="20"/>
                <w:szCs w:val="20"/>
              </w:rPr>
              <w:t>1 fewer per 1,000</w:t>
            </w:r>
            <w:r>
              <w:rPr>
                <w:sz w:val="20"/>
                <w:szCs w:val="20"/>
              </w:rPr>
              <w:br/>
              <w:t xml:space="preserve">(from 27 fewer to 77 more) </w:t>
            </w:r>
          </w:p>
        </w:tc>
        <w:tc>
          <w:tcPr>
            <w:tcW w:w="1199" w:type="dxa"/>
            <w:tcBorders>
              <w:top w:val="single" w:sz="6" w:space="0" w:color="000000"/>
              <w:left w:val="single" w:sz="6" w:space="0" w:color="000000"/>
              <w:bottom w:val="single" w:sz="6" w:space="0" w:color="000000"/>
              <w:right w:val="single" w:sz="6" w:space="0" w:color="000000"/>
            </w:tcBorders>
          </w:tcPr>
          <w:p w14:paraId="2163663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77" w:type="dxa"/>
            <w:tcBorders>
              <w:top w:val="single" w:sz="6" w:space="0" w:color="000000"/>
              <w:left w:val="single" w:sz="6" w:space="0" w:color="000000"/>
              <w:bottom w:val="single" w:sz="6" w:space="0" w:color="000000"/>
              <w:right w:val="single" w:sz="6" w:space="0" w:color="000000"/>
            </w:tcBorders>
          </w:tcPr>
          <w:p w14:paraId="7D56488A" w14:textId="77777777" w:rsidR="002D58E4" w:rsidRDefault="00F721D4">
            <w:pPr>
              <w:rPr>
                <w:sz w:val="20"/>
                <w:szCs w:val="20"/>
              </w:rPr>
            </w:pPr>
            <w:r>
              <w:rPr>
                <w:sz w:val="20"/>
                <w:szCs w:val="20"/>
              </w:rPr>
              <w:t xml:space="preserve"> IMPORTANT</w:t>
            </w:r>
          </w:p>
        </w:tc>
      </w:tr>
      <w:tr w:rsidR="002D58E4" w14:paraId="4F1E5B40"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77E30AE" w14:textId="77777777" w:rsidR="002D58E4" w:rsidRDefault="00F721D4">
            <w:pPr>
              <w:rPr>
                <w:sz w:val="20"/>
                <w:szCs w:val="20"/>
              </w:rPr>
            </w:pPr>
            <w:r>
              <w:rPr>
                <w:b/>
                <w:sz w:val="20"/>
                <w:szCs w:val="20"/>
              </w:rPr>
              <w:t>Serious Adverse Events</w:t>
            </w:r>
          </w:p>
        </w:tc>
      </w:tr>
      <w:tr w:rsidR="002D58E4" w14:paraId="0AC8F6D2" w14:textId="77777777" w:rsidTr="00E70FE5">
        <w:tc>
          <w:tcPr>
            <w:tcW w:w="709" w:type="dxa"/>
            <w:tcBorders>
              <w:top w:val="single" w:sz="6" w:space="0" w:color="000000"/>
              <w:left w:val="single" w:sz="6" w:space="0" w:color="000000"/>
              <w:bottom w:val="single" w:sz="6" w:space="0" w:color="000000"/>
              <w:right w:val="single" w:sz="6" w:space="0" w:color="000000"/>
            </w:tcBorders>
          </w:tcPr>
          <w:p w14:paraId="5A9F907F" w14:textId="77777777" w:rsidR="002D58E4" w:rsidRDefault="00F721D4">
            <w:pPr>
              <w:rPr>
                <w:sz w:val="20"/>
                <w:szCs w:val="20"/>
              </w:rPr>
            </w:pPr>
            <w:r>
              <w:rPr>
                <w:sz w:val="20"/>
                <w:szCs w:val="20"/>
              </w:rPr>
              <w:t xml:space="preserve">2 </w:t>
            </w:r>
          </w:p>
        </w:tc>
        <w:tc>
          <w:tcPr>
            <w:tcW w:w="709" w:type="dxa"/>
            <w:tcBorders>
              <w:top w:val="single" w:sz="6" w:space="0" w:color="000000"/>
              <w:left w:val="single" w:sz="6" w:space="0" w:color="000000"/>
              <w:bottom w:val="single" w:sz="6" w:space="0" w:color="000000"/>
              <w:right w:val="single" w:sz="6" w:space="0" w:color="000000"/>
            </w:tcBorders>
          </w:tcPr>
          <w:p w14:paraId="367747B5" w14:textId="77777777" w:rsidR="002D58E4" w:rsidRDefault="00F721D4">
            <w:pPr>
              <w:rPr>
                <w:sz w:val="20"/>
                <w:szCs w:val="20"/>
              </w:rPr>
            </w:pPr>
            <w:r>
              <w:rPr>
                <w:sz w:val="20"/>
                <w:szCs w:val="20"/>
              </w:rPr>
              <w:t xml:space="preserve">RCT </w:t>
            </w:r>
            <w:r>
              <w:rPr>
                <w:sz w:val="20"/>
                <w:szCs w:val="20"/>
                <w:vertAlign w:val="superscript"/>
              </w:rPr>
              <w:t>3,4</w:t>
            </w:r>
          </w:p>
        </w:tc>
        <w:tc>
          <w:tcPr>
            <w:tcW w:w="850" w:type="dxa"/>
            <w:tcBorders>
              <w:top w:val="single" w:sz="6" w:space="0" w:color="000000"/>
              <w:left w:val="single" w:sz="6" w:space="0" w:color="000000"/>
              <w:bottom w:val="single" w:sz="6" w:space="0" w:color="000000"/>
              <w:right w:val="single" w:sz="6" w:space="0" w:color="000000"/>
            </w:tcBorders>
          </w:tcPr>
          <w:p w14:paraId="1906AFFE" w14:textId="77777777" w:rsidR="002D58E4" w:rsidRDefault="00F721D4">
            <w:pPr>
              <w:rPr>
                <w:sz w:val="20"/>
                <w:szCs w:val="20"/>
              </w:rPr>
            </w:pPr>
            <w:r>
              <w:rPr>
                <w:sz w:val="20"/>
                <w:szCs w:val="20"/>
              </w:rPr>
              <w:t xml:space="preserve">not serious </w:t>
            </w:r>
          </w:p>
        </w:tc>
        <w:tc>
          <w:tcPr>
            <w:tcW w:w="1380" w:type="dxa"/>
            <w:tcBorders>
              <w:top w:val="single" w:sz="6" w:space="0" w:color="000000"/>
              <w:left w:val="single" w:sz="6" w:space="0" w:color="000000"/>
              <w:bottom w:val="single" w:sz="6" w:space="0" w:color="000000"/>
              <w:right w:val="single" w:sz="6" w:space="0" w:color="000000"/>
            </w:tcBorders>
          </w:tcPr>
          <w:p w14:paraId="309A5075" w14:textId="77777777" w:rsidR="002D58E4" w:rsidRDefault="00F721D4">
            <w:pPr>
              <w:rPr>
                <w:sz w:val="20"/>
                <w:szCs w:val="20"/>
              </w:rPr>
            </w:pPr>
            <w:r>
              <w:rPr>
                <w:sz w:val="20"/>
                <w:szCs w:val="20"/>
              </w:rPr>
              <w:t xml:space="preserve">not serious </w:t>
            </w:r>
          </w:p>
        </w:tc>
        <w:tc>
          <w:tcPr>
            <w:tcW w:w="1030" w:type="dxa"/>
            <w:tcBorders>
              <w:top w:val="single" w:sz="6" w:space="0" w:color="000000"/>
              <w:left w:val="single" w:sz="6" w:space="0" w:color="000000"/>
              <w:bottom w:val="single" w:sz="6" w:space="0" w:color="000000"/>
              <w:right w:val="single" w:sz="6" w:space="0" w:color="000000"/>
            </w:tcBorders>
          </w:tcPr>
          <w:p w14:paraId="2B0D6049"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3B33AACF" w14:textId="77777777" w:rsidR="002D58E4" w:rsidRDefault="00F721D4">
            <w:pPr>
              <w:rPr>
                <w:sz w:val="20"/>
                <w:szCs w:val="20"/>
              </w:rPr>
            </w:pPr>
            <w:r>
              <w:rPr>
                <w:sz w:val="20"/>
                <w:szCs w:val="20"/>
              </w:rPr>
              <w:t xml:space="preserve">serious </w:t>
            </w:r>
            <w:r>
              <w:rPr>
                <w:sz w:val="20"/>
                <w:szCs w:val="20"/>
                <w:vertAlign w:val="superscript"/>
              </w:rPr>
              <w:t>c</w:t>
            </w:r>
          </w:p>
        </w:tc>
        <w:tc>
          <w:tcPr>
            <w:tcW w:w="961" w:type="dxa"/>
            <w:tcBorders>
              <w:top w:val="single" w:sz="6" w:space="0" w:color="000000"/>
              <w:left w:val="single" w:sz="6" w:space="0" w:color="000000"/>
              <w:bottom w:val="single" w:sz="6" w:space="0" w:color="000000"/>
              <w:right w:val="single" w:sz="6" w:space="0" w:color="000000"/>
            </w:tcBorders>
          </w:tcPr>
          <w:p w14:paraId="482C9C51" w14:textId="77777777" w:rsidR="002D58E4" w:rsidRDefault="00F721D4">
            <w:pPr>
              <w:rPr>
                <w:sz w:val="20"/>
                <w:szCs w:val="20"/>
              </w:rPr>
            </w:pPr>
            <w:r>
              <w:rPr>
                <w:sz w:val="20"/>
                <w:szCs w:val="20"/>
              </w:rPr>
              <w:t xml:space="preserve">none </w:t>
            </w:r>
          </w:p>
        </w:tc>
        <w:tc>
          <w:tcPr>
            <w:tcW w:w="1189" w:type="dxa"/>
            <w:tcBorders>
              <w:top w:val="single" w:sz="6" w:space="0" w:color="000000"/>
              <w:left w:val="single" w:sz="6" w:space="0" w:color="000000"/>
              <w:bottom w:val="single" w:sz="6" w:space="0" w:color="000000"/>
              <w:right w:val="single" w:sz="6" w:space="0" w:color="000000"/>
            </w:tcBorders>
          </w:tcPr>
          <w:p w14:paraId="7275B673" w14:textId="77777777" w:rsidR="002D58E4" w:rsidRDefault="00F721D4">
            <w:pPr>
              <w:jc w:val="center"/>
              <w:rPr>
                <w:sz w:val="20"/>
                <w:szCs w:val="20"/>
              </w:rPr>
            </w:pPr>
            <w:r>
              <w:rPr>
                <w:sz w:val="20"/>
                <w:szCs w:val="20"/>
              </w:rPr>
              <w:t xml:space="preserve">0/361 </w:t>
            </w:r>
          </w:p>
          <w:p w14:paraId="28E5509E" w14:textId="77777777" w:rsidR="002D58E4" w:rsidRDefault="00F721D4">
            <w:pPr>
              <w:jc w:val="center"/>
              <w:rPr>
                <w:sz w:val="20"/>
                <w:szCs w:val="20"/>
              </w:rPr>
            </w:pPr>
            <w:r>
              <w:rPr>
                <w:sz w:val="20"/>
                <w:szCs w:val="20"/>
              </w:rPr>
              <w:t xml:space="preserve">(0.0%) </w:t>
            </w:r>
          </w:p>
        </w:tc>
        <w:tc>
          <w:tcPr>
            <w:tcW w:w="948" w:type="dxa"/>
            <w:tcBorders>
              <w:top w:val="single" w:sz="6" w:space="0" w:color="000000"/>
              <w:left w:val="single" w:sz="6" w:space="0" w:color="000000"/>
              <w:bottom w:val="single" w:sz="6" w:space="0" w:color="000000"/>
              <w:right w:val="single" w:sz="6" w:space="0" w:color="000000"/>
            </w:tcBorders>
          </w:tcPr>
          <w:p w14:paraId="0052742D" w14:textId="77777777" w:rsidR="002D58E4" w:rsidRDefault="00F721D4">
            <w:pPr>
              <w:jc w:val="center"/>
              <w:rPr>
                <w:sz w:val="20"/>
                <w:szCs w:val="20"/>
              </w:rPr>
            </w:pPr>
            <w:r>
              <w:rPr>
                <w:sz w:val="20"/>
                <w:szCs w:val="20"/>
              </w:rPr>
              <w:t xml:space="preserve">0/335 </w:t>
            </w:r>
          </w:p>
          <w:p w14:paraId="763F8D5B" w14:textId="77777777" w:rsidR="002D58E4" w:rsidRDefault="00F721D4">
            <w:pPr>
              <w:jc w:val="center"/>
              <w:rPr>
                <w:sz w:val="20"/>
                <w:szCs w:val="20"/>
              </w:rPr>
            </w:pPr>
            <w:r>
              <w:rPr>
                <w:sz w:val="20"/>
                <w:szCs w:val="20"/>
              </w:rPr>
              <w:t xml:space="preserve">(0.0%) </w:t>
            </w:r>
          </w:p>
        </w:tc>
        <w:tc>
          <w:tcPr>
            <w:tcW w:w="1292" w:type="dxa"/>
            <w:tcBorders>
              <w:top w:val="single" w:sz="6" w:space="0" w:color="000000"/>
              <w:left w:val="single" w:sz="6" w:space="0" w:color="000000"/>
              <w:bottom w:val="single" w:sz="6" w:space="0" w:color="000000"/>
              <w:right w:val="single" w:sz="6" w:space="0" w:color="000000"/>
            </w:tcBorders>
          </w:tcPr>
          <w:p w14:paraId="7F1EBFF0" w14:textId="77777777" w:rsidR="002D58E4" w:rsidRDefault="00F721D4">
            <w:pPr>
              <w:jc w:val="center"/>
              <w:rPr>
                <w:sz w:val="20"/>
                <w:szCs w:val="20"/>
                <w:vertAlign w:val="superscript"/>
              </w:rPr>
            </w:pPr>
            <w:r>
              <w:rPr>
                <w:sz w:val="20"/>
                <w:szCs w:val="20"/>
              </w:rPr>
              <w:t xml:space="preserve">NA </w:t>
            </w:r>
            <w:r>
              <w:rPr>
                <w:sz w:val="20"/>
                <w:szCs w:val="20"/>
                <w:vertAlign w:val="superscript"/>
              </w:rPr>
              <w:t>e</w:t>
            </w:r>
          </w:p>
          <w:p w14:paraId="59B6475B" w14:textId="77777777" w:rsidR="002D58E4" w:rsidRDefault="002D58E4">
            <w:pPr>
              <w:jc w:val="center"/>
              <w:rPr>
                <w:sz w:val="20"/>
                <w:szCs w:val="20"/>
              </w:rPr>
            </w:pPr>
          </w:p>
        </w:tc>
        <w:tc>
          <w:tcPr>
            <w:tcW w:w="1847" w:type="dxa"/>
            <w:tcBorders>
              <w:top w:val="single" w:sz="6" w:space="0" w:color="000000"/>
              <w:left w:val="single" w:sz="6" w:space="0" w:color="000000"/>
              <w:bottom w:val="single" w:sz="6" w:space="0" w:color="000000"/>
              <w:right w:val="single" w:sz="6" w:space="0" w:color="000000"/>
            </w:tcBorders>
          </w:tcPr>
          <w:p w14:paraId="40DC60ED" w14:textId="77777777" w:rsidR="002D58E4" w:rsidRDefault="00F721D4">
            <w:pPr>
              <w:jc w:val="center"/>
              <w:rPr>
                <w:sz w:val="20"/>
                <w:szCs w:val="20"/>
              </w:rPr>
            </w:pPr>
            <w:r>
              <w:rPr>
                <w:sz w:val="20"/>
                <w:szCs w:val="20"/>
              </w:rPr>
              <w:t>0 per 1,000</w:t>
            </w:r>
          </w:p>
        </w:tc>
        <w:tc>
          <w:tcPr>
            <w:tcW w:w="1199" w:type="dxa"/>
            <w:tcBorders>
              <w:top w:val="single" w:sz="6" w:space="0" w:color="000000"/>
              <w:left w:val="single" w:sz="6" w:space="0" w:color="000000"/>
              <w:bottom w:val="single" w:sz="6" w:space="0" w:color="000000"/>
              <w:right w:val="single" w:sz="6" w:space="0" w:color="000000"/>
            </w:tcBorders>
          </w:tcPr>
          <w:p w14:paraId="617F290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77" w:type="dxa"/>
            <w:tcBorders>
              <w:top w:val="single" w:sz="6" w:space="0" w:color="000000"/>
              <w:left w:val="single" w:sz="6" w:space="0" w:color="000000"/>
              <w:bottom w:val="single" w:sz="6" w:space="0" w:color="000000"/>
              <w:right w:val="single" w:sz="6" w:space="0" w:color="000000"/>
            </w:tcBorders>
          </w:tcPr>
          <w:p w14:paraId="6655F5F0" w14:textId="77777777" w:rsidR="002D58E4" w:rsidRDefault="00F721D4">
            <w:pPr>
              <w:rPr>
                <w:sz w:val="20"/>
                <w:szCs w:val="20"/>
              </w:rPr>
            </w:pPr>
            <w:r>
              <w:rPr>
                <w:sz w:val="20"/>
                <w:szCs w:val="20"/>
              </w:rPr>
              <w:t xml:space="preserve"> IMPORTANT</w:t>
            </w:r>
          </w:p>
        </w:tc>
      </w:tr>
    </w:tbl>
    <w:p w14:paraId="5AB188B7" w14:textId="7E71493B" w:rsidR="002D58E4" w:rsidRDefault="00F721D4">
      <w:pPr>
        <w:pBdr>
          <w:top w:val="nil"/>
          <w:left w:val="nil"/>
          <w:bottom w:val="nil"/>
          <w:right w:val="nil"/>
          <w:between w:val="nil"/>
        </w:pBdr>
        <w:spacing w:before="100" w:after="100" w:line="240" w:lineRule="auto"/>
        <w:rPr>
          <w:b/>
          <w:color w:val="000000"/>
          <w:sz w:val="18"/>
          <w:szCs w:val="18"/>
        </w:rPr>
      </w:pPr>
      <w:bookmarkStart w:id="11" w:name="_Hlk33814522"/>
      <w:r>
        <w:rPr>
          <w:b/>
          <w:color w:val="000000"/>
          <w:sz w:val="18"/>
          <w:szCs w:val="18"/>
        </w:rPr>
        <w:t>*</w:t>
      </w:r>
      <w:r>
        <w:rPr>
          <w:color w:val="000000"/>
          <w:sz w:val="20"/>
          <w:szCs w:val="20"/>
        </w:rPr>
        <w:t xml:space="preserve"> Clinical evidence is defined as </w:t>
      </w:r>
      <w:r w:rsidR="00830F11">
        <w:rPr>
          <w:color w:val="000000"/>
          <w:sz w:val="20"/>
          <w:szCs w:val="20"/>
        </w:rPr>
        <w:t>e</w:t>
      </w:r>
      <w:r>
        <w:rPr>
          <w:color w:val="000000"/>
          <w:sz w:val="20"/>
          <w:szCs w:val="20"/>
        </w:rPr>
        <w:t xml:space="preserve">rythema </w:t>
      </w:r>
      <w:r w:rsidR="00830F11">
        <w:rPr>
          <w:color w:val="000000"/>
          <w:sz w:val="20"/>
          <w:szCs w:val="20"/>
        </w:rPr>
        <w:t>m</w:t>
      </w:r>
      <w:r>
        <w:rPr>
          <w:color w:val="000000"/>
          <w:sz w:val="20"/>
          <w:szCs w:val="20"/>
        </w:rPr>
        <w:t xml:space="preserve">igrans and/or </w:t>
      </w:r>
      <w:r w:rsidR="00830F11">
        <w:rPr>
          <w:color w:val="000000"/>
          <w:sz w:val="20"/>
          <w:szCs w:val="20"/>
        </w:rPr>
        <w:t>f</w:t>
      </w:r>
      <w:r>
        <w:rPr>
          <w:color w:val="000000"/>
          <w:sz w:val="20"/>
          <w:szCs w:val="20"/>
        </w:rPr>
        <w:t xml:space="preserve">lu-like symptoms or </w:t>
      </w:r>
      <w:r w:rsidR="00830F11">
        <w:rPr>
          <w:color w:val="000000"/>
          <w:sz w:val="20"/>
          <w:szCs w:val="20"/>
        </w:rPr>
        <w:t>f</w:t>
      </w:r>
      <w:r>
        <w:rPr>
          <w:color w:val="000000"/>
          <w:sz w:val="20"/>
          <w:szCs w:val="20"/>
        </w:rPr>
        <w:t>ebrile illness accompanied by seroconversion</w:t>
      </w:r>
      <w:r w:rsidR="00085048">
        <w:rPr>
          <w:color w:val="000000"/>
          <w:sz w:val="20"/>
          <w:szCs w:val="20"/>
        </w:rPr>
        <w:t>.</w:t>
      </w:r>
    </w:p>
    <w:bookmarkEnd w:id="11"/>
    <w:p w14:paraId="67D6B7AF"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5C964E4B" w14:textId="77777777" w:rsidR="00C34495" w:rsidRDefault="00C34495" w:rsidP="00C34495">
      <w:pPr>
        <w:pBdr>
          <w:top w:val="nil"/>
          <w:left w:val="nil"/>
          <w:bottom w:val="nil"/>
          <w:right w:val="nil"/>
          <w:between w:val="nil"/>
        </w:pBdr>
        <w:spacing w:after="0" w:line="240" w:lineRule="auto"/>
        <w:rPr>
          <w:b/>
          <w:color w:val="000000"/>
          <w:sz w:val="24"/>
          <w:szCs w:val="24"/>
        </w:rPr>
      </w:pPr>
      <w:r>
        <w:rPr>
          <w:b/>
          <w:color w:val="000000"/>
          <w:sz w:val="24"/>
          <w:szCs w:val="24"/>
        </w:rPr>
        <w:t>Explanations</w:t>
      </w:r>
    </w:p>
    <w:p w14:paraId="3351A14C" w14:textId="4CF69E53" w:rsidR="002D58E4" w:rsidRDefault="00F721D4">
      <w:pPr>
        <w:pBdr>
          <w:top w:val="nil"/>
          <w:left w:val="nil"/>
          <w:bottom w:val="nil"/>
          <w:right w:val="nil"/>
          <w:between w:val="nil"/>
        </w:pBdr>
        <w:spacing w:after="0" w:line="240" w:lineRule="auto"/>
        <w:rPr>
          <w:color w:val="000000"/>
          <w:sz w:val="18"/>
          <w:szCs w:val="18"/>
        </w:rPr>
      </w:pPr>
      <w:r>
        <w:rPr>
          <w:color w:val="000000"/>
          <w:sz w:val="18"/>
          <w:szCs w:val="18"/>
        </w:rPr>
        <w:t>a. Not ra</w:t>
      </w:r>
      <w:r w:rsidR="00830F11">
        <w:rPr>
          <w:color w:val="000000"/>
          <w:sz w:val="18"/>
          <w:szCs w:val="18"/>
        </w:rPr>
        <w:t>t</w:t>
      </w:r>
      <w:r>
        <w:rPr>
          <w:color w:val="000000"/>
          <w:sz w:val="18"/>
          <w:szCs w:val="18"/>
        </w:rPr>
        <w:t xml:space="preserve">ed </w:t>
      </w:r>
      <w:r w:rsidR="00830F11">
        <w:rPr>
          <w:color w:val="000000"/>
          <w:sz w:val="18"/>
          <w:szCs w:val="18"/>
        </w:rPr>
        <w:t xml:space="preserve">down for imprecision </w:t>
      </w:r>
      <w:r>
        <w:rPr>
          <w:color w:val="000000"/>
          <w:sz w:val="18"/>
          <w:szCs w:val="18"/>
        </w:rPr>
        <w:t>since OIS criteria met (OIS is 481 in each arm, with an effect of antibiotics from 3 to 0.6%: 80%, power: 0.8, alpha: 0.05).</w:t>
      </w:r>
    </w:p>
    <w:p w14:paraId="5DA5A997" w14:textId="77777777" w:rsidR="002D58E4" w:rsidRDefault="00F721D4">
      <w:pPr>
        <w:pBdr>
          <w:top w:val="nil"/>
          <w:left w:val="nil"/>
          <w:bottom w:val="nil"/>
          <w:right w:val="nil"/>
          <w:between w:val="nil"/>
        </w:pBdr>
        <w:spacing w:after="0" w:line="240" w:lineRule="auto"/>
        <w:rPr>
          <w:color w:val="000000"/>
          <w:sz w:val="18"/>
          <w:szCs w:val="18"/>
        </w:rPr>
      </w:pPr>
      <w:r>
        <w:rPr>
          <w:color w:val="000000"/>
          <w:sz w:val="18"/>
          <w:szCs w:val="18"/>
        </w:rPr>
        <w:t>b. Surrogate for clinical evidence of Lyme disease.</w:t>
      </w:r>
    </w:p>
    <w:p w14:paraId="3767DC8C" w14:textId="6F28AA36" w:rsidR="002D58E4" w:rsidRDefault="00F721D4">
      <w:pPr>
        <w:spacing w:after="0" w:line="240" w:lineRule="auto"/>
        <w:rPr>
          <w:color w:val="000000"/>
          <w:sz w:val="18"/>
          <w:szCs w:val="18"/>
        </w:rPr>
      </w:pPr>
      <w:r>
        <w:rPr>
          <w:color w:val="000000"/>
          <w:sz w:val="18"/>
          <w:szCs w:val="18"/>
        </w:rPr>
        <w:t>c. 95% CI is wide and crossing the null value, and few numbers of events reported</w:t>
      </w:r>
      <w:r w:rsidR="00830F11">
        <w:rPr>
          <w:color w:val="000000"/>
          <w:sz w:val="18"/>
          <w:szCs w:val="18"/>
        </w:rPr>
        <w:t>.</w:t>
      </w:r>
    </w:p>
    <w:p w14:paraId="2684C6C5" w14:textId="0616CEF5" w:rsidR="002D58E4" w:rsidRDefault="00F721D4">
      <w:pPr>
        <w:spacing w:after="0" w:line="240" w:lineRule="auto"/>
        <w:rPr>
          <w:color w:val="000000"/>
          <w:sz w:val="18"/>
          <w:szCs w:val="18"/>
        </w:rPr>
      </w:pPr>
      <w:r>
        <w:rPr>
          <w:color w:val="000000"/>
          <w:sz w:val="18"/>
          <w:szCs w:val="18"/>
        </w:rPr>
        <w:t>d. Not downgraded for fragility (fragility index = 14)</w:t>
      </w:r>
      <w:r w:rsidR="00830F11">
        <w:rPr>
          <w:color w:val="000000"/>
          <w:sz w:val="18"/>
          <w:szCs w:val="18"/>
        </w:rPr>
        <w:t>.</w:t>
      </w:r>
    </w:p>
    <w:p w14:paraId="4ECA3A39" w14:textId="77777777" w:rsidR="002D58E4" w:rsidRDefault="00F721D4">
      <w:pPr>
        <w:spacing w:after="0" w:line="240" w:lineRule="auto"/>
        <w:rPr>
          <w:color w:val="000000"/>
          <w:sz w:val="18"/>
          <w:szCs w:val="18"/>
        </w:rPr>
      </w:pPr>
      <w:r>
        <w:rPr>
          <w:color w:val="000000"/>
          <w:sz w:val="18"/>
          <w:szCs w:val="18"/>
        </w:rPr>
        <w:t xml:space="preserve">e. Due to zero events, unable to estimate relative risk. </w:t>
      </w:r>
    </w:p>
    <w:p w14:paraId="3F288190" w14:textId="77777777" w:rsidR="002D58E4" w:rsidRDefault="00F721D4">
      <w:pPr>
        <w:spacing w:after="0"/>
      </w:pPr>
      <w:r>
        <w:br w:type="page"/>
      </w:r>
    </w:p>
    <w:p w14:paraId="0FFF3786" w14:textId="77777777" w:rsidR="002D58E4" w:rsidRDefault="00F721D4">
      <w:pPr>
        <w:spacing w:after="0"/>
        <w:rPr>
          <w:b/>
          <w:sz w:val="32"/>
          <w:szCs w:val="32"/>
        </w:rPr>
      </w:pPr>
      <w:r>
        <w:rPr>
          <w:b/>
          <w:color w:val="000000"/>
          <w:sz w:val="24"/>
          <w:szCs w:val="24"/>
          <w:u w:val="single"/>
        </w:rPr>
        <w:lastRenderedPageBreak/>
        <w:t>PROPHYLACTIC ANTIBIOTIC THERAPY with DOXYCYCLINE vs. NO TREATMENT</w:t>
      </w:r>
    </w:p>
    <w:p w14:paraId="4D01CAB9" w14:textId="77777777" w:rsidR="002D58E4" w:rsidRDefault="00F721D4">
      <w:pPr>
        <w:spacing w:after="0"/>
        <w:rPr>
          <w:b/>
        </w:rPr>
      </w:pPr>
      <w:r>
        <w:rPr>
          <w:b/>
        </w:rPr>
        <w:t>In patients following a high-risk tick bite, should prophylactic antibiotic therapy with Doxycycline be used over none?</w:t>
      </w:r>
    </w:p>
    <w:p w14:paraId="58CAFA24" w14:textId="77777777" w:rsidR="002D58E4" w:rsidRDefault="00F721D4">
      <w:pPr>
        <w:spacing w:after="0"/>
      </w:pPr>
      <w:r>
        <w:t>P: In patients following a high-risk tick bite</w:t>
      </w:r>
    </w:p>
    <w:p w14:paraId="7DEB163C" w14:textId="77777777" w:rsidR="002D58E4" w:rsidRDefault="00F721D4">
      <w:pPr>
        <w:spacing w:after="0"/>
        <w:rPr>
          <w:highlight w:val="yellow"/>
        </w:rPr>
      </w:pPr>
      <w:r>
        <w:t>I: Prophylactic antibiotic therapy with Doxycycline</w:t>
      </w:r>
    </w:p>
    <w:p w14:paraId="3EC0EFDC" w14:textId="77777777" w:rsidR="002D58E4" w:rsidRDefault="00F721D4">
      <w:pPr>
        <w:spacing w:after="0"/>
      </w:pPr>
      <w:r>
        <w:t>C: No treatment</w:t>
      </w:r>
    </w:p>
    <w:p w14:paraId="0ABEB2B3" w14:textId="77777777" w:rsidR="002D58E4" w:rsidRDefault="002D58E4">
      <w:pPr>
        <w:spacing w:after="0"/>
        <w:rPr>
          <w:b/>
          <w:color w:val="000000"/>
          <w:sz w:val="18"/>
          <w:szCs w:val="18"/>
        </w:rPr>
      </w:pPr>
    </w:p>
    <w:p w14:paraId="50DA4675" w14:textId="77777777" w:rsidR="002D58E4" w:rsidRDefault="00F721D4">
      <w:pPr>
        <w:spacing w:after="0"/>
        <w:rPr>
          <w:color w:val="000000"/>
          <w:sz w:val="18"/>
          <w:szCs w:val="18"/>
        </w:rPr>
      </w:pPr>
      <w:r>
        <w:rPr>
          <w:b/>
          <w:color w:val="000000"/>
          <w:sz w:val="18"/>
          <w:szCs w:val="18"/>
        </w:rPr>
        <w:t>Bibliography</w:t>
      </w:r>
      <w:r>
        <w:rPr>
          <w:color w:val="000000"/>
          <w:sz w:val="18"/>
          <w:szCs w:val="18"/>
        </w:rPr>
        <w:t>: 1. Nadelman, et al. N Engl J Med. 2001 Jul 12;345(2):79-84.</w:t>
      </w:r>
    </w:p>
    <w:tbl>
      <w:tblPr>
        <w:tblStyle w:val="a7"/>
        <w:tblW w:w="14428"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9"/>
        <w:gridCol w:w="709"/>
        <w:gridCol w:w="850"/>
        <w:gridCol w:w="1358"/>
        <w:gridCol w:w="1052"/>
        <w:gridCol w:w="1189"/>
        <w:gridCol w:w="895"/>
        <w:gridCol w:w="1193"/>
        <w:gridCol w:w="892"/>
        <w:gridCol w:w="1343"/>
        <w:gridCol w:w="1859"/>
        <w:gridCol w:w="1193"/>
        <w:gridCol w:w="1186"/>
      </w:tblGrid>
      <w:tr w:rsidR="00830F11" w14:paraId="364F821A" w14:textId="77777777" w:rsidTr="00E70FE5">
        <w:tc>
          <w:tcPr>
            <w:tcW w:w="6762"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60CDD0A4" w14:textId="77777777" w:rsidR="00830F11" w:rsidRDefault="00830F11">
            <w:pPr>
              <w:jc w:val="center"/>
              <w:rPr>
                <w:b/>
                <w:sz w:val="20"/>
                <w:szCs w:val="20"/>
              </w:rPr>
            </w:pPr>
            <w:r>
              <w:rPr>
                <w:b/>
                <w:sz w:val="20"/>
                <w:szCs w:val="20"/>
              </w:rPr>
              <w:t>Certainty assessment</w:t>
            </w:r>
          </w:p>
        </w:tc>
        <w:tc>
          <w:tcPr>
            <w:tcW w:w="2085"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52CA111F" w14:textId="77777777" w:rsidR="00830F11" w:rsidRDefault="00830F11">
            <w:pPr>
              <w:jc w:val="center"/>
              <w:rPr>
                <w:b/>
                <w:sz w:val="20"/>
                <w:szCs w:val="20"/>
              </w:rPr>
            </w:pPr>
            <w:r>
              <w:rPr>
                <w:b/>
                <w:sz w:val="20"/>
                <w:szCs w:val="20"/>
              </w:rPr>
              <w:t>№ of events/№ of patients</w:t>
            </w:r>
          </w:p>
        </w:tc>
        <w:tc>
          <w:tcPr>
            <w:tcW w:w="3202"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CFFC188" w14:textId="77777777" w:rsidR="00830F11" w:rsidRDefault="00830F11">
            <w:pPr>
              <w:jc w:val="center"/>
              <w:rPr>
                <w:b/>
                <w:sz w:val="20"/>
                <w:szCs w:val="20"/>
              </w:rPr>
            </w:pPr>
            <w:r>
              <w:rPr>
                <w:b/>
                <w:sz w:val="20"/>
                <w:szCs w:val="20"/>
              </w:rPr>
              <w:t>Effect</w:t>
            </w:r>
          </w:p>
        </w:tc>
        <w:tc>
          <w:tcPr>
            <w:tcW w:w="1193" w:type="dxa"/>
            <w:vMerge w:val="restart"/>
            <w:tcBorders>
              <w:top w:val="single" w:sz="6" w:space="0" w:color="000000"/>
              <w:left w:val="single" w:sz="6" w:space="0" w:color="000000"/>
              <w:right w:val="single" w:sz="6" w:space="0" w:color="000000"/>
            </w:tcBorders>
            <w:shd w:val="clear" w:color="auto" w:fill="DDDDDD"/>
            <w:vAlign w:val="center"/>
          </w:tcPr>
          <w:p w14:paraId="6AB04E21" w14:textId="3C0384FA" w:rsidR="00830F11" w:rsidRDefault="00830F11">
            <w:pPr>
              <w:jc w:val="center"/>
              <w:rPr>
                <w:b/>
                <w:sz w:val="20"/>
                <w:szCs w:val="20"/>
              </w:rPr>
            </w:pPr>
            <w:r>
              <w:rPr>
                <w:b/>
                <w:sz w:val="20"/>
                <w:szCs w:val="20"/>
              </w:rPr>
              <w:t xml:space="preserve">Certainty </w:t>
            </w:r>
          </w:p>
        </w:tc>
        <w:tc>
          <w:tcPr>
            <w:tcW w:w="1186" w:type="dxa"/>
            <w:vMerge w:val="restart"/>
            <w:tcBorders>
              <w:top w:val="single" w:sz="6" w:space="0" w:color="000000"/>
              <w:left w:val="single" w:sz="6" w:space="0" w:color="000000"/>
              <w:right w:val="single" w:sz="6" w:space="0" w:color="000000"/>
            </w:tcBorders>
            <w:shd w:val="clear" w:color="auto" w:fill="DDDDDD"/>
            <w:vAlign w:val="center"/>
          </w:tcPr>
          <w:p w14:paraId="08B22C05" w14:textId="77777777" w:rsidR="00830F11" w:rsidRDefault="00830F11">
            <w:pPr>
              <w:jc w:val="center"/>
              <w:rPr>
                <w:b/>
                <w:sz w:val="20"/>
                <w:szCs w:val="20"/>
              </w:rPr>
            </w:pPr>
            <w:r>
              <w:rPr>
                <w:b/>
                <w:sz w:val="20"/>
                <w:szCs w:val="20"/>
              </w:rPr>
              <w:t>Importance</w:t>
            </w:r>
          </w:p>
        </w:tc>
      </w:tr>
      <w:tr w:rsidR="00830F11" w14:paraId="52C01751" w14:textId="77777777" w:rsidTr="00E70FE5">
        <w:tc>
          <w:tcPr>
            <w:tcW w:w="70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33EE176" w14:textId="77777777" w:rsidR="00830F11" w:rsidRDefault="00830F11">
            <w:pPr>
              <w:jc w:val="center"/>
              <w:rPr>
                <w:b/>
                <w:sz w:val="20"/>
                <w:szCs w:val="20"/>
              </w:rPr>
            </w:pPr>
            <w:r>
              <w:rPr>
                <w:b/>
                <w:sz w:val="20"/>
                <w:szCs w:val="20"/>
              </w:rPr>
              <w:t>№ of studies</w:t>
            </w:r>
          </w:p>
        </w:tc>
        <w:tc>
          <w:tcPr>
            <w:tcW w:w="70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E5C2051" w14:textId="77777777" w:rsidR="00830F11" w:rsidRDefault="00830F11">
            <w:pPr>
              <w:jc w:val="center"/>
              <w:rPr>
                <w:b/>
                <w:sz w:val="20"/>
                <w:szCs w:val="20"/>
              </w:rPr>
            </w:pPr>
            <w:r>
              <w:rPr>
                <w:b/>
                <w:sz w:val="20"/>
                <w:szCs w:val="20"/>
              </w:rPr>
              <w:t>Study design</w:t>
            </w:r>
          </w:p>
        </w:tc>
        <w:tc>
          <w:tcPr>
            <w:tcW w:w="850"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F50A2F5" w14:textId="77777777" w:rsidR="00830F11" w:rsidRDefault="00830F11">
            <w:pPr>
              <w:jc w:val="center"/>
              <w:rPr>
                <w:b/>
                <w:sz w:val="20"/>
                <w:szCs w:val="20"/>
              </w:rPr>
            </w:pPr>
            <w:r>
              <w:rPr>
                <w:b/>
                <w:sz w:val="20"/>
                <w:szCs w:val="20"/>
              </w:rPr>
              <w:t>Risk of bias</w:t>
            </w:r>
          </w:p>
        </w:tc>
        <w:tc>
          <w:tcPr>
            <w:tcW w:w="135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388818D" w14:textId="77777777" w:rsidR="00830F11" w:rsidRDefault="00830F11">
            <w:pPr>
              <w:jc w:val="center"/>
              <w:rPr>
                <w:b/>
                <w:sz w:val="20"/>
                <w:szCs w:val="20"/>
              </w:rPr>
            </w:pPr>
            <w:r>
              <w:rPr>
                <w:b/>
                <w:sz w:val="20"/>
                <w:szCs w:val="20"/>
              </w:rPr>
              <w:t>Inconsistency</w:t>
            </w:r>
          </w:p>
        </w:tc>
        <w:tc>
          <w:tcPr>
            <w:tcW w:w="1052"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6DEAB1B" w14:textId="77777777" w:rsidR="00830F11" w:rsidRDefault="00830F11">
            <w:pPr>
              <w:jc w:val="center"/>
              <w:rPr>
                <w:b/>
                <w:sz w:val="20"/>
                <w:szCs w:val="20"/>
              </w:rPr>
            </w:pPr>
            <w:r>
              <w:rPr>
                <w:b/>
                <w:sz w:val="20"/>
                <w:szCs w:val="20"/>
              </w:rPr>
              <w:t>Indirectness</w:t>
            </w:r>
          </w:p>
        </w:tc>
        <w:tc>
          <w:tcPr>
            <w:tcW w:w="118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756FD14" w14:textId="77777777" w:rsidR="00830F11" w:rsidRDefault="00830F11">
            <w:pPr>
              <w:jc w:val="center"/>
              <w:rPr>
                <w:b/>
                <w:sz w:val="20"/>
                <w:szCs w:val="20"/>
              </w:rPr>
            </w:pPr>
            <w:r>
              <w:rPr>
                <w:b/>
                <w:sz w:val="20"/>
                <w:szCs w:val="20"/>
              </w:rPr>
              <w:t>Imprecision</w:t>
            </w:r>
          </w:p>
        </w:tc>
        <w:tc>
          <w:tcPr>
            <w:tcW w:w="89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F37D309" w14:textId="77777777" w:rsidR="00830F11" w:rsidRDefault="00830F11">
            <w:pPr>
              <w:jc w:val="center"/>
              <w:rPr>
                <w:b/>
                <w:sz w:val="20"/>
                <w:szCs w:val="20"/>
              </w:rPr>
            </w:pPr>
            <w:r>
              <w:rPr>
                <w:b/>
                <w:sz w:val="20"/>
                <w:szCs w:val="20"/>
              </w:rPr>
              <w:t>Other considerations</w:t>
            </w:r>
          </w:p>
        </w:tc>
        <w:tc>
          <w:tcPr>
            <w:tcW w:w="119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BA7FA41" w14:textId="77777777" w:rsidR="00830F11" w:rsidRDefault="00830F11">
            <w:pPr>
              <w:jc w:val="center"/>
              <w:rPr>
                <w:b/>
                <w:sz w:val="20"/>
                <w:szCs w:val="20"/>
              </w:rPr>
            </w:pPr>
            <w:r>
              <w:rPr>
                <w:b/>
                <w:sz w:val="20"/>
                <w:szCs w:val="20"/>
              </w:rPr>
              <w:t>Doxycycline prophylaxis</w:t>
            </w:r>
          </w:p>
        </w:tc>
        <w:tc>
          <w:tcPr>
            <w:tcW w:w="892"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6385E5E" w14:textId="77777777" w:rsidR="00830F11" w:rsidRDefault="00830F11">
            <w:pPr>
              <w:jc w:val="center"/>
              <w:rPr>
                <w:b/>
                <w:sz w:val="20"/>
                <w:szCs w:val="20"/>
              </w:rPr>
            </w:pPr>
            <w:r>
              <w:rPr>
                <w:b/>
                <w:sz w:val="20"/>
                <w:szCs w:val="20"/>
              </w:rPr>
              <w:t>Placebo</w:t>
            </w:r>
          </w:p>
        </w:tc>
        <w:tc>
          <w:tcPr>
            <w:tcW w:w="134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B88EBF4" w14:textId="77777777" w:rsidR="00830F11" w:rsidRDefault="00830F11">
            <w:pPr>
              <w:jc w:val="center"/>
              <w:rPr>
                <w:b/>
                <w:sz w:val="20"/>
                <w:szCs w:val="20"/>
              </w:rPr>
            </w:pPr>
            <w:r>
              <w:rPr>
                <w:b/>
                <w:sz w:val="20"/>
                <w:szCs w:val="20"/>
              </w:rPr>
              <w:t>Relative</w:t>
            </w:r>
            <w:r>
              <w:rPr>
                <w:b/>
                <w:sz w:val="20"/>
                <w:szCs w:val="20"/>
              </w:rPr>
              <w:br/>
              <w:t>(95% CI)</w:t>
            </w:r>
          </w:p>
        </w:tc>
        <w:tc>
          <w:tcPr>
            <w:tcW w:w="185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ED0C523" w14:textId="77777777" w:rsidR="00830F11" w:rsidRDefault="00830F11">
            <w:pPr>
              <w:jc w:val="center"/>
              <w:rPr>
                <w:b/>
                <w:sz w:val="20"/>
                <w:szCs w:val="20"/>
              </w:rPr>
            </w:pPr>
            <w:r>
              <w:rPr>
                <w:b/>
                <w:sz w:val="20"/>
                <w:szCs w:val="20"/>
              </w:rPr>
              <w:t>Absolute</w:t>
            </w:r>
            <w:r>
              <w:rPr>
                <w:b/>
                <w:sz w:val="20"/>
                <w:szCs w:val="20"/>
              </w:rPr>
              <w:br/>
              <w:t>(95% CI)</w:t>
            </w:r>
          </w:p>
        </w:tc>
        <w:tc>
          <w:tcPr>
            <w:tcW w:w="1193" w:type="dxa"/>
            <w:vMerge/>
            <w:tcBorders>
              <w:left w:val="single" w:sz="6" w:space="0" w:color="000000"/>
              <w:bottom w:val="single" w:sz="6" w:space="0" w:color="000000"/>
              <w:right w:val="single" w:sz="6" w:space="0" w:color="000000"/>
            </w:tcBorders>
            <w:shd w:val="clear" w:color="auto" w:fill="DDDDDD"/>
            <w:vAlign w:val="center"/>
          </w:tcPr>
          <w:p w14:paraId="7A278CDA" w14:textId="77777777" w:rsidR="00830F11" w:rsidRDefault="00830F11">
            <w:pPr>
              <w:widowControl w:val="0"/>
              <w:pBdr>
                <w:top w:val="nil"/>
                <w:left w:val="nil"/>
                <w:bottom w:val="nil"/>
                <w:right w:val="nil"/>
                <w:between w:val="nil"/>
              </w:pBdr>
              <w:spacing w:line="276" w:lineRule="auto"/>
              <w:rPr>
                <w:b/>
                <w:sz w:val="20"/>
                <w:szCs w:val="20"/>
              </w:rPr>
            </w:pPr>
          </w:p>
        </w:tc>
        <w:tc>
          <w:tcPr>
            <w:tcW w:w="1186" w:type="dxa"/>
            <w:vMerge/>
            <w:tcBorders>
              <w:left w:val="single" w:sz="6" w:space="0" w:color="000000"/>
              <w:bottom w:val="single" w:sz="6" w:space="0" w:color="000000"/>
              <w:right w:val="single" w:sz="6" w:space="0" w:color="000000"/>
            </w:tcBorders>
            <w:shd w:val="clear" w:color="auto" w:fill="DDDDDD"/>
            <w:vAlign w:val="center"/>
          </w:tcPr>
          <w:p w14:paraId="5A538FCA" w14:textId="77777777" w:rsidR="00830F11" w:rsidRDefault="00830F11">
            <w:pPr>
              <w:widowControl w:val="0"/>
              <w:pBdr>
                <w:top w:val="nil"/>
                <w:left w:val="nil"/>
                <w:bottom w:val="nil"/>
                <w:right w:val="nil"/>
                <w:between w:val="nil"/>
              </w:pBdr>
              <w:spacing w:line="276" w:lineRule="auto"/>
              <w:rPr>
                <w:b/>
                <w:sz w:val="20"/>
                <w:szCs w:val="20"/>
              </w:rPr>
            </w:pPr>
          </w:p>
        </w:tc>
      </w:tr>
      <w:tr w:rsidR="002D58E4" w14:paraId="1C521132"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E4B5D96" w14:textId="77777777" w:rsidR="002D58E4" w:rsidRDefault="00F721D4">
            <w:pPr>
              <w:rPr>
                <w:sz w:val="20"/>
                <w:szCs w:val="20"/>
              </w:rPr>
            </w:pPr>
            <w:r>
              <w:rPr>
                <w:b/>
                <w:sz w:val="20"/>
                <w:szCs w:val="20"/>
              </w:rPr>
              <w:t xml:space="preserve">Clinical evidence of Lyme disease after treatment </w:t>
            </w:r>
            <w:r>
              <w:rPr>
                <w:sz w:val="20"/>
                <w:szCs w:val="20"/>
              </w:rPr>
              <w:t>*</w:t>
            </w:r>
          </w:p>
        </w:tc>
      </w:tr>
      <w:tr w:rsidR="002D58E4" w14:paraId="43F77001" w14:textId="77777777" w:rsidTr="00E70FE5">
        <w:tc>
          <w:tcPr>
            <w:tcW w:w="709" w:type="dxa"/>
            <w:tcBorders>
              <w:top w:val="single" w:sz="6" w:space="0" w:color="000000"/>
              <w:left w:val="single" w:sz="6" w:space="0" w:color="000000"/>
              <w:bottom w:val="single" w:sz="6" w:space="0" w:color="000000"/>
              <w:right w:val="single" w:sz="6" w:space="0" w:color="000000"/>
            </w:tcBorders>
          </w:tcPr>
          <w:p w14:paraId="136A6C81"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74D15352" w14:textId="77777777" w:rsidR="002D58E4" w:rsidRDefault="00F721D4">
            <w:pPr>
              <w:rPr>
                <w:sz w:val="20"/>
                <w:szCs w:val="20"/>
              </w:rPr>
            </w:pPr>
            <w:r>
              <w:rPr>
                <w:sz w:val="20"/>
                <w:szCs w:val="20"/>
              </w:rPr>
              <w:t xml:space="preserve">RCT </w:t>
            </w:r>
            <w:r>
              <w:rPr>
                <w:sz w:val="20"/>
                <w:szCs w:val="20"/>
                <w:vertAlign w:val="superscript"/>
              </w:rPr>
              <w:t>1</w:t>
            </w:r>
          </w:p>
        </w:tc>
        <w:tc>
          <w:tcPr>
            <w:tcW w:w="850" w:type="dxa"/>
            <w:tcBorders>
              <w:top w:val="single" w:sz="6" w:space="0" w:color="000000"/>
              <w:left w:val="single" w:sz="6" w:space="0" w:color="000000"/>
              <w:bottom w:val="single" w:sz="6" w:space="0" w:color="000000"/>
              <w:right w:val="single" w:sz="6" w:space="0" w:color="000000"/>
            </w:tcBorders>
          </w:tcPr>
          <w:p w14:paraId="1D76756A" w14:textId="77777777" w:rsidR="002D58E4" w:rsidRDefault="00F721D4">
            <w:pPr>
              <w:rPr>
                <w:sz w:val="20"/>
                <w:szCs w:val="20"/>
              </w:rPr>
            </w:pPr>
            <w:r>
              <w:rPr>
                <w:sz w:val="20"/>
                <w:szCs w:val="20"/>
              </w:rPr>
              <w:t xml:space="preserve">not serious </w:t>
            </w:r>
          </w:p>
        </w:tc>
        <w:tc>
          <w:tcPr>
            <w:tcW w:w="1358" w:type="dxa"/>
            <w:tcBorders>
              <w:top w:val="single" w:sz="6" w:space="0" w:color="000000"/>
              <w:left w:val="single" w:sz="6" w:space="0" w:color="000000"/>
              <w:bottom w:val="single" w:sz="6" w:space="0" w:color="000000"/>
              <w:right w:val="single" w:sz="6" w:space="0" w:color="000000"/>
            </w:tcBorders>
          </w:tcPr>
          <w:p w14:paraId="64832A77" w14:textId="77777777" w:rsidR="002D58E4" w:rsidRDefault="00F721D4">
            <w:pPr>
              <w:rPr>
                <w:sz w:val="20"/>
                <w:szCs w:val="20"/>
              </w:rPr>
            </w:pPr>
            <w:r>
              <w:rPr>
                <w:sz w:val="20"/>
                <w:szCs w:val="20"/>
              </w:rPr>
              <w:t xml:space="preserve">not serious </w:t>
            </w:r>
          </w:p>
        </w:tc>
        <w:tc>
          <w:tcPr>
            <w:tcW w:w="1052" w:type="dxa"/>
            <w:tcBorders>
              <w:top w:val="single" w:sz="6" w:space="0" w:color="000000"/>
              <w:left w:val="single" w:sz="6" w:space="0" w:color="000000"/>
              <w:bottom w:val="single" w:sz="6" w:space="0" w:color="000000"/>
              <w:right w:val="single" w:sz="6" w:space="0" w:color="000000"/>
            </w:tcBorders>
          </w:tcPr>
          <w:p w14:paraId="1700F199" w14:textId="77777777" w:rsidR="002D58E4" w:rsidRDefault="00F721D4">
            <w:pPr>
              <w:rPr>
                <w:sz w:val="20"/>
                <w:szCs w:val="20"/>
              </w:rPr>
            </w:pPr>
            <w:r>
              <w:rPr>
                <w:sz w:val="20"/>
                <w:szCs w:val="20"/>
              </w:rPr>
              <w:t xml:space="preserve">not serious </w:t>
            </w:r>
          </w:p>
        </w:tc>
        <w:tc>
          <w:tcPr>
            <w:tcW w:w="1189" w:type="dxa"/>
            <w:tcBorders>
              <w:top w:val="single" w:sz="6" w:space="0" w:color="000000"/>
              <w:left w:val="single" w:sz="6" w:space="0" w:color="000000"/>
              <w:bottom w:val="single" w:sz="6" w:space="0" w:color="000000"/>
              <w:right w:val="single" w:sz="6" w:space="0" w:color="000000"/>
            </w:tcBorders>
          </w:tcPr>
          <w:p w14:paraId="1A41304F" w14:textId="77777777" w:rsidR="002D58E4" w:rsidRDefault="00F721D4">
            <w:pPr>
              <w:rPr>
                <w:sz w:val="20"/>
                <w:szCs w:val="20"/>
              </w:rPr>
            </w:pPr>
            <w:r>
              <w:rPr>
                <w:sz w:val="20"/>
                <w:szCs w:val="20"/>
              </w:rPr>
              <w:t xml:space="preserve">serious </w:t>
            </w:r>
            <w:r>
              <w:rPr>
                <w:sz w:val="20"/>
                <w:szCs w:val="20"/>
                <w:vertAlign w:val="superscript"/>
              </w:rPr>
              <w:t>a</w:t>
            </w:r>
          </w:p>
        </w:tc>
        <w:tc>
          <w:tcPr>
            <w:tcW w:w="895" w:type="dxa"/>
            <w:tcBorders>
              <w:top w:val="single" w:sz="6" w:space="0" w:color="000000"/>
              <w:left w:val="single" w:sz="6" w:space="0" w:color="000000"/>
              <w:bottom w:val="single" w:sz="6" w:space="0" w:color="000000"/>
              <w:right w:val="single" w:sz="6" w:space="0" w:color="000000"/>
            </w:tcBorders>
          </w:tcPr>
          <w:p w14:paraId="51E7033E" w14:textId="77777777" w:rsidR="002D58E4" w:rsidRDefault="00F721D4">
            <w:pPr>
              <w:rPr>
                <w:sz w:val="20"/>
                <w:szCs w:val="20"/>
              </w:rPr>
            </w:pPr>
            <w:r>
              <w:rPr>
                <w:sz w:val="20"/>
                <w:szCs w:val="20"/>
              </w:rPr>
              <w:t xml:space="preserve">none </w:t>
            </w:r>
          </w:p>
        </w:tc>
        <w:tc>
          <w:tcPr>
            <w:tcW w:w="1193" w:type="dxa"/>
            <w:tcBorders>
              <w:top w:val="single" w:sz="6" w:space="0" w:color="000000"/>
              <w:left w:val="single" w:sz="6" w:space="0" w:color="000000"/>
              <w:bottom w:val="single" w:sz="6" w:space="0" w:color="000000"/>
              <w:right w:val="single" w:sz="6" w:space="0" w:color="000000"/>
            </w:tcBorders>
          </w:tcPr>
          <w:p w14:paraId="2674325F" w14:textId="77777777" w:rsidR="002D58E4" w:rsidRDefault="00F721D4">
            <w:pPr>
              <w:jc w:val="center"/>
              <w:rPr>
                <w:sz w:val="20"/>
                <w:szCs w:val="20"/>
              </w:rPr>
            </w:pPr>
            <w:r>
              <w:rPr>
                <w:sz w:val="20"/>
                <w:szCs w:val="20"/>
              </w:rPr>
              <w:t xml:space="preserve">3/235 </w:t>
            </w:r>
          </w:p>
          <w:p w14:paraId="52BD3FFA" w14:textId="77777777" w:rsidR="002D58E4" w:rsidRDefault="00F721D4">
            <w:pPr>
              <w:jc w:val="center"/>
              <w:rPr>
                <w:sz w:val="20"/>
                <w:szCs w:val="20"/>
              </w:rPr>
            </w:pPr>
            <w:r>
              <w:rPr>
                <w:sz w:val="20"/>
                <w:szCs w:val="20"/>
              </w:rPr>
              <w:t xml:space="preserve">(1.3%) </w:t>
            </w:r>
          </w:p>
        </w:tc>
        <w:tc>
          <w:tcPr>
            <w:tcW w:w="892" w:type="dxa"/>
            <w:tcBorders>
              <w:top w:val="single" w:sz="6" w:space="0" w:color="000000"/>
              <w:left w:val="single" w:sz="6" w:space="0" w:color="000000"/>
              <w:bottom w:val="single" w:sz="6" w:space="0" w:color="000000"/>
              <w:right w:val="single" w:sz="6" w:space="0" w:color="000000"/>
            </w:tcBorders>
          </w:tcPr>
          <w:p w14:paraId="414C2F04" w14:textId="77777777" w:rsidR="002D58E4" w:rsidRDefault="00F721D4">
            <w:pPr>
              <w:jc w:val="center"/>
              <w:rPr>
                <w:sz w:val="20"/>
                <w:szCs w:val="20"/>
              </w:rPr>
            </w:pPr>
            <w:r>
              <w:rPr>
                <w:sz w:val="20"/>
                <w:szCs w:val="20"/>
              </w:rPr>
              <w:t xml:space="preserve">11/247 (4.5%) </w:t>
            </w:r>
          </w:p>
        </w:tc>
        <w:tc>
          <w:tcPr>
            <w:tcW w:w="1343" w:type="dxa"/>
            <w:tcBorders>
              <w:top w:val="single" w:sz="6" w:space="0" w:color="000000"/>
              <w:left w:val="single" w:sz="6" w:space="0" w:color="000000"/>
              <w:bottom w:val="single" w:sz="6" w:space="0" w:color="000000"/>
              <w:right w:val="single" w:sz="6" w:space="0" w:color="000000"/>
            </w:tcBorders>
          </w:tcPr>
          <w:p w14:paraId="22B47416" w14:textId="77777777" w:rsidR="002D58E4" w:rsidRDefault="00F721D4">
            <w:pPr>
              <w:jc w:val="center"/>
              <w:rPr>
                <w:sz w:val="20"/>
                <w:szCs w:val="20"/>
              </w:rPr>
            </w:pPr>
            <w:r>
              <w:rPr>
                <w:sz w:val="20"/>
                <w:szCs w:val="20"/>
              </w:rPr>
              <w:t>RR 0.29</w:t>
            </w:r>
            <w:r>
              <w:rPr>
                <w:sz w:val="20"/>
                <w:szCs w:val="20"/>
              </w:rPr>
              <w:br/>
              <w:t xml:space="preserve">(0.08 to 1.01) </w:t>
            </w:r>
          </w:p>
        </w:tc>
        <w:tc>
          <w:tcPr>
            <w:tcW w:w="1859" w:type="dxa"/>
            <w:tcBorders>
              <w:top w:val="single" w:sz="6" w:space="0" w:color="000000"/>
              <w:left w:val="single" w:sz="6" w:space="0" w:color="000000"/>
              <w:bottom w:val="single" w:sz="6" w:space="0" w:color="000000"/>
              <w:right w:val="single" w:sz="6" w:space="0" w:color="000000"/>
            </w:tcBorders>
          </w:tcPr>
          <w:p w14:paraId="7FD63C57" w14:textId="77777777" w:rsidR="002D58E4" w:rsidRDefault="00F721D4">
            <w:pPr>
              <w:jc w:val="center"/>
              <w:rPr>
                <w:b/>
                <w:sz w:val="20"/>
                <w:szCs w:val="20"/>
              </w:rPr>
            </w:pPr>
            <w:r>
              <w:rPr>
                <w:b/>
                <w:sz w:val="20"/>
                <w:szCs w:val="20"/>
              </w:rPr>
              <w:t>32 fewer per 1,000</w:t>
            </w:r>
            <w:r>
              <w:rPr>
                <w:b/>
                <w:sz w:val="20"/>
                <w:szCs w:val="20"/>
              </w:rPr>
              <w:br/>
              <w:t xml:space="preserve">(from 2 fewer to 61 fewer) </w:t>
            </w:r>
          </w:p>
        </w:tc>
        <w:tc>
          <w:tcPr>
            <w:tcW w:w="1193" w:type="dxa"/>
            <w:tcBorders>
              <w:top w:val="single" w:sz="6" w:space="0" w:color="000000"/>
              <w:left w:val="single" w:sz="6" w:space="0" w:color="000000"/>
              <w:bottom w:val="single" w:sz="6" w:space="0" w:color="000000"/>
              <w:right w:val="single" w:sz="6" w:space="0" w:color="000000"/>
            </w:tcBorders>
          </w:tcPr>
          <w:p w14:paraId="58D5D954"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1EFF51F2" w14:textId="77777777" w:rsidR="002D58E4" w:rsidRDefault="00F721D4">
            <w:pPr>
              <w:rPr>
                <w:sz w:val="20"/>
                <w:szCs w:val="20"/>
              </w:rPr>
            </w:pPr>
            <w:r>
              <w:rPr>
                <w:sz w:val="20"/>
                <w:szCs w:val="20"/>
              </w:rPr>
              <w:t xml:space="preserve">CRITICAL </w:t>
            </w:r>
          </w:p>
        </w:tc>
      </w:tr>
      <w:tr w:rsidR="002D58E4" w14:paraId="776E5070"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690ADF5" w14:textId="77777777" w:rsidR="002D58E4" w:rsidRDefault="00F721D4">
            <w:pPr>
              <w:rPr>
                <w:sz w:val="20"/>
                <w:szCs w:val="20"/>
              </w:rPr>
            </w:pPr>
            <w:r>
              <w:rPr>
                <w:b/>
                <w:sz w:val="20"/>
                <w:szCs w:val="20"/>
              </w:rPr>
              <w:t>Seroconversion post-treatment</w:t>
            </w:r>
          </w:p>
        </w:tc>
      </w:tr>
      <w:tr w:rsidR="002D58E4" w14:paraId="2CFE74FD" w14:textId="77777777" w:rsidTr="00E70FE5">
        <w:tc>
          <w:tcPr>
            <w:tcW w:w="709" w:type="dxa"/>
            <w:tcBorders>
              <w:top w:val="single" w:sz="6" w:space="0" w:color="000000"/>
              <w:left w:val="single" w:sz="6" w:space="0" w:color="000000"/>
              <w:bottom w:val="single" w:sz="6" w:space="0" w:color="000000"/>
              <w:right w:val="single" w:sz="6" w:space="0" w:color="000000"/>
            </w:tcBorders>
          </w:tcPr>
          <w:p w14:paraId="5E10E0FB"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4893E69C" w14:textId="77777777" w:rsidR="002D58E4" w:rsidRDefault="00F721D4">
            <w:pPr>
              <w:rPr>
                <w:sz w:val="20"/>
                <w:szCs w:val="20"/>
              </w:rPr>
            </w:pPr>
            <w:r>
              <w:rPr>
                <w:sz w:val="20"/>
                <w:szCs w:val="20"/>
              </w:rPr>
              <w:t xml:space="preserve">RCT </w:t>
            </w:r>
            <w:r>
              <w:rPr>
                <w:sz w:val="20"/>
                <w:szCs w:val="20"/>
                <w:vertAlign w:val="superscript"/>
              </w:rPr>
              <w:t>1</w:t>
            </w:r>
          </w:p>
        </w:tc>
        <w:tc>
          <w:tcPr>
            <w:tcW w:w="850" w:type="dxa"/>
            <w:tcBorders>
              <w:top w:val="single" w:sz="6" w:space="0" w:color="000000"/>
              <w:left w:val="single" w:sz="6" w:space="0" w:color="000000"/>
              <w:bottom w:val="single" w:sz="6" w:space="0" w:color="000000"/>
              <w:right w:val="single" w:sz="6" w:space="0" w:color="000000"/>
            </w:tcBorders>
          </w:tcPr>
          <w:p w14:paraId="6D02B7F3" w14:textId="77777777" w:rsidR="002D58E4" w:rsidRDefault="00F721D4">
            <w:pPr>
              <w:rPr>
                <w:sz w:val="20"/>
                <w:szCs w:val="20"/>
              </w:rPr>
            </w:pPr>
            <w:r>
              <w:rPr>
                <w:sz w:val="20"/>
                <w:szCs w:val="20"/>
              </w:rPr>
              <w:t xml:space="preserve">not serious </w:t>
            </w:r>
          </w:p>
        </w:tc>
        <w:tc>
          <w:tcPr>
            <w:tcW w:w="1358" w:type="dxa"/>
            <w:tcBorders>
              <w:top w:val="single" w:sz="6" w:space="0" w:color="000000"/>
              <w:left w:val="single" w:sz="6" w:space="0" w:color="000000"/>
              <w:bottom w:val="single" w:sz="6" w:space="0" w:color="000000"/>
              <w:right w:val="single" w:sz="6" w:space="0" w:color="000000"/>
            </w:tcBorders>
          </w:tcPr>
          <w:p w14:paraId="1C57D7D8" w14:textId="77777777" w:rsidR="002D58E4" w:rsidRDefault="00F721D4">
            <w:pPr>
              <w:rPr>
                <w:sz w:val="20"/>
                <w:szCs w:val="20"/>
              </w:rPr>
            </w:pPr>
            <w:r>
              <w:rPr>
                <w:sz w:val="20"/>
                <w:szCs w:val="20"/>
              </w:rPr>
              <w:t>not serious</w:t>
            </w:r>
          </w:p>
        </w:tc>
        <w:tc>
          <w:tcPr>
            <w:tcW w:w="1052" w:type="dxa"/>
            <w:tcBorders>
              <w:top w:val="single" w:sz="6" w:space="0" w:color="000000"/>
              <w:left w:val="single" w:sz="6" w:space="0" w:color="000000"/>
              <w:bottom w:val="single" w:sz="6" w:space="0" w:color="000000"/>
              <w:right w:val="single" w:sz="6" w:space="0" w:color="000000"/>
            </w:tcBorders>
          </w:tcPr>
          <w:p w14:paraId="710048F7" w14:textId="77777777" w:rsidR="002D58E4" w:rsidRDefault="00F721D4">
            <w:pPr>
              <w:rPr>
                <w:sz w:val="20"/>
                <w:szCs w:val="20"/>
              </w:rPr>
            </w:pPr>
            <w:r>
              <w:rPr>
                <w:sz w:val="20"/>
                <w:szCs w:val="20"/>
              </w:rPr>
              <w:t>serious</w:t>
            </w:r>
            <w:r>
              <w:rPr>
                <w:sz w:val="20"/>
                <w:szCs w:val="20"/>
                <w:vertAlign w:val="superscript"/>
              </w:rPr>
              <w:t xml:space="preserve"> b</w:t>
            </w:r>
          </w:p>
        </w:tc>
        <w:tc>
          <w:tcPr>
            <w:tcW w:w="1189" w:type="dxa"/>
            <w:tcBorders>
              <w:top w:val="single" w:sz="6" w:space="0" w:color="000000"/>
              <w:left w:val="single" w:sz="6" w:space="0" w:color="000000"/>
              <w:bottom w:val="single" w:sz="6" w:space="0" w:color="000000"/>
              <w:right w:val="single" w:sz="6" w:space="0" w:color="000000"/>
            </w:tcBorders>
          </w:tcPr>
          <w:p w14:paraId="32FC2138" w14:textId="77777777" w:rsidR="002D58E4" w:rsidRDefault="00F721D4">
            <w:pPr>
              <w:rPr>
                <w:sz w:val="20"/>
                <w:szCs w:val="20"/>
              </w:rPr>
            </w:pPr>
            <w:r>
              <w:rPr>
                <w:sz w:val="20"/>
                <w:szCs w:val="20"/>
              </w:rPr>
              <w:t xml:space="preserve">serious </w:t>
            </w:r>
            <w:r>
              <w:rPr>
                <w:sz w:val="20"/>
                <w:szCs w:val="20"/>
                <w:vertAlign w:val="superscript"/>
              </w:rPr>
              <w:t>c</w:t>
            </w:r>
          </w:p>
        </w:tc>
        <w:tc>
          <w:tcPr>
            <w:tcW w:w="895" w:type="dxa"/>
            <w:tcBorders>
              <w:top w:val="single" w:sz="6" w:space="0" w:color="000000"/>
              <w:left w:val="single" w:sz="6" w:space="0" w:color="000000"/>
              <w:bottom w:val="single" w:sz="6" w:space="0" w:color="000000"/>
              <w:right w:val="single" w:sz="6" w:space="0" w:color="000000"/>
            </w:tcBorders>
          </w:tcPr>
          <w:p w14:paraId="0D9333FE" w14:textId="77777777" w:rsidR="002D58E4" w:rsidRDefault="00F721D4">
            <w:pPr>
              <w:rPr>
                <w:sz w:val="20"/>
                <w:szCs w:val="20"/>
              </w:rPr>
            </w:pPr>
            <w:r>
              <w:rPr>
                <w:sz w:val="20"/>
                <w:szCs w:val="20"/>
              </w:rPr>
              <w:t xml:space="preserve">none </w:t>
            </w:r>
          </w:p>
        </w:tc>
        <w:tc>
          <w:tcPr>
            <w:tcW w:w="1193" w:type="dxa"/>
            <w:tcBorders>
              <w:top w:val="single" w:sz="6" w:space="0" w:color="000000"/>
              <w:left w:val="single" w:sz="6" w:space="0" w:color="000000"/>
              <w:bottom w:val="single" w:sz="6" w:space="0" w:color="000000"/>
              <w:right w:val="single" w:sz="6" w:space="0" w:color="000000"/>
            </w:tcBorders>
          </w:tcPr>
          <w:p w14:paraId="633E5829" w14:textId="77777777" w:rsidR="002D58E4" w:rsidRDefault="00F721D4">
            <w:pPr>
              <w:jc w:val="center"/>
              <w:rPr>
                <w:sz w:val="20"/>
                <w:szCs w:val="20"/>
              </w:rPr>
            </w:pPr>
            <w:r>
              <w:rPr>
                <w:sz w:val="20"/>
                <w:szCs w:val="20"/>
              </w:rPr>
              <w:t xml:space="preserve">0/30 </w:t>
            </w:r>
          </w:p>
          <w:p w14:paraId="69C90245" w14:textId="77777777" w:rsidR="002D58E4" w:rsidRDefault="00F721D4">
            <w:pPr>
              <w:jc w:val="center"/>
              <w:rPr>
                <w:sz w:val="20"/>
                <w:szCs w:val="20"/>
              </w:rPr>
            </w:pPr>
            <w:r>
              <w:rPr>
                <w:sz w:val="20"/>
                <w:szCs w:val="20"/>
              </w:rPr>
              <w:t xml:space="preserve">(0.0%) </w:t>
            </w:r>
          </w:p>
        </w:tc>
        <w:tc>
          <w:tcPr>
            <w:tcW w:w="892" w:type="dxa"/>
            <w:tcBorders>
              <w:top w:val="single" w:sz="6" w:space="0" w:color="000000"/>
              <w:left w:val="single" w:sz="6" w:space="0" w:color="000000"/>
              <w:bottom w:val="single" w:sz="6" w:space="0" w:color="000000"/>
              <w:right w:val="single" w:sz="6" w:space="0" w:color="000000"/>
            </w:tcBorders>
          </w:tcPr>
          <w:p w14:paraId="5F69080D" w14:textId="77777777" w:rsidR="002D58E4" w:rsidRDefault="00F721D4">
            <w:pPr>
              <w:jc w:val="center"/>
              <w:rPr>
                <w:sz w:val="20"/>
                <w:szCs w:val="20"/>
              </w:rPr>
            </w:pPr>
            <w:r>
              <w:rPr>
                <w:sz w:val="20"/>
                <w:szCs w:val="20"/>
              </w:rPr>
              <w:t xml:space="preserve">4/90 </w:t>
            </w:r>
          </w:p>
          <w:p w14:paraId="5B66C5A5" w14:textId="77777777" w:rsidR="002D58E4" w:rsidRDefault="00F721D4">
            <w:pPr>
              <w:jc w:val="center"/>
              <w:rPr>
                <w:sz w:val="20"/>
                <w:szCs w:val="20"/>
              </w:rPr>
            </w:pPr>
            <w:r>
              <w:rPr>
                <w:sz w:val="20"/>
                <w:szCs w:val="20"/>
              </w:rPr>
              <w:t xml:space="preserve">(4.4%) </w:t>
            </w:r>
          </w:p>
        </w:tc>
        <w:tc>
          <w:tcPr>
            <w:tcW w:w="1343" w:type="dxa"/>
            <w:tcBorders>
              <w:top w:val="single" w:sz="6" w:space="0" w:color="000000"/>
              <w:left w:val="single" w:sz="6" w:space="0" w:color="000000"/>
              <w:bottom w:val="single" w:sz="6" w:space="0" w:color="000000"/>
              <w:right w:val="single" w:sz="6" w:space="0" w:color="000000"/>
            </w:tcBorders>
          </w:tcPr>
          <w:p w14:paraId="10B92C80" w14:textId="77777777" w:rsidR="002D58E4" w:rsidRDefault="00F721D4">
            <w:pPr>
              <w:jc w:val="center"/>
              <w:rPr>
                <w:sz w:val="20"/>
                <w:szCs w:val="20"/>
                <w:vertAlign w:val="superscript"/>
              </w:rPr>
            </w:pPr>
            <w:r>
              <w:rPr>
                <w:sz w:val="20"/>
                <w:szCs w:val="20"/>
              </w:rPr>
              <w:t xml:space="preserve">NA </w:t>
            </w:r>
            <w:r>
              <w:rPr>
                <w:sz w:val="20"/>
                <w:szCs w:val="20"/>
                <w:vertAlign w:val="superscript"/>
              </w:rPr>
              <w:t>d</w:t>
            </w:r>
          </w:p>
        </w:tc>
        <w:tc>
          <w:tcPr>
            <w:tcW w:w="1859" w:type="dxa"/>
            <w:tcBorders>
              <w:top w:val="single" w:sz="6" w:space="0" w:color="000000"/>
              <w:left w:val="single" w:sz="6" w:space="0" w:color="000000"/>
              <w:bottom w:val="single" w:sz="6" w:space="0" w:color="000000"/>
              <w:right w:val="single" w:sz="6" w:space="0" w:color="000000"/>
            </w:tcBorders>
          </w:tcPr>
          <w:p w14:paraId="2AECF102" w14:textId="77777777" w:rsidR="002D58E4" w:rsidRDefault="00F721D4">
            <w:pPr>
              <w:jc w:val="center"/>
              <w:rPr>
                <w:sz w:val="20"/>
                <w:szCs w:val="20"/>
              </w:rPr>
            </w:pPr>
            <w:r>
              <w:rPr>
                <w:sz w:val="20"/>
                <w:szCs w:val="20"/>
              </w:rPr>
              <w:t>44 fewer per 1,000</w:t>
            </w:r>
          </w:p>
        </w:tc>
        <w:tc>
          <w:tcPr>
            <w:tcW w:w="1193" w:type="dxa"/>
            <w:tcBorders>
              <w:top w:val="single" w:sz="6" w:space="0" w:color="000000"/>
              <w:left w:val="single" w:sz="6" w:space="0" w:color="000000"/>
              <w:bottom w:val="single" w:sz="6" w:space="0" w:color="000000"/>
              <w:right w:val="single" w:sz="6" w:space="0" w:color="000000"/>
            </w:tcBorders>
          </w:tcPr>
          <w:p w14:paraId="5EE6B0A4"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53137864" w14:textId="77777777" w:rsidR="002D58E4" w:rsidRDefault="00F721D4">
            <w:pPr>
              <w:rPr>
                <w:sz w:val="20"/>
                <w:szCs w:val="20"/>
              </w:rPr>
            </w:pPr>
            <w:r>
              <w:rPr>
                <w:sz w:val="20"/>
                <w:szCs w:val="20"/>
              </w:rPr>
              <w:t>IMPORTANT</w:t>
            </w:r>
          </w:p>
        </w:tc>
      </w:tr>
      <w:tr w:rsidR="002D58E4" w14:paraId="3D0B6FB0"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8DACD86" w14:textId="77777777" w:rsidR="002D58E4" w:rsidRDefault="00F721D4">
            <w:pPr>
              <w:rPr>
                <w:sz w:val="20"/>
                <w:szCs w:val="20"/>
              </w:rPr>
            </w:pPr>
            <w:r>
              <w:rPr>
                <w:b/>
                <w:sz w:val="20"/>
                <w:szCs w:val="20"/>
              </w:rPr>
              <w:t>Dermatologic Adverse Events</w:t>
            </w:r>
          </w:p>
        </w:tc>
      </w:tr>
      <w:tr w:rsidR="002D58E4" w14:paraId="14630788" w14:textId="77777777" w:rsidTr="00E70FE5">
        <w:tc>
          <w:tcPr>
            <w:tcW w:w="709" w:type="dxa"/>
            <w:tcBorders>
              <w:top w:val="single" w:sz="6" w:space="0" w:color="000000"/>
              <w:left w:val="single" w:sz="6" w:space="0" w:color="000000"/>
              <w:bottom w:val="single" w:sz="6" w:space="0" w:color="000000"/>
              <w:right w:val="single" w:sz="6" w:space="0" w:color="000000"/>
            </w:tcBorders>
          </w:tcPr>
          <w:p w14:paraId="7AC87CE3"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786C1B61" w14:textId="77777777" w:rsidR="002D58E4" w:rsidRDefault="00F721D4">
            <w:pPr>
              <w:rPr>
                <w:sz w:val="20"/>
                <w:szCs w:val="20"/>
              </w:rPr>
            </w:pPr>
            <w:r>
              <w:rPr>
                <w:sz w:val="20"/>
                <w:szCs w:val="20"/>
              </w:rPr>
              <w:t xml:space="preserve">RCT </w:t>
            </w:r>
            <w:r>
              <w:rPr>
                <w:sz w:val="20"/>
                <w:szCs w:val="20"/>
                <w:vertAlign w:val="superscript"/>
              </w:rPr>
              <w:t>1</w:t>
            </w:r>
          </w:p>
        </w:tc>
        <w:tc>
          <w:tcPr>
            <w:tcW w:w="850" w:type="dxa"/>
            <w:tcBorders>
              <w:top w:val="single" w:sz="6" w:space="0" w:color="000000"/>
              <w:left w:val="single" w:sz="6" w:space="0" w:color="000000"/>
              <w:bottom w:val="single" w:sz="6" w:space="0" w:color="000000"/>
              <w:right w:val="single" w:sz="6" w:space="0" w:color="000000"/>
            </w:tcBorders>
          </w:tcPr>
          <w:p w14:paraId="66634F72" w14:textId="77777777" w:rsidR="002D58E4" w:rsidRDefault="00F721D4">
            <w:pPr>
              <w:rPr>
                <w:sz w:val="20"/>
                <w:szCs w:val="20"/>
              </w:rPr>
            </w:pPr>
            <w:r>
              <w:rPr>
                <w:sz w:val="20"/>
                <w:szCs w:val="20"/>
              </w:rPr>
              <w:t xml:space="preserve">not serious </w:t>
            </w:r>
          </w:p>
        </w:tc>
        <w:tc>
          <w:tcPr>
            <w:tcW w:w="1358" w:type="dxa"/>
            <w:tcBorders>
              <w:top w:val="single" w:sz="6" w:space="0" w:color="000000"/>
              <w:left w:val="single" w:sz="6" w:space="0" w:color="000000"/>
              <w:bottom w:val="single" w:sz="6" w:space="0" w:color="000000"/>
              <w:right w:val="single" w:sz="6" w:space="0" w:color="000000"/>
            </w:tcBorders>
          </w:tcPr>
          <w:p w14:paraId="0AEBC852" w14:textId="77777777" w:rsidR="002D58E4" w:rsidRDefault="00F721D4">
            <w:pPr>
              <w:rPr>
                <w:sz w:val="20"/>
                <w:szCs w:val="20"/>
              </w:rPr>
            </w:pPr>
            <w:r>
              <w:rPr>
                <w:sz w:val="20"/>
                <w:szCs w:val="20"/>
              </w:rPr>
              <w:t>not serious</w:t>
            </w:r>
          </w:p>
        </w:tc>
        <w:tc>
          <w:tcPr>
            <w:tcW w:w="1052" w:type="dxa"/>
            <w:tcBorders>
              <w:top w:val="single" w:sz="6" w:space="0" w:color="000000"/>
              <w:left w:val="single" w:sz="6" w:space="0" w:color="000000"/>
              <w:bottom w:val="single" w:sz="6" w:space="0" w:color="000000"/>
              <w:right w:val="single" w:sz="6" w:space="0" w:color="000000"/>
            </w:tcBorders>
          </w:tcPr>
          <w:p w14:paraId="1270A797" w14:textId="77777777" w:rsidR="002D58E4" w:rsidRDefault="00F721D4">
            <w:pPr>
              <w:rPr>
                <w:sz w:val="20"/>
                <w:szCs w:val="20"/>
              </w:rPr>
            </w:pPr>
            <w:r>
              <w:rPr>
                <w:sz w:val="20"/>
                <w:szCs w:val="20"/>
              </w:rPr>
              <w:t xml:space="preserve">not serious </w:t>
            </w:r>
          </w:p>
        </w:tc>
        <w:tc>
          <w:tcPr>
            <w:tcW w:w="1189" w:type="dxa"/>
            <w:tcBorders>
              <w:top w:val="single" w:sz="6" w:space="0" w:color="000000"/>
              <w:left w:val="single" w:sz="6" w:space="0" w:color="000000"/>
              <w:bottom w:val="single" w:sz="6" w:space="0" w:color="000000"/>
              <w:right w:val="single" w:sz="6" w:space="0" w:color="000000"/>
            </w:tcBorders>
          </w:tcPr>
          <w:p w14:paraId="06DA0F5F" w14:textId="77777777" w:rsidR="002D58E4" w:rsidRDefault="00F721D4">
            <w:pPr>
              <w:rPr>
                <w:sz w:val="20"/>
                <w:szCs w:val="20"/>
              </w:rPr>
            </w:pPr>
            <w:r>
              <w:rPr>
                <w:sz w:val="20"/>
                <w:szCs w:val="20"/>
              </w:rPr>
              <w:t xml:space="preserve">serious </w:t>
            </w:r>
            <w:r>
              <w:rPr>
                <w:sz w:val="20"/>
                <w:szCs w:val="20"/>
                <w:vertAlign w:val="superscript"/>
              </w:rPr>
              <w:t>c</w:t>
            </w:r>
          </w:p>
        </w:tc>
        <w:tc>
          <w:tcPr>
            <w:tcW w:w="895" w:type="dxa"/>
            <w:tcBorders>
              <w:top w:val="single" w:sz="6" w:space="0" w:color="000000"/>
              <w:left w:val="single" w:sz="6" w:space="0" w:color="000000"/>
              <w:bottom w:val="single" w:sz="6" w:space="0" w:color="000000"/>
              <w:right w:val="single" w:sz="6" w:space="0" w:color="000000"/>
            </w:tcBorders>
          </w:tcPr>
          <w:p w14:paraId="768C55DF" w14:textId="77777777" w:rsidR="002D58E4" w:rsidRDefault="00F721D4">
            <w:pPr>
              <w:rPr>
                <w:sz w:val="20"/>
                <w:szCs w:val="20"/>
              </w:rPr>
            </w:pPr>
            <w:r>
              <w:rPr>
                <w:sz w:val="20"/>
                <w:szCs w:val="20"/>
              </w:rPr>
              <w:t xml:space="preserve">none </w:t>
            </w:r>
          </w:p>
        </w:tc>
        <w:tc>
          <w:tcPr>
            <w:tcW w:w="1193" w:type="dxa"/>
            <w:tcBorders>
              <w:top w:val="single" w:sz="6" w:space="0" w:color="000000"/>
              <w:left w:val="single" w:sz="6" w:space="0" w:color="000000"/>
              <w:bottom w:val="single" w:sz="6" w:space="0" w:color="000000"/>
              <w:right w:val="single" w:sz="6" w:space="0" w:color="000000"/>
            </w:tcBorders>
          </w:tcPr>
          <w:p w14:paraId="00C74C38" w14:textId="77777777" w:rsidR="002D58E4" w:rsidRDefault="00F721D4">
            <w:pPr>
              <w:jc w:val="center"/>
              <w:rPr>
                <w:sz w:val="20"/>
                <w:szCs w:val="20"/>
              </w:rPr>
            </w:pPr>
            <w:r>
              <w:rPr>
                <w:sz w:val="20"/>
                <w:szCs w:val="20"/>
              </w:rPr>
              <w:t xml:space="preserve">0/156 </w:t>
            </w:r>
          </w:p>
          <w:p w14:paraId="78C3ABB9" w14:textId="77777777" w:rsidR="002D58E4" w:rsidRDefault="00F721D4">
            <w:pPr>
              <w:jc w:val="center"/>
              <w:rPr>
                <w:sz w:val="20"/>
                <w:szCs w:val="20"/>
              </w:rPr>
            </w:pPr>
            <w:r>
              <w:rPr>
                <w:sz w:val="20"/>
                <w:szCs w:val="20"/>
              </w:rPr>
              <w:t xml:space="preserve">(0.0%) </w:t>
            </w:r>
          </w:p>
        </w:tc>
        <w:tc>
          <w:tcPr>
            <w:tcW w:w="892" w:type="dxa"/>
            <w:tcBorders>
              <w:top w:val="single" w:sz="6" w:space="0" w:color="000000"/>
              <w:left w:val="single" w:sz="6" w:space="0" w:color="000000"/>
              <w:bottom w:val="single" w:sz="6" w:space="0" w:color="000000"/>
              <w:right w:val="single" w:sz="6" w:space="0" w:color="000000"/>
            </w:tcBorders>
          </w:tcPr>
          <w:p w14:paraId="059FDEEF" w14:textId="77777777" w:rsidR="002D58E4" w:rsidRDefault="00F721D4">
            <w:pPr>
              <w:jc w:val="center"/>
              <w:rPr>
                <w:sz w:val="20"/>
                <w:szCs w:val="20"/>
              </w:rPr>
            </w:pPr>
            <w:r>
              <w:rPr>
                <w:sz w:val="20"/>
                <w:szCs w:val="20"/>
              </w:rPr>
              <w:t xml:space="preserve">0/153 </w:t>
            </w:r>
          </w:p>
          <w:p w14:paraId="6138261A" w14:textId="77777777" w:rsidR="002D58E4" w:rsidRDefault="00F721D4">
            <w:pPr>
              <w:jc w:val="center"/>
              <w:rPr>
                <w:sz w:val="20"/>
                <w:szCs w:val="20"/>
              </w:rPr>
            </w:pPr>
            <w:r>
              <w:rPr>
                <w:sz w:val="20"/>
                <w:szCs w:val="20"/>
              </w:rPr>
              <w:t xml:space="preserve">(0.0%) </w:t>
            </w:r>
          </w:p>
        </w:tc>
        <w:tc>
          <w:tcPr>
            <w:tcW w:w="1343" w:type="dxa"/>
            <w:tcBorders>
              <w:top w:val="single" w:sz="6" w:space="0" w:color="000000"/>
              <w:left w:val="single" w:sz="6" w:space="0" w:color="000000"/>
              <w:bottom w:val="single" w:sz="6" w:space="0" w:color="000000"/>
              <w:right w:val="single" w:sz="6" w:space="0" w:color="000000"/>
            </w:tcBorders>
          </w:tcPr>
          <w:p w14:paraId="421AA4E3" w14:textId="77777777" w:rsidR="002D58E4" w:rsidRDefault="00F721D4">
            <w:pPr>
              <w:jc w:val="center"/>
              <w:rPr>
                <w:sz w:val="20"/>
                <w:szCs w:val="20"/>
                <w:vertAlign w:val="superscript"/>
              </w:rPr>
            </w:pPr>
            <w:r>
              <w:rPr>
                <w:sz w:val="20"/>
                <w:szCs w:val="20"/>
              </w:rPr>
              <w:t xml:space="preserve">NA </w:t>
            </w:r>
            <w:r>
              <w:rPr>
                <w:sz w:val="20"/>
                <w:szCs w:val="20"/>
                <w:vertAlign w:val="superscript"/>
              </w:rPr>
              <w:t>d</w:t>
            </w:r>
          </w:p>
        </w:tc>
        <w:tc>
          <w:tcPr>
            <w:tcW w:w="1859" w:type="dxa"/>
            <w:tcBorders>
              <w:top w:val="single" w:sz="6" w:space="0" w:color="000000"/>
              <w:left w:val="single" w:sz="6" w:space="0" w:color="000000"/>
              <w:bottom w:val="single" w:sz="6" w:space="0" w:color="000000"/>
              <w:right w:val="single" w:sz="6" w:space="0" w:color="000000"/>
            </w:tcBorders>
          </w:tcPr>
          <w:p w14:paraId="13347275" w14:textId="77777777" w:rsidR="002D58E4" w:rsidRDefault="00F721D4">
            <w:pPr>
              <w:jc w:val="center"/>
              <w:rPr>
                <w:sz w:val="20"/>
                <w:szCs w:val="20"/>
              </w:rPr>
            </w:pPr>
            <w:r>
              <w:rPr>
                <w:sz w:val="20"/>
                <w:szCs w:val="20"/>
              </w:rPr>
              <w:t>0 per 1,000</w:t>
            </w:r>
          </w:p>
        </w:tc>
        <w:tc>
          <w:tcPr>
            <w:tcW w:w="1193" w:type="dxa"/>
            <w:tcBorders>
              <w:top w:val="single" w:sz="6" w:space="0" w:color="000000"/>
              <w:left w:val="single" w:sz="6" w:space="0" w:color="000000"/>
              <w:bottom w:val="single" w:sz="6" w:space="0" w:color="000000"/>
              <w:right w:val="single" w:sz="6" w:space="0" w:color="000000"/>
            </w:tcBorders>
          </w:tcPr>
          <w:p w14:paraId="5E17ABB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4D24B5E6" w14:textId="77777777" w:rsidR="002D58E4" w:rsidRDefault="00F721D4">
            <w:pPr>
              <w:rPr>
                <w:sz w:val="20"/>
                <w:szCs w:val="20"/>
              </w:rPr>
            </w:pPr>
            <w:r>
              <w:rPr>
                <w:sz w:val="20"/>
                <w:szCs w:val="20"/>
              </w:rPr>
              <w:t>IMPORTANT</w:t>
            </w:r>
          </w:p>
        </w:tc>
      </w:tr>
      <w:tr w:rsidR="002D58E4" w14:paraId="38AB9507"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624B11E" w14:textId="77777777" w:rsidR="002D58E4" w:rsidRDefault="00F721D4">
            <w:pPr>
              <w:rPr>
                <w:sz w:val="20"/>
                <w:szCs w:val="20"/>
              </w:rPr>
            </w:pPr>
            <w:r>
              <w:rPr>
                <w:b/>
                <w:sz w:val="20"/>
                <w:szCs w:val="20"/>
              </w:rPr>
              <w:t>Total Adverse Events</w:t>
            </w:r>
          </w:p>
        </w:tc>
      </w:tr>
      <w:tr w:rsidR="002D58E4" w14:paraId="3B450DB4" w14:textId="77777777" w:rsidTr="00E70FE5">
        <w:tc>
          <w:tcPr>
            <w:tcW w:w="709" w:type="dxa"/>
            <w:tcBorders>
              <w:top w:val="single" w:sz="6" w:space="0" w:color="000000"/>
              <w:left w:val="single" w:sz="6" w:space="0" w:color="000000"/>
              <w:bottom w:val="single" w:sz="6" w:space="0" w:color="000000"/>
              <w:right w:val="single" w:sz="6" w:space="0" w:color="000000"/>
            </w:tcBorders>
          </w:tcPr>
          <w:p w14:paraId="2981122C"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57A2F9A6" w14:textId="77777777" w:rsidR="002D58E4" w:rsidRDefault="00F721D4">
            <w:pPr>
              <w:rPr>
                <w:sz w:val="20"/>
                <w:szCs w:val="20"/>
              </w:rPr>
            </w:pPr>
            <w:r>
              <w:rPr>
                <w:sz w:val="20"/>
                <w:szCs w:val="20"/>
              </w:rPr>
              <w:t xml:space="preserve">RCT </w:t>
            </w:r>
            <w:r>
              <w:rPr>
                <w:sz w:val="20"/>
                <w:szCs w:val="20"/>
                <w:vertAlign w:val="superscript"/>
              </w:rPr>
              <w:t>1</w:t>
            </w:r>
          </w:p>
        </w:tc>
        <w:tc>
          <w:tcPr>
            <w:tcW w:w="850" w:type="dxa"/>
            <w:tcBorders>
              <w:top w:val="single" w:sz="6" w:space="0" w:color="000000"/>
              <w:left w:val="single" w:sz="6" w:space="0" w:color="000000"/>
              <w:bottom w:val="single" w:sz="6" w:space="0" w:color="000000"/>
              <w:right w:val="single" w:sz="6" w:space="0" w:color="000000"/>
            </w:tcBorders>
          </w:tcPr>
          <w:p w14:paraId="22504314" w14:textId="77777777" w:rsidR="002D58E4" w:rsidRDefault="00F721D4">
            <w:pPr>
              <w:rPr>
                <w:sz w:val="20"/>
                <w:szCs w:val="20"/>
              </w:rPr>
            </w:pPr>
            <w:r>
              <w:rPr>
                <w:sz w:val="20"/>
                <w:szCs w:val="20"/>
              </w:rPr>
              <w:t xml:space="preserve">not serious </w:t>
            </w:r>
          </w:p>
        </w:tc>
        <w:tc>
          <w:tcPr>
            <w:tcW w:w="1358" w:type="dxa"/>
            <w:tcBorders>
              <w:top w:val="single" w:sz="6" w:space="0" w:color="000000"/>
              <w:left w:val="single" w:sz="6" w:space="0" w:color="000000"/>
              <w:bottom w:val="single" w:sz="6" w:space="0" w:color="000000"/>
              <w:right w:val="single" w:sz="6" w:space="0" w:color="000000"/>
            </w:tcBorders>
          </w:tcPr>
          <w:p w14:paraId="7C2A0DB6" w14:textId="77777777" w:rsidR="002D58E4" w:rsidRDefault="00F721D4">
            <w:pPr>
              <w:rPr>
                <w:sz w:val="20"/>
                <w:szCs w:val="20"/>
              </w:rPr>
            </w:pPr>
            <w:r>
              <w:rPr>
                <w:sz w:val="20"/>
                <w:szCs w:val="20"/>
              </w:rPr>
              <w:t>not serious</w:t>
            </w:r>
          </w:p>
        </w:tc>
        <w:tc>
          <w:tcPr>
            <w:tcW w:w="1052" w:type="dxa"/>
            <w:tcBorders>
              <w:top w:val="single" w:sz="6" w:space="0" w:color="000000"/>
              <w:left w:val="single" w:sz="6" w:space="0" w:color="000000"/>
              <w:bottom w:val="single" w:sz="6" w:space="0" w:color="000000"/>
              <w:right w:val="single" w:sz="6" w:space="0" w:color="000000"/>
            </w:tcBorders>
          </w:tcPr>
          <w:p w14:paraId="745CE8D7" w14:textId="77777777" w:rsidR="002D58E4" w:rsidRDefault="00F721D4">
            <w:pPr>
              <w:rPr>
                <w:sz w:val="20"/>
                <w:szCs w:val="20"/>
              </w:rPr>
            </w:pPr>
            <w:r>
              <w:rPr>
                <w:sz w:val="20"/>
                <w:szCs w:val="20"/>
              </w:rPr>
              <w:t xml:space="preserve">not serious </w:t>
            </w:r>
          </w:p>
        </w:tc>
        <w:tc>
          <w:tcPr>
            <w:tcW w:w="1189" w:type="dxa"/>
            <w:tcBorders>
              <w:top w:val="single" w:sz="6" w:space="0" w:color="000000"/>
              <w:left w:val="single" w:sz="6" w:space="0" w:color="000000"/>
              <w:bottom w:val="single" w:sz="6" w:space="0" w:color="000000"/>
              <w:right w:val="single" w:sz="6" w:space="0" w:color="000000"/>
            </w:tcBorders>
          </w:tcPr>
          <w:p w14:paraId="2B5D6556" w14:textId="77777777" w:rsidR="002D58E4" w:rsidRDefault="00F721D4">
            <w:pPr>
              <w:rPr>
                <w:sz w:val="20"/>
                <w:szCs w:val="20"/>
              </w:rPr>
            </w:pPr>
            <w:r>
              <w:rPr>
                <w:sz w:val="20"/>
                <w:szCs w:val="20"/>
              </w:rPr>
              <w:t xml:space="preserve">not serious </w:t>
            </w:r>
            <w:r>
              <w:rPr>
                <w:sz w:val="20"/>
                <w:szCs w:val="20"/>
                <w:vertAlign w:val="superscript"/>
              </w:rPr>
              <w:t>e</w:t>
            </w:r>
          </w:p>
        </w:tc>
        <w:tc>
          <w:tcPr>
            <w:tcW w:w="895" w:type="dxa"/>
            <w:tcBorders>
              <w:top w:val="single" w:sz="6" w:space="0" w:color="000000"/>
              <w:left w:val="single" w:sz="6" w:space="0" w:color="000000"/>
              <w:bottom w:val="single" w:sz="6" w:space="0" w:color="000000"/>
              <w:right w:val="single" w:sz="6" w:space="0" w:color="000000"/>
            </w:tcBorders>
          </w:tcPr>
          <w:p w14:paraId="39055701" w14:textId="77777777" w:rsidR="002D58E4" w:rsidRDefault="00F721D4">
            <w:pPr>
              <w:rPr>
                <w:sz w:val="20"/>
                <w:szCs w:val="20"/>
              </w:rPr>
            </w:pPr>
            <w:r>
              <w:rPr>
                <w:sz w:val="20"/>
                <w:szCs w:val="20"/>
              </w:rPr>
              <w:t xml:space="preserve">none </w:t>
            </w:r>
          </w:p>
        </w:tc>
        <w:tc>
          <w:tcPr>
            <w:tcW w:w="1193" w:type="dxa"/>
            <w:tcBorders>
              <w:top w:val="single" w:sz="6" w:space="0" w:color="000000"/>
              <w:left w:val="single" w:sz="6" w:space="0" w:color="000000"/>
              <w:bottom w:val="single" w:sz="6" w:space="0" w:color="000000"/>
              <w:right w:val="single" w:sz="6" w:space="0" w:color="000000"/>
            </w:tcBorders>
          </w:tcPr>
          <w:p w14:paraId="1CE79523" w14:textId="77777777" w:rsidR="002D58E4" w:rsidRDefault="00F721D4">
            <w:pPr>
              <w:jc w:val="center"/>
              <w:rPr>
                <w:sz w:val="20"/>
                <w:szCs w:val="20"/>
              </w:rPr>
            </w:pPr>
            <w:r>
              <w:rPr>
                <w:sz w:val="20"/>
                <w:szCs w:val="20"/>
              </w:rPr>
              <w:t xml:space="preserve">47/156 (30.1%) </w:t>
            </w:r>
          </w:p>
        </w:tc>
        <w:tc>
          <w:tcPr>
            <w:tcW w:w="892" w:type="dxa"/>
            <w:tcBorders>
              <w:top w:val="single" w:sz="6" w:space="0" w:color="000000"/>
              <w:left w:val="single" w:sz="6" w:space="0" w:color="000000"/>
              <w:bottom w:val="single" w:sz="6" w:space="0" w:color="000000"/>
              <w:right w:val="single" w:sz="6" w:space="0" w:color="000000"/>
            </w:tcBorders>
          </w:tcPr>
          <w:p w14:paraId="7B511609" w14:textId="77777777" w:rsidR="002D58E4" w:rsidRDefault="00F721D4">
            <w:pPr>
              <w:jc w:val="center"/>
              <w:rPr>
                <w:sz w:val="20"/>
                <w:szCs w:val="20"/>
              </w:rPr>
            </w:pPr>
            <w:r>
              <w:rPr>
                <w:sz w:val="20"/>
                <w:szCs w:val="20"/>
              </w:rPr>
              <w:t xml:space="preserve">17/153 (11.1%) </w:t>
            </w:r>
          </w:p>
        </w:tc>
        <w:tc>
          <w:tcPr>
            <w:tcW w:w="1343" w:type="dxa"/>
            <w:tcBorders>
              <w:top w:val="single" w:sz="6" w:space="0" w:color="000000"/>
              <w:left w:val="single" w:sz="6" w:space="0" w:color="000000"/>
              <w:bottom w:val="single" w:sz="6" w:space="0" w:color="000000"/>
              <w:right w:val="single" w:sz="6" w:space="0" w:color="000000"/>
            </w:tcBorders>
          </w:tcPr>
          <w:p w14:paraId="70C74B8E" w14:textId="77777777" w:rsidR="002D58E4" w:rsidRDefault="00F721D4">
            <w:pPr>
              <w:jc w:val="center"/>
              <w:rPr>
                <w:b/>
                <w:sz w:val="20"/>
                <w:szCs w:val="20"/>
              </w:rPr>
            </w:pPr>
            <w:r>
              <w:rPr>
                <w:b/>
                <w:sz w:val="20"/>
                <w:szCs w:val="20"/>
              </w:rPr>
              <w:t>RR 2.71</w:t>
            </w:r>
            <w:r>
              <w:rPr>
                <w:b/>
                <w:sz w:val="20"/>
                <w:szCs w:val="20"/>
              </w:rPr>
              <w:br/>
              <w:t xml:space="preserve">(1.63 to 4.51) </w:t>
            </w:r>
          </w:p>
        </w:tc>
        <w:tc>
          <w:tcPr>
            <w:tcW w:w="1859" w:type="dxa"/>
            <w:tcBorders>
              <w:top w:val="single" w:sz="6" w:space="0" w:color="000000"/>
              <w:left w:val="single" w:sz="6" w:space="0" w:color="000000"/>
              <w:bottom w:val="single" w:sz="6" w:space="0" w:color="000000"/>
              <w:right w:val="single" w:sz="6" w:space="0" w:color="000000"/>
            </w:tcBorders>
          </w:tcPr>
          <w:p w14:paraId="28AA8332" w14:textId="77777777" w:rsidR="002D58E4" w:rsidRDefault="00F721D4">
            <w:pPr>
              <w:jc w:val="center"/>
              <w:rPr>
                <w:b/>
                <w:sz w:val="20"/>
                <w:szCs w:val="20"/>
              </w:rPr>
            </w:pPr>
            <w:r>
              <w:rPr>
                <w:b/>
                <w:sz w:val="20"/>
                <w:szCs w:val="20"/>
              </w:rPr>
              <w:t>190 more per 1,000</w:t>
            </w:r>
            <w:r>
              <w:rPr>
                <w:b/>
                <w:sz w:val="20"/>
                <w:szCs w:val="20"/>
              </w:rPr>
              <w:br/>
              <w:t xml:space="preserve">(from 70 more to 390 more) </w:t>
            </w:r>
          </w:p>
        </w:tc>
        <w:tc>
          <w:tcPr>
            <w:tcW w:w="1193" w:type="dxa"/>
            <w:tcBorders>
              <w:top w:val="single" w:sz="6" w:space="0" w:color="000000"/>
              <w:left w:val="single" w:sz="6" w:space="0" w:color="000000"/>
              <w:bottom w:val="single" w:sz="6" w:space="0" w:color="000000"/>
              <w:right w:val="single" w:sz="6" w:space="0" w:color="000000"/>
            </w:tcBorders>
          </w:tcPr>
          <w:p w14:paraId="3077CB57" w14:textId="77777777" w:rsidR="002D58E4" w:rsidRDefault="00F721D4">
            <w:pPr>
              <w:jc w:val="center"/>
              <w:rPr>
                <w:sz w:val="20"/>
                <w:szCs w:val="20"/>
              </w:rPr>
            </w:pPr>
            <w:r>
              <w:rPr>
                <w:rFonts w:ascii="Cambria Math" w:eastAsia="Cambria Math" w:hAnsi="Cambria Math" w:cs="Cambria Math"/>
                <w:sz w:val="20"/>
                <w:szCs w:val="20"/>
              </w:rPr>
              <w:t>⨁⨁⨁⨁</w:t>
            </w:r>
            <w:r>
              <w:rPr>
                <w:sz w:val="20"/>
                <w:szCs w:val="20"/>
              </w:rPr>
              <w:br/>
              <w:t xml:space="preserve">HIGH </w:t>
            </w:r>
          </w:p>
        </w:tc>
        <w:tc>
          <w:tcPr>
            <w:tcW w:w="1186" w:type="dxa"/>
            <w:tcBorders>
              <w:top w:val="single" w:sz="6" w:space="0" w:color="000000"/>
              <w:left w:val="single" w:sz="6" w:space="0" w:color="000000"/>
              <w:bottom w:val="single" w:sz="6" w:space="0" w:color="000000"/>
              <w:right w:val="single" w:sz="6" w:space="0" w:color="000000"/>
            </w:tcBorders>
          </w:tcPr>
          <w:p w14:paraId="7EC08897" w14:textId="77777777" w:rsidR="002D58E4" w:rsidRDefault="00F721D4">
            <w:pPr>
              <w:rPr>
                <w:sz w:val="20"/>
                <w:szCs w:val="20"/>
              </w:rPr>
            </w:pPr>
            <w:r>
              <w:rPr>
                <w:sz w:val="20"/>
                <w:szCs w:val="20"/>
              </w:rPr>
              <w:t>IMPORTANT</w:t>
            </w:r>
          </w:p>
        </w:tc>
      </w:tr>
      <w:tr w:rsidR="002D58E4" w14:paraId="18FA41BF"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32B8E2D" w14:textId="77777777" w:rsidR="002D58E4" w:rsidRDefault="00F721D4">
            <w:pPr>
              <w:rPr>
                <w:sz w:val="20"/>
                <w:szCs w:val="20"/>
              </w:rPr>
            </w:pPr>
            <w:r>
              <w:rPr>
                <w:b/>
                <w:sz w:val="20"/>
                <w:szCs w:val="20"/>
              </w:rPr>
              <w:t>Adverse Events-Diarrhea</w:t>
            </w:r>
          </w:p>
        </w:tc>
      </w:tr>
      <w:tr w:rsidR="002D58E4" w14:paraId="3848BF06" w14:textId="77777777" w:rsidTr="00E70FE5">
        <w:tc>
          <w:tcPr>
            <w:tcW w:w="709" w:type="dxa"/>
            <w:tcBorders>
              <w:top w:val="single" w:sz="6" w:space="0" w:color="000000"/>
              <w:left w:val="single" w:sz="6" w:space="0" w:color="000000"/>
              <w:bottom w:val="single" w:sz="6" w:space="0" w:color="000000"/>
              <w:right w:val="single" w:sz="6" w:space="0" w:color="000000"/>
            </w:tcBorders>
          </w:tcPr>
          <w:p w14:paraId="53B8F75B"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79F63605" w14:textId="77777777" w:rsidR="002D58E4" w:rsidRDefault="00F721D4">
            <w:pPr>
              <w:rPr>
                <w:sz w:val="20"/>
                <w:szCs w:val="20"/>
              </w:rPr>
            </w:pPr>
            <w:r>
              <w:rPr>
                <w:sz w:val="20"/>
                <w:szCs w:val="20"/>
              </w:rPr>
              <w:t xml:space="preserve">RCT </w:t>
            </w:r>
            <w:r>
              <w:rPr>
                <w:sz w:val="20"/>
                <w:szCs w:val="20"/>
                <w:vertAlign w:val="superscript"/>
              </w:rPr>
              <w:t>1</w:t>
            </w:r>
          </w:p>
        </w:tc>
        <w:tc>
          <w:tcPr>
            <w:tcW w:w="850" w:type="dxa"/>
            <w:tcBorders>
              <w:top w:val="single" w:sz="6" w:space="0" w:color="000000"/>
              <w:left w:val="single" w:sz="6" w:space="0" w:color="000000"/>
              <w:bottom w:val="single" w:sz="6" w:space="0" w:color="000000"/>
              <w:right w:val="single" w:sz="6" w:space="0" w:color="000000"/>
            </w:tcBorders>
          </w:tcPr>
          <w:p w14:paraId="75836775" w14:textId="77777777" w:rsidR="002D58E4" w:rsidRDefault="00F721D4">
            <w:pPr>
              <w:rPr>
                <w:sz w:val="20"/>
                <w:szCs w:val="20"/>
              </w:rPr>
            </w:pPr>
            <w:r>
              <w:rPr>
                <w:sz w:val="20"/>
                <w:szCs w:val="20"/>
              </w:rPr>
              <w:t xml:space="preserve">not serious </w:t>
            </w:r>
          </w:p>
        </w:tc>
        <w:tc>
          <w:tcPr>
            <w:tcW w:w="1358" w:type="dxa"/>
            <w:tcBorders>
              <w:top w:val="single" w:sz="6" w:space="0" w:color="000000"/>
              <w:left w:val="single" w:sz="6" w:space="0" w:color="000000"/>
              <w:bottom w:val="single" w:sz="6" w:space="0" w:color="000000"/>
              <w:right w:val="single" w:sz="6" w:space="0" w:color="000000"/>
            </w:tcBorders>
          </w:tcPr>
          <w:p w14:paraId="4D24E745" w14:textId="77777777" w:rsidR="002D58E4" w:rsidRDefault="00F721D4">
            <w:pPr>
              <w:rPr>
                <w:sz w:val="20"/>
                <w:szCs w:val="20"/>
              </w:rPr>
            </w:pPr>
            <w:r>
              <w:rPr>
                <w:sz w:val="20"/>
                <w:szCs w:val="20"/>
              </w:rPr>
              <w:t>not serious</w:t>
            </w:r>
          </w:p>
        </w:tc>
        <w:tc>
          <w:tcPr>
            <w:tcW w:w="1052" w:type="dxa"/>
            <w:tcBorders>
              <w:top w:val="single" w:sz="6" w:space="0" w:color="000000"/>
              <w:left w:val="single" w:sz="6" w:space="0" w:color="000000"/>
              <w:bottom w:val="single" w:sz="6" w:space="0" w:color="000000"/>
              <w:right w:val="single" w:sz="6" w:space="0" w:color="000000"/>
            </w:tcBorders>
          </w:tcPr>
          <w:p w14:paraId="1BC90DF9" w14:textId="77777777" w:rsidR="002D58E4" w:rsidRDefault="00F721D4">
            <w:pPr>
              <w:rPr>
                <w:sz w:val="20"/>
                <w:szCs w:val="20"/>
              </w:rPr>
            </w:pPr>
            <w:r>
              <w:rPr>
                <w:sz w:val="20"/>
                <w:szCs w:val="20"/>
              </w:rPr>
              <w:t xml:space="preserve">not serious </w:t>
            </w:r>
          </w:p>
        </w:tc>
        <w:tc>
          <w:tcPr>
            <w:tcW w:w="1189" w:type="dxa"/>
            <w:tcBorders>
              <w:top w:val="single" w:sz="6" w:space="0" w:color="000000"/>
              <w:left w:val="single" w:sz="6" w:space="0" w:color="000000"/>
              <w:bottom w:val="single" w:sz="6" w:space="0" w:color="000000"/>
              <w:right w:val="single" w:sz="6" w:space="0" w:color="000000"/>
            </w:tcBorders>
          </w:tcPr>
          <w:p w14:paraId="0B29BD03" w14:textId="77777777" w:rsidR="002D58E4" w:rsidRDefault="00F721D4">
            <w:pPr>
              <w:rPr>
                <w:sz w:val="20"/>
                <w:szCs w:val="20"/>
              </w:rPr>
            </w:pPr>
            <w:r>
              <w:rPr>
                <w:sz w:val="20"/>
                <w:szCs w:val="20"/>
              </w:rPr>
              <w:t xml:space="preserve">serious </w:t>
            </w:r>
            <w:r>
              <w:rPr>
                <w:sz w:val="20"/>
                <w:szCs w:val="20"/>
                <w:vertAlign w:val="superscript"/>
              </w:rPr>
              <w:t>c</w:t>
            </w:r>
          </w:p>
        </w:tc>
        <w:tc>
          <w:tcPr>
            <w:tcW w:w="895" w:type="dxa"/>
            <w:tcBorders>
              <w:top w:val="single" w:sz="6" w:space="0" w:color="000000"/>
              <w:left w:val="single" w:sz="6" w:space="0" w:color="000000"/>
              <w:bottom w:val="single" w:sz="6" w:space="0" w:color="000000"/>
              <w:right w:val="single" w:sz="6" w:space="0" w:color="000000"/>
            </w:tcBorders>
          </w:tcPr>
          <w:p w14:paraId="5B44CE5E" w14:textId="77777777" w:rsidR="002D58E4" w:rsidRDefault="00F721D4">
            <w:pPr>
              <w:rPr>
                <w:sz w:val="20"/>
                <w:szCs w:val="20"/>
              </w:rPr>
            </w:pPr>
            <w:r>
              <w:rPr>
                <w:sz w:val="20"/>
                <w:szCs w:val="20"/>
              </w:rPr>
              <w:t xml:space="preserve">none </w:t>
            </w:r>
          </w:p>
        </w:tc>
        <w:tc>
          <w:tcPr>
            <w:tcW w:w="1193" w:type="dxa"/>
            <w:tcBorders>
              <w:top w:val="single" w:sz="6" w:space="0" w:color="000000"/>
              <w:left w:val="single" w:sz="6" w:space="0" w:color="000000"/>
              <w:bottom w:val="single" w:sz="6" w:space="0" w:color="000000"/>
              <w:right w:val="single" w:sz="6" w:space="0" w:color="000000"/>
            </w:tcBorders>
          </w:tcPr>
          <w:p w14:paraId="79ADC16A" w14:textId="77777777" w:rsidR="002D58E4" w:rsidRDefault="00F721D4">
            <w:pPr>
              <w:jc w:val="center"/>
              <w:rPr>
                <w:sz w:val="20"/>
                <w:szCs w:val="20"/>
              </w:rPr>
            </w:pPr>
            <w:r>
              <w:rPr>
                <w:sz w:val="20"/>
                <w:szCs w:val="20"/>
              </w:rPr>
              <w:t xml:space="preserve">6/156 </w:t>
            </w:r>
          </w:p>
          <w:p w14:paraId="19E1F479" w14:textId="77777777" w:rsidR="002D58E4" w:rsidRDefault="00F721D4">
            <w:pPr>
              <w:jc w:val="center"/>
              <w:rPr>
                <w:sz w:val="20"/>
                <w:szCs w:val="20"/>
              </w:rPr>
            </w:pPr>
            <w:r>
              <w:rPr>
                <w:sz w:val="20"/>
                <w:szCs w:val="20"/>
              </w:rPr>
              <w:t xml:space="preserve">(3.8%) </w:t>
            </w:r>
          </w:p>
        </w:tc>
        <w:tc>
          <w:tcPr>
            <w:tcW w:w="892" w:type="dxa"/>
            <w:tcBorders>
              <w:top w:val="single" w:sz="6" w:space="0" w:color="000000"/>
              <w:left w:val="single" w:sz="6" w:space="0" w:color="000000"/>
              <w:bottom w:val="single" w:sz="6" w:space="0" w:color="000000"/>
              <w:right w:val="single" w:sz="6" w:space="0" w:color="000000"/>
            </w:tcBorders>
          </w:tcPr>
          <w:p w14:paraId="0C6C8E44" w14:textId="77777777" w:rsidR="002D58E4" w:rsidRDefault="00F721D4">
            <w:pPr>
              <w:jc w:val="center"/>
              <w:rPr>
                <w:sz w:val="20"/>
                <w:szCs w:val="20"/>
              </w:rPr>
            </w:pPr>
            <w:r>
              <w:rPr>
                <w:sz w:val="20"/>
                <w:szCs w:val="20"/>
              </w:rPr>
              <w:t xml:space="preserve">6/153 </w:t>
            </w:r>
          </w:p>
          <w:p w14:paraId="3B9A850B" w14:textId="77777777" w:rsidR="002D58E4" w:rsidRDefault="00F721D4">
            <w:pPr>
              <w:jc w:val="center"/>
              <w:rPr>
                <w:sz w:val="20"/>
                <w:szCs w:val="20"/>
              </w:rPr>
            </w:pPr>
            <w:r>
              <w:rPr>
                <w:sz w:val="20"/>
                <w:szCs w:val="20"/>
              </w:rPr>
              <w:t xml:space="preserve">(3.9%) </w:t>
            </w:r>
          </w:p>
        </w:tc>
        <w:tc>
          <w:tcPr>
            <w:tcW w:w="1343" w:type="dxa"/>
            <w:tcBorders>
              <w:top w:val="single" w:sz="6" w:space="0" w:color="000000"/>
              <w:left w:val="single" w:sz="6" w:space="0" w:color="000000"/>
              <w:bottom w:val="single" w:sz="6" w:space="0" w:color="000000"/>
              <w:right w:val="single" w:sz="6" w:space="0" w:color="000000"/>
            </w:tcBorders>
          </w:tcPr>
          <w:p w14:paraId="31EED5A2" w14:textId="77777777" w:rsidR="002D58E4" w:rsidRDefault="00F721D4">
            <w:pPr>
              <w:jc w:val="center"/>
              <w:rPr>
                <w:sz w:val="20"/>
                <w:szCs w:val="20"/>
              </w:rPr>
            </w:pPr>
            <w:r>
              <w:rPr>
                <w:sz w:val="20"/>
                <w:szCs w:val="20"/>
              </w:rPr>
              <w:t>RR 0.98</w:t>
            </w:r>
            <w:r>
              <w:rPr>
                <w:sz w:val="20"/>
                <w:szCs w:val="20"/>
              </w:rPr>
              <w:br/>
              <w:t xml:space="preserve">(0.32 to 2.97) </w:t>
            </w:r>
          </w:p>
        </w:tc>
        <w:tc>
          <w:tcPr>
            <w:tcW w:w="1859" w:type="dxa"/>
            <w:tcBorders>
              <w:top w:val="single" w:sz="6" w:space="0" w:color="000000"/>
              <w:left w:val="single" w:sz="6" w:space="0" w:color="000000"/>
              <w:bottom w:val="single" w:sz="6" w:space="0" w:color="000000"/>
              <w:right w:val="single" w:sz="6" w:space="0" w:color="000000"/>
            </w:tcBorders>
          </w:tcPr>
          <w:p w14:paraId="32866B23" w14:textId="77777777" w:rsidR="002D58E4" w:rsidRDefault="00F721D4">
            <w:pPr>
              <w:jc w:val="center"/>
              <w:rPr>
                <w:sz w:val="20"/>
                <w:szCs w:val="20"/>
              </w:rPr>
            </w:pPr>
            <w:r>
              <w:rPr>
                <w:sz w:val="20"/>
                <w:szCs w:val="20"/>
              </w:rPr>
              <w:t>1 fewer per 1,000</w:t>
            </w:r>
            <w:r>
              <w:rPr>
                <w:sz w:val="20"/>
                <w:szCs w:val="20"/>
              </w:rPr>
              <w:br/>
              <w:t xml:space="preserve">(from 27 fewer to 77 more) </w:t>
            </w:r>
          </w:p>
        </w:tc>
        <w:tc>
          <w:tcPr>
            <w:tcW w:w="1193" w:type="dxa"/>
            <w:tcBorders>
              <w:top w:val="single" w:sz="6" w:space="0" w:color="000000"/>
              <w:left w:val="single" w:sz="6" w:space="0" w:color="000000"/>
              <w:bottom w:val="single" w:sz="6" w:space="0" w:color="000000"/>
              <w:right w:val="single" w:sz="6" w:space="0" w:color="000000"/>
            </w:tcBorders>
          </w:tcPr>
          <w:p w14:paraId="69C8FBE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5E748CC1" w14:textId="77777777" w:rsidR="002D58E4" w:rsidRDefault="00F721D4">
            <w:pPr>
              <w:rPr>
                <w:sz w:val="20"/>
                <w:szCs w:val="20"/>
              </w:rPr>
            </w:pPr>
            <w:r>
              <w:rPr>
                <w:sz w:val="20"/>
                <w:szCs w:val="20"/>
              </w:rPr>
              <w:t xml:space="preserve">IMPORTANT </w:t>
            </w:r>
          </w:p>
        </w:tc>
      </w:tr>
      <w:tr w:rsidR="002D58E4" w14:paraId="62315707" w14:textId="77777777" w:rsidTr="00E70FE5">
        <w:tc>
          <w:tcPr>
            <w:tcW w:w="1442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9D52D22" w14:textId="77777777" w:rsidR="002D58E4" w:rsidRDefault="00F721D4">
            <w:pPr>
              <w:rPr>
                <w:sz w:val="20"/>
                <w:szCs w:val="20"/>
              </w:rPr>
            </w:pPr>
            <w:r>
              <w:rPr>
                <w:b/>
                <w:sz w:val="20"/>
                <w:szCs w:val="20"/>
              </w:rPr>
              <w:lastRenderedPageBreak/>
              <w:t>Serious Adverse Events</w:t>
            </w:r>
          </w:p>
        </w:tc>
      </w:tr>
      <w:tr w:rsidR="002D58E4" w14:paraId="2BB936AE" w14:textId="77777777" w:rsidTr="00E70FE5">
        <w:tc>
          <w:tcPr>
            <w:tcW w:w="709" w:type="dxa"/>
            <w:tcBorders>
              <w:top w:val="single" w:sz="6" w:space="0" w:color="000000"/>
              <w:left w:val="single" w:sz="6" w:space="0" w:color="000000"/>
              <w:bottom w:val="single" w:sz="6" w:space="0" w:color="000000"/>
              <w:right w:val="single" w:sz="6" w:space="0" w:color="000000"/>
            </w:tcBorders>
          </w:tcPr>
          <w:p w14:paraId="19E4940B"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71101E12" w14:textId="77777777" w:rsidR="002D58E4" w:rsidRDefault="00F721D4">
            <w:pPr>
              <w:rPr>
                <w:sz w:val="20"/>
                <w:szCs w:val="20"/>
              </w:rPr>
            </w:pPr>
            <w:r>
              <w:rPr>
                <w:sz w:val="20"/>
                <w:szCs w:val="20"/>
              </w:rPr>
              <w:t xml:space="preserve">RCT </w:t>
            </w:r>
            <w:r>
              <w:rPr>
                <w:sz w:val="20"/>
                <w:szCs w:val="20"/>
                <w:vertAlign w:val="superscript"/>
              </w:rPr>
              <w:t>1</w:t>
            </w:r>
          </w:p>
        </w:tc>
        <w:tc>
          <w:tcPr>
            <w:tcW w:w="850" w:type="dxa"/>
            <w:tcBorders>
              <w:top w:val="single" w:sz="6" w:space="0" w:color="000000"/>
              <w:left w:val="single" w:sz="6" w:space="0" w:color="000000"/>
              <w:bottom w:val="single" w:sz="6" w:space="0" w:color="000000"/>
              <w:right w:val="single" w:sz="6" w:space="0" w:color="000000"/>
            </w:tcBorders>
          </w:tcPr>
          <w:p w14:paraId="125E7B99" w14:textId="77777777" w:rsidR="002D58E4" w:rsidRDefault="00F721D4">
            <w:pPr>
              <w:rPr>
                <w:sz w:val="20"/>
                <w:szCs w:val="20"/>
              </w:rPr>
            </w:pPr>
            <w:r>
              <w:rPr>
                <w:sz w:val="20"/>
                <w:szCs w:val="20"/>
              </w:rPr>
              <w:t xml:space="preserve">not serious </w:t>
            </w:r>
          </w:p>
        </w:tc>
        <w:tc>
          <w:tcPr>
            <w:tcW w:w="1358" w:type="dxa"/>
            <w:tcBorders>
              <w:top w:val="single" w:sz="6" w:space="0" w:color="000000"/>
              <w:left w:val="single" w:sz="6" w:space="0" w:color="000000"/>
              <w:bottom w:val="single" w:sz="6" w:space="0" w:color="000000"/>
              <w:right w:val="single" w:sz="6" w:space="0" w:color="000000"/>
            </w:tcBorders>
          </w:tcPr>
          <w:p w14:paraId="4DB85527" w14:textId="77777777" w:rsidR="002D58E4" w:rsidRDefault="00F721D4">
            <w:pPr>
              <w:rPr>
                <w:sz w:val="20"/>
                <w:szCs w:val="20"/>
              </w:rPr>
            </w:pPr>
            <w:r>
              <w:rPr>
                <w:sz w:val="20"/>
                <w:szCs w:val="20"/>
              </w:rPr>
              <w:t>not serious</w:t>
            </w:r>
          </w:p>
        </w:tc>
        <w:tc>
          <w:tcPr>
            <w:tcW w:w="1052" w:type="dxa"/>
            <w:tcBorders>
              <w:top w:val="single" w:sz="6" w:space="0" w:color="000000"/>
              <w:left w:val="single" w:sz="6" w:space="0" w:color="000000"/>
              <w:bottom w:val="single" w:sz="6" w:space="0" w:color="000000"/>
              <w:right w:val="single" w:sz="6" w:space="0" w:color="000000"/>
            </w:tcBorders>
          </w:tcPr>
          <w:p w14:paraId="33A79854" w14:textId="77777777" w:rsidR="002D58E4" w:rsidRDefault="00F721D4">
            <w:pPr>
              <w:rPr>
                <w:sz w:val="20"/>
                <w:szCs w:val="20"/>
              </w:rPr>
            </w:pPr>
            <w:r>
              <w:rPr>
                <w:sz w:val="20"/>
                <w:szCs w:val="20"/>
              </w:rPr>
              <w:t xml:space="preserve">not serious </w:t>
            </w:r>
          </w:p>
        </w:tc>
        <w:tc>
          <w:tcPr>
            <w:tcW w:w="1189" w:type="dxa"/>
            <w:tcBorders>
              <w:top w:val="single" w:sz="6" w:space="0" w:color="000000"/>
              <w:left w:val="single" w:sz="6" w:space="0" w:color="000000"/>
              <w:bottom w:val="single" w:sz="6" w:space="0" w:color="000000"/>
              <w:right w:val="single" w:sz="6" w:space="0" w:color="000000"/>
            </w:tcBorders>
          </w:tcPr>
          <w:p w14:paraId="3F8B9C37" w14:textId="77777777" w:rsidR="002D58E4" w:rsidRDefault="00F721D4">
            <w:pPr>
              <w:rPr>
                <w:sz w:val="20"/>
                <w:szCs w:val="20"/>
              </w:rPr>
            </w:pPr>
            <w:r>
              <w:rPr>
                <w:sz w:val="20"/>
                <w:szCs w:val="20"/>
              </w:rPr>
              <w:t xml:space="preserve">serious </w:t>
            </w:r>
            <w:r>
              <w:rPr>
                <w:sz w:val="20"/>
                <w:szCs w:val="20"/>
                <w:vertAlign w:val="superscript"/>
              </w:rPr>
              <w:t>c</w:t>
            </w:r>
          </w:p>
        </w:tc>
        <w:tc>
          <w:tcPr>
            <w:tcW w:w="895" w:type="dxa"/>
            <w:tcBorders>
              <w:top w:val="single" w:sz="6" w:space="0" w:color="000000"/>
              <w:left w:val="single" w:sz="6" w:space="0" w:color="000000"/>
              <w:bottom w:val="single" w:sz="6" w:space="0" w:color="000000"/>
              <w:right w:val="single" w:sz="6" w:space="0" w:color="000000"/>
            </w:tcBorders>
          </w:tcPr>
          <w:p w14:paraId="69F4D1AE" w14:textId="77777777" w:rsidR="002D58E4" w:rsidRDefault="00F721D4">
            <w:pPr>
              <w:rPr>
                <w:sz w:val="20"/>
                <w:szCs w:val="20"/>
              </w:rPr>
            </w:pPr>
            <w:r>
              <w:rPr>
                <w:sz w:val="20"/>
                <w:szCs w:val="20"/>
              </w:rPr>
              <w:t xml:space="preserve">none </w:t>
            </w:r>
          </w:p>
        </w:tc>
        <w:tc>
          <w:tcPr>
            <w:tcW w:w="1193" w:type="dxa"/>
            <w:tcBorders>
              <w:top w:val="single" w:sz="6" w:space="0" w:color="000000"/>
              <w:left w:val="single" w:sz="6" w:space="0" w:color="000000"/>
              <w:bottom w:val="single" w:sz="6" w:space="0" w:color="000000"/>
              <w:right w:val="single" w:sz="6" w:space="0" w:color="000000"/>
            </w:tcBorders>
          </w:tcPr>
          <w:p w14:paraId="701CE908" w14:textId="77777777" w:rsidR="002D58E4" w:rsidRDefault="00F721D4">
            <w:pPr>
              <w:jc w:val="center"/>
              <w:rPr>
                <w:sz w:val="20"/>
                <w:szCs w:val="20"/>
              </w:rPr>
            </w:pPr>
            <w:r>
              <w:rPr>
                <w:sz w:val="20"/>
                <w:szCs w:val="20"/>
              </w:rPr>
              <w:t xml:space="preserve">0/156 </w:t>
            </w:r>
          </w:p>
          <w:p w14:paraId="2024DC88" w14:textId="77777777" w:rsidR="002D58E4" w:rsidRDefault="00F721D4">
            <w:pPr>
              <w:jc w:val="center"/>
              <w:rPr>
                <w:sz w:val="20"/>
                <w:szCs w:val="20"/>
              </w:rPr>
            </w:pPr>
            <w:r>
              <w:rPr>
                <w:sz w:val="20"/>
                <w:szCs w:val="20"/>
              </w:rPr>
              <w:t xml:space="preserve">(0.0%) </w:t>
            </w:r>
          </w:p>
        </w:tc>
        <w:tc>
          <w:tcPr>
            <w:tcW w:w="892" w:type="dxa"/>
            <w:tcBorders>
              <w:top w:val="single" w:sz="6" w:space="0" w:color="000000"/>
              <w:left w:val="single" w:sz="6" w:space="0" w:color="000000"/>
              <w:bottom w:val="single" w:sz="6" w:space="0" w:color="000000"/>
              <w:right w:val="single" w:sz="6" w:space="0" w:color="000000"/>
            </w:tcBorders>
          </w:tcPr>
          <w:p w14:paraId="412D145D" w14:textId="77777777" w:rsidR="002D58E4" w:rsidRDefault="00F721D4">
            <w:pPr>
              <w:jc w:val="center"/>
              <w:rPr>
                <w:sz w:val="20"/>
                <w:szCs w:val="20"/>
              </w:rPr>
            </w:pPr>
            <w:r>
              <w:rPr>
                <w:sz w:val="20"/>
                <w:szCs w:val="20"/>
              </w:rPr>
              <w:t xml:space="preserve">0/153 </w:t>
            </w:r>
          </w:p>
          <w:p w14:paraId="79730E25" w14:textId="77777777" w:rsidR="002D58E4" w:rsidRDefault="00F721D4">
            <w:pPr>
              <w:jc w:val="center"/>
              <w:rPr>
                <w:sz w:val="20"/>
                <w:szCs w:val="20"/>
              </w:rPr>
            </w:pPr>
            <w:r>
              <w:rPr>
                <w:sz w:val="20"/>
                <w:szCs w:val="20"/>
              </w:rPr>
              <w:t xml:space="preserve">(0.0%) </w:t>
            </w:r>
          </w:p>
        </w:tc>
        <w:tc>
          <w:tcPr>
            <w:tcW w:w="1343" w:type="dxa"/>
            <w:tcBorders>
              <w:top w:val="single" w:sz="6" w:space="0" w:color="000000"/>
              <w:left w:val="single" w:sz="6" w:space="0" w:color="000000"/>
              <w:bottom w:val="single" w:sz="6" w:space="0" w:color="000000"/>
              <w:right w:val="single" w:sz="6" w:space="0" w:color="000000"/>
            </w:tcBorders>
          </w:tcPr>
          <w:p w14:paraId="4DF2A3E4" w14:textId="77777777" w:rsidR="002D58E4" w:rsidRDefault="00F721D4">
            <w:pPr>
              <w:jc w:val="center"/>
              <w:rPr>
                <w:sz w:val="20"/>
                <w:szCs w:val="20"/>
                <w:vertAlign w:val="superscript"/>
              </w:rPr>
            </w:pPr>
            <w:r>
              <w:rPr>
                <w:sz w:val="20"/>
                <w:szCs w:val="20"/>
              </w:rPr>
              <w:t xml:space="preserve">NA </w:t>
            </w:r>
            <w:r>
              <w:rPr>
                <w:sz w:val="20"/>
                <w:szCs w:val="20"/>
                <w:vertAlign w:val="superscript"/>
              </w:rPr>
              <w:t>d</w:t>
            </w:r>
          </w:p>
        </w:tc>
        <w:tc>
          <w:tcPr>
            <w:tcW w:w="1859" w:type="dxa"/>
            <w:tcBorders>
              <w:top w:val="single" w:sz="6" w:space="0" w:color="000000"/>
              <w:left w:val="single" w:sz="6" w:space="0" w:color="000000"/>
              <w:bottom w:val="single" w:sz="6" w:space="0" w:color="000000"/>
              <w:right w:val="single" w:sz="6" w:space="0" w:color="000000"/>
            </w:tcBorders>
          </w:tcPr>
          <w:p w14:paraId="708644CE" w14:textId="77777777" w:rsidR="002D58E4" w:rsidRDefault="00F721D4">
            <w:pPr>
              <w:jc w:val="center"/>
              <w:rPr>
                <w:sz w:val="20"/>
                <w:szCs w:val="20"/>
              </w:rPr>
            </w:pPr>
            <w:r>
              <w:rPr>
                <w:sz w:val="20"/>
                <w:szCs w:val="20"/>
              </w:rPr>
              <w:t>0 per 1,000</w:t>
            </w:r>
          </w:p>
        </w:tc>
        <w:tc>
          <w:tcPr>
            <w:tcW w:w="1193" w:type="dxa"/>
            <w:tcBorders>
              <w:top w:val="single" w:sz="6" w:space="0" w:color="000000"/>
              <w:left w:val="single" w:sz="6" w:space="0" w:color="000000"/>
              <w:bottom w:val="single" w:sz="6" w:space="0" w:color="000000"/>
              <w:right w:val="single" w:sz="6" w:space="0" w:color="000000"/>
            </w:tcBorders>
          </w:tcPr>
          <w:p w14:paraId="6A0A910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326A1BCC" w14:textId="77777777" w:rsidR="002D58E4" w:rsidRDefault="00F721D4">
            <w:pPr>
              <w:rPr>
                <w:sz w:val="20"/>
                <w:szCs w:val="20"/>
              </w:rPr>
            </w:pPr>
            <w:r>
              <w:rPr>
                <w:sz w:val="20"/>
                <w:szCs w:val="20"/>
              </w:rPr>
              <w:t>IMPORTANT</w:t>
            </w:r>
          </w:p>
        </w:tc>
      </w:tr>
    </w:tbl>
    <w:p w14:paraId="736D6F56" w14:textId="77777777" w:rsidR="00085048" w:rsidRDefault="00085048" w:rsidP="00085048">
      <w:pPr>
        <w:pBdr>
          <w:top w:val="nil"/>
          <w:left w:val="nil"/>
          <w:bottom w:val="nil"/>
          <w:right w:val="nil"/>
          <w:between w:val="nil"/>
        </w:pBdr>
        <w:spacing w:before="100" w:after="100" w:line="240" w:lineRule="auto"/>
        <w:rPr>
          <w:b/>
          <w:color w:val="000000"/>
          <w:sz w:val="18"/>
          <w:szCs w:val="18"/>
        </w:rPr>
      </w:pPr>
      <w:r>
        <w:rPr>
          <w:b/>
          <w:color w:val="000000"/>
          <w:sz w:val="18"/>
          <w:szCs w:val="18"/>
        </w:rPr>
        <w:t>*</w:t>
      </w:r>
      <w:r>
        <w:rPr>
          <w:color w:val="000000"/>
          <w:sz w:val="20"/>
          <w:szCs w:val="20"/>
        </w:rPr>
        <w:t xml:space="preserve"> Clinical evidence is defined as erythema migrans and/or flu-like symptoms or febrile illness accompanied by seroconversion.</w:t>
      </w:r>
    </w:p>
    <w:p w14:paraId="1768A8E7" w14:textId="77777777" w:rsidR="002D58E4" w:rsidRDefault="00F721D4">
      <w:pPr>
        <w:pBdr>
          <w:top w:val="nil"/>
          <w:left w:val="nil"/>
          <w:bottom w:val="nil"/>
          <w:right w:val="nil"/>
          <w:between w:val="nil"/>
        </w:pBd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25245ECA" w14:textId="77777777" w:rsidR="002D58E4" w:rsidRDefault="002D58E4">
      <w:pPr>
        <w:pBdr>
          <w:top w:val="nil"/>
          <w:left w:val="nil"/>
          <w:bottom w:val="nil"/>
          <w:right w:val="nil"/>
          <w:between w:val="nil"/>
        </w:pBdr>
        <w:spacing w:after="0" w:line="240" w:lineRule="auto"/>
        <w:rPr>
          <w:b/>
          <w:color w:val="000000"/>
          <w:sz w:val="24"/>
          <w:szCs w:val="24"/>
        </w:rPr>
      </w:pPr>
    </w:p>
    <w:p w14:paraId="7F55400C" w14:textId="77777777" w:rsidR="002D58E4" w:rsidRDefault="00F721D4">
      <w:pPr>
        <w:pBdr>
          <w:top w:val="nil"/>
          <w:left w:val="nil"/>
          <w:bottom w:val="nil"/>
          <w:right w:val="nil"/>
          <w:between w:val="nil"/>
        </w:pBdr>
        <w:spacing w:after="0" w:line="240" w:lineRule="auto"/>
        <w:rPr>
          <w:b/>
          <w:color w:val="000000"/>
          <w:sz w:val="24"/>
          <w:szCs w:val="24"/>
        </w:rPr>
      </w:pPr>
      <w:r>
        <w:rPr>
          <w:b/>
          <w:color w:val="000000"/>
          <w:sz w:val="24"/>
          <w:szCs w:val="24"/>
        </w:rPr>
        <w:t>Explanations</w:t>
      </w:r>
    </w:p>
    <w:p w14:paraId="0487164E" w14:textId="138798BE" w:rsidR="002D58E4" w:rsidRDefault="00F721D4">
      <w:pPr>
        <w:spacing w:after="0" w:line="240" w:lineRule="auto"/>
        <w:rPr>
          <w:color w:val="000000"/>
          <w:sz w:val="18"/>
          <w:szCs w:val="18"/>
        </w:rPr>
      </w:pPr>
      <w:r>
        <w:rPr>
          <w:color w:val="000000"/>
          <w:sz w:val="18"/>
          <w:szCs w:val="18"/>
        </w:rPr>
        <w:t>a. Fragility due to low event rate</w:t>
      </w:r>
      <w:r w:rsidR="00830F11">
        <w:rPr>
          <w:color w:val="000000"/>
          <w:sz w:val="18"/>
          <w:szCs w:val="18"/>
        </w:rPr>
        <w:t>.</w:t>
      </w:r>
    </w:p>
    <w:p w14:paraId="4D6F713F" w14:textId="77777777" w:rsidR="002D58E4" w:rsidRDefault="00F721D4">
      <w:pPr>
        <w:spacing w:after="0"/>
        <w:rPr>
          <w:color w:val="000000"/>
          <w:sz w:val="18"/>
          <w:szCs w:val="18"/>
        </w:rPr>
      </w:pPr>
      <w:r>
        <w:rPr>
          <w:color w:val="000000"/>
          <w:sz w:val="18"/>
          <w:szCs w:val="18"/>
        </w:rPr>
        <w:t>b. Surrogate for clinical evidence of Lyme disease.</w:t>
      </w:r>
    </w:p>
    <w:p w14:paraId="47585F98" w14:textId="1E6F2AEF" w:rsidR="002D58E4" w:rsidRDefault="00F721D4">
      <w:pPr>
        <w:spacing w:after="0" w:line="240" w:lineRule="auto"/>
        <w:rPr>
          <w:color w:val="000000"/>
          <w:sz w:val="18"/>
          <w:szCs w:val="18"/>
        </w:rPr>
      </w:pPr>
      <w:r>
        <w:rPr>
          <w:color w:val="000000"/>
          <w:sz w:val="18"/>
          <w:szCs w:val="18"/>
        </w:rPr>
        <w:t>c. Due to low event rate</w:t>
      </w:r>
      <w:r w:rsidR="00830F11">
        <w:rPr>
          <w:color w:val="000000"/>
          <w:sz w:val="18"/>
          <w:szCs w:val="18"/>
        </w:rPr>
        <w:t>.</w:t>
      </w:r>
    </w:p>
    <w:p w14:paraId="24581EAA" w14:textId="77777777" w:rsidR="002D58E4" w:rsidRDefault="00F721D4">
      <w:pPr>
        <w:spacing w:after="0" w:line="240" w:lineRule="auto"/>
        <w:rPr>
          <w:color w:val="000000"/>
          <w:sz w:val="18"/>
          <w:szCs w:val="18"/>
        </w:rPr>
      </w:pPr>
      <w:r>
        <w:rPr>
          <w:color w:val="000000"/>
          <w:sz w:val="18"/>
          <w:szCs w:val="18"/>
        </w:rPr>
        <w:t>d. Due to zero event, unable to estimate relative risk.</w:t>
      </w:r>
    </w:p>
    <w:p w14:paraId="639D2E6E" w14:textId="476EBDB9" w:rsidR="002D58E4" w:rsidRDefault="00F721D4">
      <w:pPr>
        <w:spacing w:after="0"/>
        <w:rPr>
          <w:color w:val="000000"/>
          <w:sz w:val="18"/>
          <w:szCs w:val="18"/>
        </w:rPr>
      </w:pPr>
      <w:r>
        <w:rPr>
          <w:color w:val="000000"/>
          <w:sz w:val="18"/>
          <w:szCs w:val="18"/>
        </w:rPr>
        <w:t xml:space="preserve">e. Not </w:t>
      </w:r>
      <w:r w:rsidR="00085048">
        <w:rPr>
          <w:color w:val="000000"/>
          <w:sz w:val="18"/>
          <w:szCs w:val="18"/>
        </w:rPr>
        <w:t>rated down for imprecision</w:t>
      </w:r>
      <w:r>
        <w:rPr>
          <w:color w:val="000000"/>
          <w:sz w:val="18"/>
          <w:szCs w:val="18"/>
        </w:rPr>
        <w:t xml:space="preserve"> due to fragility due to the large effect size (fragility index = 14).</w:t>
      </w:r>
    </w:p>
    <w:p w14:paraId="200B2787" w14:textId="77777777" w:rsidR="002D58E4" w:rsidRDefault="00F721D4">
      <w:pPr>
        <w:spacing w:after="160" w:line="259" w:lineRule="auto"/>
        <w:rPr>
          <w:color w:val="000000"/>
          <w:sz w:val="18"/>
          <w:szCs w:val="18"/>
        </w:rPr>
      </w:pPr>
      <w:r>
        <w:br w:type="page"/>
      </w:r>
    </w:p>
    <w:p w14:paraId="66F8194B" w14:textId="77777777" w:rsidR="002D58E4" w:rsidRDefault="002D58E4">
      <w:pPr>
        <w:spacing w:after="0" w:line="240" w:lineRule="auto"/>
        <w:rPr>
          <w:color w:val="000000"/>
          <w:sz w:val="18"/>
          <w:szCs w:val="18"/>
        </w:rPr>
      </w:pPr>
    </w:p>
    <w:p w14:paraId="56EF3560" w14:textId="77777777" w:rsidR="002D58E4" w:rsidRDefault="00F721D4">
      <w:pPr>
        <w:spacing w:after="0"/>
        <w:rPr>
          <w:b/>
          <w:sz w:val="32"/>
          <w:szCs w:val="32"/>
        </w:rPr>
      </w:pPr>
      <w:r>
        <w:rPr>
          <w:b/>
          <w:color w:val="000000"/>
          <w:sz w:val="24"/>
          <w:szCs w:val="24"/>
          <w:u w:val="single"/>
        </w:rPr>
        <w:t>PROPHYLACTIC ANTIBIOTIC THERAPY with a β-lactam vs. NO TREATMENT</w:t>
      </w:r>
    </w:p>
    <w:p w14:paraId="31DF89A1" w14:textId="77777777" w:rsidR="002D58E4" w:rsidRDefault="00F721D4">
      <w:pPr>
        <w:spacing w:after="0"/>
        <w:rPr>
          <w:b/>
        </w:rPr>
      </w:pPr>
      <w:r>
        <w:rPr>
          <w:b/>
        </w:rPr>
        <w:t xml:space="preserve">In patients following a high-risk tick bite, should prophylactic antibiotic therapy with a </w:t>
      </w:r>
      <w:r>
        <w:rPr>
          <w:b/>
          <w:color w:val="000000"/>
          <w:sz w:val="24"/>
          <w:szCs w:val="24"/>
        </w:rPr>
        <w:t>β-lactam</w:t>
      </w:r>
      <w:r>
        <w:rPr>
          <w:b/>
        </w:rPr>
        <w:t xml:space="preserve"> be used over none?</w:t>
      </w:r>
    </w:p>
    <w:p w14:paraId="67AFB296" w14:textId="77777777" w:rsidR="002D58E4" w:rsidRDefault="00F721D4">
      <w:pPr>
        <w:spacing w:after="0"/>
      </w:pPr>
      <w:r>
        <w:t>P: In patients following a high-risk tick bite</w:t>
      </w:r>
    </w:p>
    <w:p w14:paraId="5A63212C" w14:textId="77777777" w:rsidR="002D58E4" w:rsidRDefault="00F721D4">
      <w:pPr>
        <w:spacing w:after="0"/>
        <w:rPr>
          <w:highlight w:val="yellow"/>
        </w:rPr>
      </w:pPr>
      <w:r>
        <w:t xml:space="preserve">I: Prophylactic antibiotic therapy with a </w:t>
      </w:r>
      <w:r>
        <w:rPr>
          <w:color w:val="000000"/>
          <w:sz w:val="24"/>
          <w:szCs w:val="24"/>
        </w:rPr>
        <w:t>β-lactam</w:t>
      </w:r>
    </w:p>
    <w:p w14:paraId="27FC786A" w14:textId="77777777" w:rsidR="002D58E4" w:rsidRDefault="00F721D4">
      <w:pPr>
        <w:spacing w:after="0"/>
      </w:pPr>
      <w:r>
        <w:t>C: No treatment</w:t>
      </w:r>
    </w:p>
    <w:p w14:paraId="1BA455C6" w14:textId="77777777" w:rsidR="002D58E4" w:rsidRDefault="002D58E4">
      <w:pPr>
        <w:spacing w:after="0"/>
        <w:rPr>
          <w:b/>
          <w:color w:val="000000"/>
          <w:sz w:val="18"/>
          <w:szCs w:val="18"/>
        </w:rPr>
      </w:pPr>
    </w:p>
    <w:p w14:paraId="0A7B498D" w14:textId="77777777" w:rsidR="002D58E4" w:rsidRDefault="00F721D4">
      <w:pPr>
        <w:spacing w:after="0"/>
        <w:rPr>
          <w:color w:val="000000"/>
          <w:sz w:val="18"/>
          <w:szCs w:val="18"/>
        </w:rPr>
      </w:pPr>
      <w:r>
        <w:rPr>
          <w:b/>
          <w:color w:val="000000"/>
          <w:sz w:val="18"/>
          <w:szCs w:val="18"/>
        </w:rPr>
        <w:t>Bibliography</w:t>
      </w:r>
      <w:r>
        <w:rPr>
          <w:color w:val="000000"/>
          <w:sz w:val="18"/>
          <w:szCs w:val="18"/>
        </w:rPr>
        <w:t>: 1. Agre, et al.</w:t>
      </w:r>
      <w:r>
        <w:t xml:space="preserve"> </w:t>
      </w:r>
      <w:r>
        <w:rPr>
          <w:color w:val="000000"/>
          <w:sz w:val="18"/>
          <w:szCs w:val="18"/>
        </w:rPr>
        <w:t>Am J Dis Child. 1993 Sep;147(9):945-7 (PEDIATRIC); 2. Costello, et al. J Infect Dis. 1989 Jan;159(1):136-9; 3. Shapiro, et al. N Engl J Med. 1992 Dec 17;327(25):1769-73.</w:t>
      </w:r>
    </w:p>
    <w:tbl>
      <w:tblPr>
        <w:tblStyle w:val="a8"/>
        <w:tblW w:w="1457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709"/>
        <w:gridCol w:w="850"/>
        <w:gridCol w:w="1377"/>
        <w:gridCol w:w="1033"/>
        <w:gridCol w:w="1196"/>
        <w:gridCol w:w="902"/>
        <w:gridCol w:w="1196"/>
        <w:gridCol w:w="949"/>
        <w:gridCol w:w="1290"/>
        <w:gridCol w:w="1981"/>
        <w:gridCol w:w="1193"/>
        <w:gridCol w:w="1186"/>
      </w:tblGrid>
      <w:tr w:rsidR="00830F11" w14:paraId="541C653F" w14:textId="77777777" w:rsidTr="00E70FE5">
        <w:tc>
          <w:tcPr>
            <w:tcW w:w="6775"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36C157AD" w14:textId="77777777" w:rsidR="00830F11" w:rsidRDefault="00830F11">
            <w:pPr>
              <w:jc w:val="center"/>
              <w:rPr>
                <w:b/>
                <w:sz w:val="20"/>
                <w:szCs w:val="20"/>
              </w:rPr>
            </w:pPr>
            <w:r>
              <w:rPr>
                <w:b/>
                <w:sz w:val="20"/>
                <w:szCs w:val="20"/>
              </w:rPr>
              <w:t>Certainty assessment</w:t>
            </w:r>
          </w:p>
        </w:tc>
        <w:tc>
          <w:tcPr>
            <w:tcW w:w="214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24D5D31" w14:textId="77777777" w:rsidR="00830F11" w:rsidRDefault="00830F11">
            <w:pPr>
              <w:jc w:val="center"/>
              <w:rPr>
                <w:b/>
                <w:sz w:val="20"/>
                <w:szCs w:val="20"/>
              </w:rPr>
            </w:pPr>
            <w:r>
              <w:rPr>
                <w:b/>
                <w:sz w:val="20"/>
                <w:szCs w:val="20"/>
              </w:rPr>
              <w:t>№ of events/№ of patients</w:t>
            </w:r>
          </w:p>
        </w:tc>
        <w:tc>
          <w:tcPr>
            <w:tcW w:w="327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CFCF65E" w14:textId="77777777" w:rsidR="00830F11" w:rsidRDefault="00830F11">
            <w:pPr>
              <w:jc w:val="center"/>
              <w:rPr>
                <w:b/>
                <w:sz w:val="20"/>
                <w:szCs w:val="20"/>
              </w:rPr>
            </w:pPr>
            <w:r>
              <w:rPr>
                <w:b/>
                <w:sz w:val="20"/>
                <w:szCs w:val="20"/>
              </w:rPr>
              <w:t>Effect</w:t>
            </w:r>
          </w:p>
        </w:tc>
        <w:tc>
          <w:tcPr>
            <w:tcW w:w="1193" w:type="dxa"/>
            <w:vMerge w:val="restart"/>
            <w:tcBorders>
              <w:top w:val="single" w:sz="6" w:space="0" w:color="000000"/>
              <w:left w:val="single" w:sz="6" w:space="0" w:color="000000"/>
              <w:right w:val="single" w:sz="6" w:space="0" w:color="000000"/>
            </w:tcBorders>
            <w:shd w:val="clear" w:color="auto" w:fill="D9D9D9"/>
            <w:vAlign w:val="center"/>
          </w:tcPr>
          <w:p w14:paraId="6F845E9E" w14:textId="77777777" w:rsidR="00830F11" w:rsidRDefault="00830F11">
            <w:pPr>
              <w:jc w:val="center"/>
              <w:rPr>
                <w:b/>
                <w:sz w:val="20"/>
                <w:szCs w:val="20"/>
              </w:rPr>
            </w:pPr>
            <w:r>
              <w:rPr>
                <w:b/>
                <w:sz w:val="20"/>
                <w:szCs w:val="20"/>
              </w:rPr>
              <w:t>Certainty</w:t>
            </w:r>
          </w:p>
        </w:tc>
        <w:tc>
          <w:tcPr>
            <w:tcW w:w="1186" w:type="dxa"/>
            <w:vMerge w:val="restart"/>
            <w:tcBorders>
              <w:top w:val="single" w:sz="6" w:space="0" w:color="000000"/>
              <w:left w:val="single" w:sz="6" w:space="0" w:color="000000"/>
              <w:right w:val="single" w:sz="6" w:space="0" w:color="000000"/>
            </w:tcBorders>
            <w:shd w:val="clear" w:color="auto" w:fill="D9D9D9"/>
            <w:vAlign w:val="center"/>
          </w:tcPr>
          <w:p w14:paraId="442ED7DF" w14:textId="77777777" w:rsidR="00830F11" w:rsidRDefault="00830F11">
            <w:pPr>
              <w:jc w:val="center"/>
              <w:rPr>
                <w:b/>
                <w:sz w:val="20"/>
                <w:szCs w:val="20"/>
              </w:rPr>
            </w:pPr>
            <w:r>
              <w:rPr>
                <w:b/>
                <w:sz w:val="20"/>
                <w:szCs w:val="20"/>
              </w:rPr>
              <w:t>Importance</w:t>
            </w:r>
          </w:p>
        </w:tc>
      </w:tr>
      <w:tr w:rsidR="00830F11" w14:paraId="5DA55069" w14:textId="77777777" w:rsidTr="00E70FE5">
        <w:tc>
          <w:tcPr>
            <w:tcW w:w="70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64F68E" w14:textId="77777777" w:rsidR="00830F11" w:rsidRDefault="00830F11">
            <w:pPr>
              <w:jc w:val="center"/>
              <w:rPr>
                <w:b/>
                <w:sz w:val="20"/>
                <w:szCs w:val="20"/>
              </w:rPr>
            </w:pPr>
            <w:r>
              <w:rPr>
                <w:b/>
                <w:sz w:val="20"/>
                <w:szCs w:val="20"/>
              </w:rPr>
              <w:t>№ of studies</w:t>
            </w:r>
          </w:p>
        </w:tc>
        <w:tc>
          <w:tcPr>
            <w:tcW w:w="7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C53892B" w14:textId="77777777" w:rsidR="00830F11" w:rsidRDefault="00830F11">
            <w:pPr>
              <w:jc w:val="center"/>
              <w:rPr>
                <w:b/>
                <w:sz w:val="20"/>
                <w:szCs w:val="20"/>
              </w:rPr>
            </w:pPr>
            <w:r>
              <w:rPr>
                <w:b/>
                <w:sz w:val="20"/>
                <w:szCs w:val="20"/>
              </w:rPr>
              <w:t>Study design</w:t>
            </w:r>
          </w:p>
        </w:tc>
        <w:tc>
          <w:tcPr>
            <w:tcW w:w="85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BC1F975" w14:textId="77777777" w:rsidR="00830F11" w:rsidRDefault="00830F11">
            <w:pPr>
              <w:jc w:val="center"/>
              <w:rPr>
                <w:b/>
                <w:sz w:val="20"/>
                <w:szCs w:val="20"/>
              </w:rPr>
            </w:pPr>
            <w:r>
              <w:rPr>
                <w:b/>
                <w:sz w:val="20"/>
                <w:szCs w:val="20"/>
              </w:rPr>
              <w:t>Risk of bias</w:t>
            </w:r>
          </w:p>
        </w:tc>
        <w:tc>
          <w:tcPr>
            <w:tcW w:w="137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B8BD83D" w14:textId="77777777" w:rsidR="00830F11" w:rsidRDefault="00830F11">
            <w:pPr>
              <w:jc w:val="center"/>
              <w:rPr>
                <w:b/>
                <w:sz w:val="20"/>
                <w:szCs w:val="20"/>
              </w:rPr>
            </w:pPr>
            <w:r>
              <w:rPr>
                <w:b/>
                <w:sz w:val="20"/>
                <w:szCs w:val="20"/>
              </w:rPr>
              <w:t>Inconsistency</w:t>
            </w:r>
          </w:p>
        </w:tc>
        <w:tc>
          <w:tcPr>
            <w:tcW w:w="103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EF39B16" w14:textId="77777777" w:rsidR="00830F11" w:rsidRDefault="00830F11">
            <w:pPr>
              <w:jc w:val="center"/>
              <w:rPr>
                <w:b/>
                <w:sz w:val="20"/>
                <w:szCs w:val="20"/>
              </w:rPr>
            </w:pPr>
            <w:r>
              <w:rPr>
                <w:b/>
                <w:sz w:val="20"/>
                <w:szCs w:val="20"/>
              </w:rPr>
              <w:t>Indirectness</w:t>
            </w:r>
          </w:p>
        </w:tc>
        <w:tc>
          <w:tcPr>
            <w:tcW w:w="11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2918FCF" w14:textId="77777777" w:rsidR="00830F11" w:rsidRDefault="00830F11">
            <w:pPr>
              <w:jc w:val="center"/>
              <w:rPr>
                <w:b/>
                <w:sz w:val="20"/>
                <w:szCs w:val="20"/>
              </w:rPr>
            </w:pPr>
            <w:r>
              <w:rPr>
                <w:b/>
                <w:sz w:val="20"/>
                <w:szCs w:val="20"/>
              </w:rPr>
              <w:t>Imprecision</w:t>
            </w:r>
          </w:p>
        </w:tc>
        <w:tc>
          <w:tcPr>
            <w:tcW w:w="90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546B291" w14:textId="77777777" w:rsidR="00830F11" w:rsidRDefault="00830F11">
            <w:pPr>
              <w:jc w:val="center"/>
              <w:rPr>
                <w:b/>
                <w:sz w:val="20"/>
                <w:szCs w:val="20"/>
              </w:rPr>
            </w:pPr>
            <w:r>
              <w:rPr>
                <w:b/>
                <w:sz w:val="20"/>
                <w:szCs w:val="20"/>
              </w:rPr>
              <w:t>Other considerations</w:t>
            </w:r>
          </w:p>
        </w:tc>
        <w:tc>
          <w:tcPr>
            <w:tcW w:w="11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3D519F" w14:textId="77777777" w:rsidR="00830F11" w:rsidRDefault="00830F11">
            <w:pPr>
              <w:jc w:val="center"/>
              <w:rPr>
                <w:b/>
                <w:sz w:val="20"/>
                <w:szCs w:val="20"/>
              </w:rPr>
            </w:pPr>
            <w:r>
              <w:rPr>
                <w:b/>
                <w:sz w:val="20"/>
                <w:szCs w:val="20"/>
              </w:rPr>
              <w:t>β-lactam antibiotic prophylaxis</w:t>
            </w:r>
          </w:p>
        </w:tc>
        <w:tc>
          <w:tcPr>
            <w:tcW w:w="94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711ECC" w14:textId="77777777" w:rsidR="00830F11" w:rsidRDefault="00830F11">
            <w:pPr>
              <w:jc w:val="center"/>
              <w:rPr>
                <w:b/>
                <w:sz w:val="20"/>
                <w:szCs w:val="20"/>
              </w:rPr>
            </w:pPr>
            <w:r>
              <w:rPr>
                <w:b/>
                <w:sz w:val="20"/>
                <w:szCs w:val="20"/>
              </w:rPr>
              <w:t>Placebo</w:t>
            </w:r>
          </w:p>
        </w:tc>
        <w:tc>
          <w:tcPr>
            <w:tcW w:w="12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1B75061" w14:textId="77777777" w:rsidR="00830F11" w:rsidRDefault="00830F11">
            <w:pPr>
              <w:jc w:val="center"/>
              <w:rPr>
                <w:b/>
                <w:sz w:val="20"/>
                <w:szCs w:val="20"/>
              </w:rPr>
            </w:pPr>
            <w:r>
              <w:rPr>
                <w:b/>
                <w:sz w:val="20"/>
                <w:szCs w:val="20"/>
              </w:rPr>
              <w:t>Relative</w:t>
            </w:r>
            <w:r>
              <w:rPr>
                <w:b/>
                <w:sz w:val="20"/>
                <w:szCs w:val="20"/>
              </w:rPr>
              <w:br/>
              <w:t>(95% CI)</w:t>
            </w:r>
          </w:p>
        </w:tc>
        <w:tc>
          <w:tcPr>
            <w:tcW w:w="198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0934BAB" w14:textId="77777777" w:rsidR="00830F11" w:rsidRDefault="00830F11">
            <w:pPr>
              <w:jc w:val="center"/>
              <w:rPr>
                <w:b/>
                <w:sz w:val="20"/>
                <w:szCs w:val="20"/>
              </w:rPr>
            </w:pPr>
            <w:r>
              <w:rPr>
                <w:b/>
                <w:sz w:val="20"/>
                <w:szCs w:val="20"/>
              </w:rPr>
              <w:t>Absolute</w:t>
            </w:r>
            <w:r>
              <w:rPr>
                <w:b/>
                <w:sz w:val="20"/>
                <w:szCs w:val="20"/>
              </w:rPr>
              <w:br/>
              <w:t>(95% CI)</w:t>
            </w:r>
          </w:p>
        </w:tc>
        <w:tc>
          <w:tcPr>
            <w:tcW w:w="1193" w:type="dxa"/>
            <w:vMerge/>
            <w:tcBorders>
              <w:left w:val="single" w:sz="6" w:space="0" w:color="000000"/>
              <w:bottom w:val="single" w:sz="6" w:space="0" w:color="000000"/>
              <w:right w:val="single" w:sz="6" w:space="0" w:color="000000"/>
            </w:tcBorders>
            <w:shd w:val="clear" w:color="auto" w:fill="D9D9D9"/>
            <w:vAlign w:val="center"/>
          </w:tcPr>
          <w:p w14:paraId="7DCA9BF6" w14:textId="77777777" w:rsidR="00830F11" w:rsidRDefault="00830F11">
            <w:pPr>
              <w:rPr>
                <w:b/>
                <w:sz w:val="20"/>
                <w:szCs w:val="20"/>
              </w:rPr>
            </w:pPr>
          </w:p>
        </w:tc>
        <w:tc>
          <w:tcPr>
            <w:tcW w:w="1186" w:type="dxa"/>
            <w:vMerge/>
            <w:tcBorders>
              <w:left w:val="single" w:sz="6" w:space="0" w:color="000000"/>
              <w:bottom w:val="single" w:sz="6" w:space="0" w:color="000000"/>
              <w:right w:val="single" w:sz="6" w:space="0" w:color="000000"/>
            </w:tcBorders>
            <w:shd w:val="clear" w:color="auto" w:fill="D9D9D9"/>
            <w:vAlign w:val="center"/>
          </w:tcPr>
          <w:p w14:paraId="60CE1916" w14:textId="77777777" w:rsidR="00830F11" w:rsidRDefault="00830F11">
            <w:pPr>
              <w:rPr>
                <w:b/>
                <w:sz w:val="20"/>
                <w:szCs w:val="20"/>
              </w:rPr>
            </w:pPr>
          </w:p>
        </w:tc>
      </w:tr>
      <w:tr w:rsidR="002D58E4" w14:paraId="76211F9F" w14:textId="77777777" w:rsidTr="00E70FE5">
        <w:tc>
          <w:tcPr>
            <w:tcW w:w="145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A0AA9CE" w14:textId="77777777" w:rsidR="002D58E4" w:rsidRDefault="00F721D4">
            <w:pPr>
              <w:rPr>
                <w:sz w:val="20"/>
                <w:szCs w:val="20"/>
              </w:rPr>
            </w:pPr>
            <w:r>
              <w:rPr>
                <w:b/>
                <w:sz w:val="20"/>
                <w:szCs w:val="20"/>
              </w:rPr>
              <w:t>Clinical evidence of Lyme disease after treatment</w:t>
            </w:r>
          </w:p>
        </w:tc>
      </w:tr>
      <w:tr w:rsidR="002D58E4" w14:paraId="62101A0A" w14:textId="77777777" w:rsidTr="00E70FE5">
        <w:tc>
          <w:tcPr>
            <w:tcW w:w="708" w:type="dxa"/>
            <w:tcBorders>
              <w:top w:val="single" w:sz="6" w:space="0" w:color="000000"/>
              <w:left w:val="single" w:sz="6" w:space="0" w:color="000000"/>
              <w:bottom w:val="single" w:sz="6" w:space="0" w:color="000000"/>
              <w:right w:val="single" w:sz="6" w:space="0" w:color="000000"/>
            </w:tcBorders>
          </w:tcPr>
          <w:p w14:paraId="6FC70428" w14:textId="77777777" w:rsidR="002D58E4" w:rsidRDefault="00F721D4">
            <w:pPr>
              <w:rPr>
                <w:sz w:val="20"/>
                <w:szCs w:val="20"/>
              </w:rPr>
            </w:pPr>
            <w:r>
              <w:rPr>
                <w:sz w:val="20"/>
                <w:szCs w:val="20"/>
              </w:rPr>
              <w:t>3</w:t>
            </w:r>
            <w:r>
              <w:rPr>
                <w:sz w:val="20"/>
                <w:szCs w:val="20"/>
                <w:vertAlign w:val="superscript"/>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40F753DD" w14:textId="77777777" w:rsidR="002D58E4" w:rsidRDefault="00F721D4">
            <w:pPr>
              <w:rPr>
                <w:sz w:val="20"/>
                <w:szCs w:val="20"/>
              </w:rPr>
            </w:pPr>
            <w:r>
              <w:rPr>
                <w:sz w:val="20"/>
                <w:szCs w:val="20"/>
              </w:rPr>
              <w:t xml:space="preserve">RCT </w:t>
            </w:r>
            <w:r>
              <w:rPr>
                <w:sz w:val="20"/>
                <w:szCs w:val="20"/>
                <w:vertAlign w:val="superscript"/>
              </w:rPr>
              <w:t>1-3</w:t>
            </w:r>
          </w:p>
        </w:tc>
        <w:tc>
          <w:tcPr>
            <w:tcW w:w="850" w:type="dxa"/>
            <w:tcBorders>
              <w:top w:val="single" w:sz="6" w:space="0" w:color="000000"/>
              <w:left w:val="single" w:sz="6" w:space="0" w:color="000000"/>
              <w:bottom w:val="single" w:sz="6" w:space="0" w:color="000000"/>
              <w:right w:val="single" w:sz="6" w:space="0" w:color="000000"/>
            </w:tcBorders>
          </w:tcPr>
          <w:p w14:paraId="6B591D53" w14:textId="77777777" w:rsidR="002D58E4" w:rsidRDefault="00F721D4">
            <w:pPr>
              <w:rPr>
                <w:sz w:val="20"/>
                <w:szCs w:val="20"/>
              </w:rPr>
            </w:pPr>
            <w:r>
              <w:rPr>
                <w:sz w:val="20"/>
                <w:szCs w:val="20"/>
              </w:rPr>
              <w:t xml:space="preserve">not serious </w:t>
            </w:r>
          </w:p>
        </w:tc>
        <w:tc>
          <w:tcPr>
            <w:tcW w:w="1377" w:type="dxa"/>
            <w:tcBorders>
              <w:top w:val="single" w:sz="6" w:space="0" w:color="000000"/>
              <w:left w:val="single" w:sz="6" w:space="0" w:color="000000"/>
              <w:bottom w:val="single" w:sz="6" w:space="0" w:color="000000"/>
              <w:right w:val="single" w:sz="6" w:space="0" w:color="000000"/>
            </w:tcBorders>
          </w:tcPr>
          <w:p w14:paraId="54C6E366" w14:textId="77777777" w:rsidR="002D58E4" w:rsidRDefault="00F721D4">
            <w:pPr>
              <w:rPr>
                <w:sz w:val="20"/>
                <w:szCs w:val="20"/>
              </w:rPr>
            </w:pPr>
            <w:r>
              <w:rPr>
                <w:sz w:val="20"/>
                <w:szCs w:val="20"/>
              </w:rPr>
              <w:t xml:space="preserve">not serious </w:t>
            </w:r>
          </w:p>
        </w:tc>
        <w:tc>
          <w:tcPr>
            <w:tcW w:w="1033" w:type="dxa"/>
            <w:tcBorders>
              <w:top w:val="single" w:sz="6" w:space="0" w:color="000000"/>
              <w:left w:val="single" w:sz="6" w:space="0" w:color="000000"/>
              <w:bottom w:val="single" w:sz="6" w:space="0" w:color="000000"/>
              <w:right w:val="single" w:sz="6" w:space="0" w:color="000000"/>
            </w:tcBorders>
          </w:tcPr>
          <w:p w14:paraId="6D0EAFC5" w14:textId="77777777" w:rsidR="002D58E4" w:rsidRDefault="00F721D4">
            <w:pPr>
              <w:rPr>
                <w:sz w:val="20"/>
                <w:szCs w:val="20"/>
              </w:rPr>
            </w:pPr>
            <w:r>
              <w:rPr>
                <w:sz w:val="20"/>
                <w:szCs w:val="20"/>
              </w:rPr>
              <w:t xml:space="preserve">not serious </w:t>
            </w:r>
          </w:p>
        </w:tc>
        <w:tc>
          <w:tcPr>
            <w:tcW w:w="1196" w:type="dxa"/>
            <w:tcBorders>
              <w:top w:val="single" w:sz="6" w:space="0" w:color="000000"/>
              <w:left w:val="single" w:sz="6" w:space="0" w:color="000000"/>
              <w:bottom w:val="single" w:sz="6" w:space="0" w:color="000000"/>
              <w:right w:val="single" w:sz="6" w:space="0" w:color="000000"/>
            </w:tcBorders>
          </w:tcPr>
          <w:p w14:paraId="677A1219" w14:textId="77777777" w:rsidR="002D58E4" w:rsidRDefault="00F721D4">
            <w:pPr>
              <w:rPr>
                <w:sz w:val="20"/>
                <w:szCs w:val="20"/>
              </w:rPr>
            </w:pPr>
            <w:r>
              <w:rPr>
                <w:sz w:val="20"/>
                <w:szCs w:val="20"/>
              </w:rPr>
              <w:t xml:space="preserve">serious </w:t>
            </w:r>
            <w:r>
              <w:rPr>
                <w:sz w:val="20"/>
                <w:szCs w:val="20"/>
                <w:vertAlign w:val="superscript"/>
              </w:rPr>
              <w:t>b</w:t>
            </w:r>
          </w:p>
        </w:tc>
        <w:tc>
          <w:tcPr>
            <w:tcW w:w="902" w:type="dxa"/>
            <w:tcBorders>
              <w:top w:val="single" w:sz="6" w:space="0" w:color="000000"/>
              <w:left w:val="single" w:sz="6" w:space="0" w:color="000000"/>
              <w:bottom w:val="single" w:sz="6" w:space="0" w:color="000000"/>
              <w:right w:val="single" w:sz="6" w:space="0" w:color="000000"/>
            </w:tcBorders>
          </w:tcPr>
          <w:p w14:paraId="51153AE6" w14:textId="77777777" w:rsidR="002D58E4" w:rsidRDefault="00F721D4">
            <w:pPr>
              <w:rPr>
                <w:sz w:val="20"/>
                <w:szCs w:val="20"/>
              </w:rPr>
            </w:pPr>
            <w:r>
              <w:rPr>
                <w:sz w:val="20"/>
                <w:szCs w:val="20"/>
              </w:rPr>
              <w:t xml:space="preserve">none </w:t>
            </w:r>
          </w:p>
        </w:tc>
        <w:tc>
          <w:tcPr>
            <w:tcW w:w="1196" w:type="dxa"/>
            <w:tcBorders>
              <w:top w:val="single" w:sz="6" w:space="0" w:color="000000"/>
              <w:left w:val="single" w:sz="6" w:space="0" w:color="000000"/>
              <w:bottom w:val="single" w:sz="6" w:space="0" w:color="000000"/>
              <w:right w:val="single" w:sz="6" w:space="0" w:color="000000"/>
            </w:tcBorders>
          </w:tcPr>
          <w:p w14:paraId="36816006" w14:textId="77777777" w:rsidR="002D58E4" w:rsidRDefault="00F721D4">
            <w:pPr>
              <w:jc w:val="center"/>
              <w:rPr>
                <w:sz w:val="20"/>
                <w:szCs w:val="20"/>
              </w:rPr>
            </w:pPr>
            <w:r>
              <w:rPr>
                <w:sz w:val="20"/>
                <w:szCs w:val="20"/>
              </w:rPr>
              <w:t xml:space="preserve">0/278 </w:t>
            </w:r>
          </w:p>
          <w:p w14:paraId="1C4D912F" w14:textId="77777777" w:rsidR="002D58E4" w:rsidRDefault="00F721D4">
            <w:pPr>
              <w:jc w:val="center"/>
              <w:rPr>
                <w:sz w:val="20"/>
                <w:szCs w:val="20"/>
              </w:rPr>
            </w:pPr>
            <w:r>
              <w:rPr>
                <w:sz w:val="20"/>
                <w:szCs w:val="20"/>
              </w:rPr>
              <w:t xml:space="preserve">(0.0%) </w:t>
            </w:r>
          </w:p>
        </w:tc>
        <w:tc>
          <w:tcPr>
            <w:tcW w:w="949" w:type="dxa"/>
            <w:tcBorders>
              <w:top w:val="single" w:sz="6" w:space="0" w:color="000000"/>
              <w:left w:val="single" w:sz="6" w:space="0" w:color="000000"/>
              <w:bottom w:val="single" w:sz="6" w:space="0" w:color="000000"/>
              <w:right w:val="single" w:sz="6" w:space="0" w:color="000000"/>
            </w:tcBorders>
          </w:tcPr>
          <w:p w14:paraId="66C78B18" w14:textId="77777777" w:rsidR="002D58E4" w:rsidRDefault="00F721D4">
            <w:pPr>
              <w:jc w:val="center"/>
              <w:rPr>
                <w:sz w:val="20"/>
                <w:szCs w:val="20"/>
              </w:rPr>
            </w:pPr>
            <w:r>
              <w:rPr>
                <w:sz w:val="20"/>
                <w:szCs w:val="20"/>
              </w:rPr>
              <w:t>5/292</w:t>
            </w:r>
          </w:p>
          <w:p w14:paraId="102FFB74" w14:textId="77777777" w:rsidR="002D58E4" w:rsidRDefault="00F721D4">
            <w:pPr>
              <w:jc w:val="center"/>
              <w:rPr>
                <w:sz w:val="20"/>
                <w:szCs w:val="20"/>
              </w:rPr>
            </w:pPr>
            <w:r>
              <w:rPr>
                <w:sz w:val="20"/>
                <w:szCs w:val="20"/>
              </w:rPr>
              <w:t xml:space="preserve"> (1.7%) </w:t>
            </w:r>
          </w:p>
        </w:tc>
        <w:tc>
          <w:tcPr>
            <w:tcW w:w="1290" w:type="dxa"/>
            <w:tcBorders>
              <w:top w:val="single" w:sz="6" w:space="0" w:color="000000"/>
              <w:left w:val="single" w:sz="6" w:space="0" w:color="000000"/>
              <w:bottom w:val="single" w:sz="6" w:space="0" w:color="000000"/>
              <w:right w:val="single" w:sz="6" w:space="0" w:color="000000"/>
            </w:tcBorders>
          </w:tcPr>
          <w:p w14:paraId="1BCE3B8D" w14:textId="77777777" w:rsidR="002D58E4" w:rsidRDefault="00F721D4">
            <w:pPr>
              <w:jc w:val="center"/>
              <w:rPr>
                <w:sz w:val="20"/>
                <w:szCs w:val="20"/>
              </w:rPr>
            </w:pPr>
            <w:r>
              <w:rPr>
                <w:sz w:val="20"/>
                <w:szCs w:val="20"/>
              </w:rPr>
              <w:t>N</w:t>
            </w:r>
            <w:r>
              <w:t>A</w:t>
            </w:r>
            <w:r>
              <w:rPr>
                <w:vertAlign w:val="superscript"/>
              </w:rPr>
              <w:t xml:space="preserve"> c</w:t>
            </w:r>
            <w:r>
              <w:br/>
            </w:r>
          </w:p>
        </w:tc>
        <w:tc>
          <w:tcPr>
            <w:tcW w:w="1981" w:type="dxa"/>
            <w:tcBorders>
              <w:top w:val="single" w:sz="6" w:space="0" w:color="000000"/>
              <w:left w:val="single" w:sz="6" w:space="0" w:color="000000"/>
              <w:bottom w:val="single" w:sz="6" w:space="0" w:color="000000"/>
              <w:right w:val="single" w:sz="6" w:space="0" w:color="000000"/>
            </w:tcBorders>
          </w:tcPr>
          <w:p w14:paraId="51CF62B8" w14:textId="77777777" w:rsidR="002D58E4" w:rsidRDefault="00F721D4">
            <w:pPr>
              <w:jc w:val="center"/>
              <w:rPr>
                <w:sz w:val="20"/>
                <w:szCs w:val="20"/>
              </w:rPr>
            </w:pPr>
            <w:r>
              <w:rPr>
                <w:sz w:val="20"/>
                <w:szCs w:val="20"/>
              </w:rPr>
              <w:t>17 fewer per 1,000</w:t>
            </w:r>
            <w:r>
              <w:rPr>
                <w:sz w:val="20"/>
                <w:szCs w:val="20"/>
              </w:rPr>
              <w:br/>
            </w:r>
          </w:p>
        </w:tc>
        <w:tc>
          <w:tcPr>
            <w:tcW w:w="1193" w:type="dxa"/>
            <w:tcBorders>
              <w:top w:val="single" w:sz="6" w:space="0" w:color="000000"/>
              <w:left w:val="single" w:sz="6" w:space="0" w:color="000000"/>
              <w:bottom w:val="single" w:sz="6" w:space="0" w:color="000000"/>
              <w:right w:val="single" w:sz="6" w:space="0" w:color="000000"/>
            </w:tcBorders>
          </w:tcPr>
          <w:p w14:paraId="1C0B062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6DF81A26" w14:textId="77777777" w:rsidR="002D58E4" w:rsidRDefault="00F721D4">
            <w:pPr>
              <w:rPr>
                <w:sz w:val="20"/>
                <w:szCs w:val="20"/>
              </w:rPr>
            </w:pPr>
            <w:r>
              <w:rPr>
                <w:sz w:val="20"/>
                <w:szCs w:val="20"/>
              </w:rPr>
              <w:t xml:space="preserve">CRITICAL </w:t>
            </w:r>
          </w:p>
        </w:tc>
      </w:tr>
      <w:tr w:rsidR="002D58E4" w14:paraId="5C0508BA" w14:textId="77777777" w:rsidTr="00E70FE5">
        <w:tc>
          <w:tcPr>
            <w:tcW w:w="145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EC3E3C0" w14:textId="77777777" w:rsidR="002D58E4" w:rsidRDefault="00F721D4">
            <w:pPr>
              <w:rPr>
                <w:sz w:val="20"/>
                <w:szCs w:val="20"/>
              </w:rPr>
            </w:pPr>
            <w:r>
              <w:rPr>
                <w:b/>
                <w:sz w:val="20"/>
                <w:szCs w:val="20"/>
              </w:rPr>
              <w:t>Seroconversion post-treatment</w:t>
            </w:r>
          </w:p>
        </w:tc>
      </w:tr>
      <w:tr w:rsidR="002D58E4" w14:paraId="168ADDEC" w14:textId="77777777" w:rsidTr="00E70FE5">
        <w:tc>
          <w:tcPr>
            <w:tcW w:w="708" w:type="dxa"/>
            <w:tcBorders>
              <w:top w:val="single" w:sz="6" w:space="0" w:color="000000"/>
              <w:left w:val="single" w:sz="6" w:space="0" w:color="000000"/>
              <w:bottom w:val="single" w:sz="6" w:space="0" w:color="000000"/>
              <w:right w:val="single" w:sz="6" w:space="0" w:color="000000"/>
            </w:tcBorders>
          </w:tcPr>
          <w:p w14:paraId="482CA874" w14:textId="77777777" w:rsidR="002D58E4" w:rsidRDefault="00F721D4">
            <w:pPr>
              <w:rPr>
                <w:sz w:val="20"/>
                <w:szCs w:val="20"/>
              </w:rPr>
            </w:pPr>
            <w:r>
              <w:rPr>
                <w:sz w:val="20"/>
                <w:szCs w:val="20"/>
              </w:rPr>
              <w:t>3</w:t>
            </w:r>
            <w:r>
              <w:rPr>
                <w:sz w:val="20"/>
                <w:szCs w:val="20"/>
                <w:vertAlign w:val="superscript"/>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74473EA8" w14:textId="77777777" w:rsidR="002D58E4" w:rsidRDefault="00F721D4">
            <w:pPr>
              <w:rPr>
                <w:sz w:val="20"/>
                <w:szCs w:val="20"/>
              </w:rPr>
            </w:pPr>
            <w:r>
              <w:rPr>
                <w:sz w:val="20"/>
                <w:szCs w:val="20"/>
              </w:rPr>
              <w:t xml:space="preserve">RCT </w:t>
            </w:r>
            <w:r>
              <w:rPr>
                <w:sz w:val="20"/>
                <w:szCs w:val="20"/>
                <w:vertAlign w:val="superscript"/>
              </w:rPr>
              <w:t>1-3</w:t>
            </w:r>
          </w:p>
        </w:tc>
        <w:tc>
          <w:tcPr>
            <w:tcW w:w="850" w:type="dxa"/>
            <w:tcBorders>
              <w:top w:val="single" w:sz="6" w:space="0" w:color="000000"/>
              <w:left w:val="single" w:sz="6" w:space="0" w:color="000000"/>
              <w:bottom w:val="single" w:sz="6" w:space="0" w:color="000000"/>
              <w:right w:val="single" w:sz="6" w:space="0" w:color="000000"/>
            </w:tcBorders>
          </w:tcPr>
          <w:p w14:paraId="6C3BAF09" w14:textId="77777777" w:rsidR="002D58E4" w:rsidRDefault="00F721D4">
            <w:pPr>
              <w:rPr>
                <w:sz w:val="20"/>
                <w:szCs w:val="20"/>
              </w:rPr>
            </w:pPr>
            <w:r>
              <w:rPr>
                <w:sz w:val="20"/>
                <w:szCs w:val="20"/>
              </w:rPr>
              <w:t xml:space="preserve">not serious </w:t>
            </w:r>
          </w:p>
        </w:tc>
        <w:tc>
          <w:tcPr>
            <w:tcW w:w="1377" w:type="dxa"/>
            <w:tcBorders>
              <w:top w:val="single" w:sz="6" w:space="0" w:color="000000"/>
              <w:left w:val="single" w:sz="6" w:space="0" w:color="000000"/>
              <w:bottom w:val="single" w:sz="6" w:space="0" w:color="000000"/>
              <w:right w:val="single" w:sz="6" w:space="0" w:color="000000"/>
            </w:tcBorders>
          </w:tcPr>
          <w:p w14:paraId="48B6DDC9" w14:textId="77777777" w:rsidR="002D58E4" w:rsidRDefault="00F721D4">
            <w:pPr>
              <w:rPr>
                <w:sz w:val="20"/>
                <w:szCs w:val="20"/>
              </w:rPr>
            </w:pPr>
            <w:r>
              <w:rPr>
                <w:sz w:val="20"/>
                <w:szCs w:val="20"/>
              </w:rPr>
              <w:t xml:space="preserve">not serious </w:t>
            </w:r>
          </w:p>
        </w:tc>
        <w:tc>
          <w:tcPr>
            <w:tcW w:w="1033" w:type="dxa"/>
            <w:tcBorders>
              <w:top w:val="single" w:sz="6" w:space="0" w:color="000000"/>
              <w:left w:val="single" w:sz="6" w:space="0" w:color="000000"/>
              <w:bottom w:val="single" w:sz="6" w:space="0" w:color="000000"/>
              <w:right w:val="single" w:sz="6" w:space="0" w:color="000000"/>
            </w:tcBorders>
          </w:tcPr>
          <w:p w14:paraId="2A67490E" w14:textId="77777777" w:rsidR="002D58E4" w:rsidRDefault="00F721D4">
            <w:pPr>
              <w:rPr>
                <w:sz w:val="20"/>
                <w:szCs w:val="20"/>
              </w:rPr>
            </w:pPr>
            <w:r>
              <w:rPr>
                <w:sz w:val="20"/>
                <w:szCs w:val="20"/>
              </w:rPr>
              <w:t>serious</w:t>
            </w:r>
            <w:r>
              <w:rPr>
                <w:sz w:val="20"/>
                <w:szCs w:val="20"/>
                <w:vertAlign w:val="superscript"/>
              </w:rPr>
              <w:t xml:space="preserve"> a</w:t>
            </w:r>
            <w:r>
              <w:rPr>
                <w:sz w:val="20"/>
                <w:szCs w:val="20"/>
              </w:rPr>
              <w:t xml:space="preserve"> </w:t>
            </w:r>
          </w:p>
        </w:tc>
        <w:tc>
          <w:tcPr>
            <w:tcW w:w="1196" w:type="dxa"/>
            <w:tcBorders>
              <w:top w:val="single" w:sz="6" w:space="0" w:color="000000"/>
              <w:left w:val="single" w:sz="6" w:space="0" w:color="000000"/>
              <w:bottom w:val="single" w:sz="6" w:space="0" w:color="000000"/>
              <w:right w:val="single" w:sz="6" w:space="0" w:color="000000"/>
            </w:tcBorders>
          </w:tcPr>
          <w:p w14:paraId="576A5A2D" w14:textId="77777777" w:rsidR="002D58E4" w:rsidRDefault="00F721D4">
            <w:pPr>
              <w:rPr>
                <w:sz w:val="20"/>
                <w:szCs w:val="20"/>
              </w:rPr>
            </w:pPr>
            <w:r>
              <w:rPr>
                <w:sz w:val="20"/>
                <w:szCs w:val="20"/>
              </w:rPr>
              <w:t xml:space="preserve">serious </w:t>
            </w:r>
            <w:r>
              <w:rPr>
                <w:sz w:val="20"/>
                <w:szCs w:val="20"/>
                <w:vertAlign w:val="superscript"/>
              </w:rPr>
              <w:t>b</w:t>
            </w:r>
          </w:p>
        </w:tc>
        <w:tc>
          <w:tcPr>
            <w:tcW w:w="902" w:type="dxa"/>
            <w:tcBorders>
              <w:top w:val="single" w:sz="6" w:space="0" w:color="000000"/>
              <w:left w:val="single" w:sz="6" w:space="0" w:color="000000"/>
              <w:bottom w:val="single" w:sz="6" w:space="0" w:color="000000"/>
              <w:right w:val="single" w:sz="6" w:space="0" w:color="000000"/>
            </w:tcBorders>
          </w:tcPr>
          <w:p w14:paraId="2612641D" w14:textId="77777777" w:rsidR="002D58E4" w:rsidRDefault="00F721D4">
            <w:pPr>
              <w:rPr>
                <w:sz w:val="20"/>
                <w:szCs w:val="20"/>
              </w:rPr>
            </w:pPr>
            <w:r>
              <w:rPr>
                <w:sz w:val="20"/>
                <w:szCs w:val="20"/>
              </w:rPr>
              <w:t xml:space="preserve">none </w:t>
            </w:r>
          </w:p>
        </w:tc>
        <w:tc>
          <w:tcPr>
            <w:tcW w:w="1196" w:type="dxa"/>
            <w:tcBorders>
              <w:top w:val="single" w:sz="6" w:space="0" w:color="000000"/>
              <w:left w:val="single" w:sz="6" w:space="0" w:color="000000"/>
              <w:bottom w:val="single" w:sz="6" w:space="0" w:color="000000"/>
              <w:right w:val="single" w:sz="6" w:space="0" w:color="000000"/>
            </w:tcBorders>
          </w:tcPr>
          <w:p w14:paraId="2A97785D" w14:textId="77777777" w:rsidR="002D58E4" w:rsidRDefault="00F721D4">
            <w:pPr>
              <w:jc w:val="center"/>
              <w:rPr>
                <w:sz w:val="20"/>
                <w:szCs w:val="20"/>
              </w:rPr>
            </w:pPr>
            <w:r>
              <w:rPr>
                <w:sz w:val="20"/>
                <w:szCs w:val="20"/>
              </w:rPr>
              <w:t>0/251</w:t>
            </w:r>
          </w:p>
          <w:p w14:paraId="0FF15ABC" w14:textId="77777777" w:rsidR="002D58E4" w:rsidRDefault="00F721D4">
            <w:pPr>
              <w:jc w:val="center"/>
              <w:rPr>
                <w:sz w:val="20"/>
                <w:szCs w:val="20"/>
              </w:rPr>
            </w:pPr>
            <w:r>
              <w:rPr>
                <w:sz w:val="20"/>
                <w:szCs w:val="20"/>
              </w:rPr>
              <w:t xml:space="preserve"> (0.0%) </w:t>
            </w:r>
          </w:p>
        </w:tc>
        <w:tc>
          <w:tcPr>
            <w:tcW w:w="949" w:type="dxa"/>
            <w:tcBorders>
              <w:top w:val="single" w:sz="6" w:space="0" w:color="000000"/>
              <w:left w:val="single" w:sz="6" w:space="0" w:color="000000"/>
              <w:bottom w:val="single" w:sz="6" w:space="0" w:color="000000"/>
              <w:right w:val="single" w:sz="6" w:space="0" w:color="000000"/>
            </w:tcBorders>
          </w:tcPr>
          <w:p w14:paraId="393294B2" w14:textId="77777777" w:rsidR="002D58E4" w:rsidRDefault="00F721D4">
            <w:pPr>
              <w:jc w:val="center"/>
              <w:rPr>
                <w:sz w:val="20"/>
                <w:szCs w:val="20"/>
              </w:rPr>
            </w:pPr>
            <w:r>
              <w:rPr>
                <w:sz w:val="20"/>
                <w:szCs w:val="20"/>
              </w:rPr>
              <w:t xml:space="preserve">5/263 </w:t>
            </w:r>
          </w:p>
          <w:p w14:paraId="647F458E" w14:textId="77777777" w:rsidR="002D58E4" w:rsidRDefault="00F721D4">
            <w:pPr>
              <w:jc w:val="center"/>
              <w:rPr>
                <w:sz w:val="20"/>
                <w:szCs w:val="20"/>
              </w:rPr>
            </w:pPr>
            <w:r>
              <w:rPr>
                <w:sz w:val="20"/>
                <w:szCs w:val="20"/>
              </w:rPr>
              <w:t xml:space="preserve">(1.9%) </w:t>
            </w:r>
          </w:p>
        </w:tc>
        <w:tc>
          <w:tcPr>
            <w:tcW w:w="1290" w:type="dxa"/>
            <w:tcBorders>
              <w:top w:val="single" w:sz="6" w:space="0" w:color="000000"/>
              <w:left w:val="single" w:sz="6" w:space="0" w:color="000000"/>
              <w:bottom w:val="single" w:sz="6" w:space="0" w:color="000000"/>
              <w:right w:val="single" w:sz="6" w:space="0" w:color="000000"/>
            </w:tcBorders>
          </w:tcPr>
          <w:p w14:paraId="019C5113" w14:textId="77777777" w:rsidR="002D58E4" w:rsidRDefault="00F721D4">
            <w:pPr>
              <w:jc w:val="center"/>
            </w:pPr>
            <w:r>
              <w:rPr>
                <w:sz w:val="20"/>
                <w:szCs w:val="20"/>
              </w:rPr>
              <w:t>N</w:t>
            </w:r>
            <w:r>
              <w:t>A</w:t>
            </w:r>
            <w:r>
              <w:rPr>
                <w:vertAlign w:val="superscript"/>
              </w:rPr>
              <w:t xml:space="preserve"> c</w:t>
            </w:r>
          </w:p>
          <w:p w14:paraId="64DEFC60" w14:textId="77777777" w:rsidR="002D58E4" w:rsidRDefault="002D58E4">
            <w:pPr>
              <w:jc w:val="center"/>
              <w:rPr>
                <w:sz w:val="20"/>
                <w:szCs w:val="20"/>
              </w:rPr>
            </w:pPr>
          </w:p>
        </w:tc>
        <w:tc>
          <w:tcPr>
            <w:tcW w:w="1981" w:type="dxa"/>
            <w:tcBorders>
              <w:top w:val="single" w:sz="6" w:space="0" w:color="000000"/>
              <w:left w:val="single" w:sz="6" w:space="0" w:color="000000"/>
              <w:bottom w:val="single" w:sz="6" w:space="0" w:color="000000"/>
              <w:right w:val="single" w:sz="6" w:space="0" w:color="000000"/>
            </w:tcBorders>
          </w:tcPr>
          <w:p w14:paraId="5984CABD" w14:textId="77777777" w:rsidR="002D58E4" w:rsidRDefault="00F721D4">
            <w:pPr>
              <w:jc w:val="center"/>
              <w:rPr>
                <w:sz w:val="20"/>
                <w:szCs w:val="20"/>
              </w:rPr>
            </w:pPr>
            <w:r>
              <w:rPr>
                <w:sz w:val="20"/>
                <w:szCs w:val="20"/>
              </w:rPr>
              <w:t>19 fewer per 1,000</w:t>
            </w:r>
            <w:r>
              <w:rPr>
                <w:sz w:val="20"/>
                <w:szCs w:val="20"/>
              </w:rPr>
              <w:br/>
            </w:r>
          </w:p>
        </w:tc>
        <w:tc>
          <w:tcPr>
            <w:tcW w:w="1193" w:type="dxa"/>
            <w:tcBorders>
              <w:top w:val="single" w:sz="6" w:space="0" w:color="000000"/>
              <w:left w:val="single" w:sz="6" w:space="0" w:color="000000"/>
              <w:bottom w:val="single" w:sz="6" w:space="0" w:color="000000"/>
              <w:right w:val="single" w:sz="6" w:space="0" w:color="000000"/>
            </w:tcBorders>
          </w:tcPr>
          <w:p w14:paraId="56628E2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86" w:type="dxa"/>
            <w:tcBorders>
              <w:top w:val="single" w:sz="6" w:space="0" w:color="000000"/>
              <w:left w:val="single" w:sz="6" w:space="0" w:color="000000"/>
              <w:bottom w:val="single" w:sz="6" w:space="0" w:color="000000"/>
              <w:right w:val="single" w:sz="6" w:space="0" w:color="000000"/>
            </w:tcBorders>
          </w:tcPr>
          <w:p w14:paraId="1DF336D2" w14:textId="5B213818" w:rsidR="002D58E4" w:rsidRDefault="00F721D4">
            <w:pPr>
              <w:rPr>
                <w:sz w:val="20"/>
                <w:szCs w:val="20"/>
              </w:rPr>
            </w:pPr>
            <w:r>
              <w:rPr>
                <w:sz w:val="20"/>
                <w:szCs w:val="20"/>
              </w:rPr>
              <w:t xml:space="preserve"> IMPORTANT</w:t>
            </w:r>
          </w:p>
        </w:tc>
      </w:tr>
      <w:tr w:rsidR="002D58E4" w14:paraId="3CFBF05A" w14:textId="77777777" w:rsidTr="00E70FE5">
        <w:tc>
          <w:tcPr>
            <w:tcW w:w="145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8707316" w14:textId="77777777" w:rsidR="002D58E4" w:rsidRDefault="00F721D4">
            <w:pPr>
              <w:rPr>
                <w:sz w:val="20"/>
                <w:szCs w:val="20"/>
              </w:rPr>
            </w:pPr>
            <w:r>
              <w:rPr>
                <w:b/>
                <w:sz w:val="20"/>
                <w:szCs w:val="20"/>
              </w:rPr>
              <w:t>Dermatologic Adverse Events</w:t>
            </w:r>
            <w:r>
              <w:rPr>
                <w:sz w:val="20"/>
                <w:szCs w:val="20"/>
              </w:rPr>
              <w:t xml:space="preserve"> </w:t>
            </w:r>
          </w:p>
        </w:tc>
      </w:tr>
      <w:tr w:rsidR="002D58E4" w14:paraId="156F9405" w14:textId="77777777" w:rsidTr="00E70FE5">
        <w:tc>
          <w:tcPr>
            <w:tcW w:w="708" w:type="dxa"/>
            <w:tcBorders>
              <w:top w:val="single" w:sz="6" w:space="0" w:color="000000"/>
              <w:left w:val="single" w:sz="6" w:space="0" w:color="000000"/>
              <w:bottom w:val="single" w:sz="6" w:space="0" w:color="000000"/>
              <w:right w:val="single" w:sz="6" w:space="0" w:color="000000"/>
            </w:tcBorders>
          </w:tcPr>
          <w:p w14:paraId="284092F9" w14:textId="77777777" w:rsidR="002D58E4" w:rsidRDefault="00F721D4">
            <w:pPr>
              <w:rPr>
                <w:sz w:val="20"/>
                <w:szCs w:val="20"/>
              </w:rPr>
            </w:pPr>
            <w:r>
              <w:rPr>
                <w:sz w:val="20"/>
                <w:szCs w:val="20"/>
              </w:rPr>
              <w:t>3</w:t>
            </w:r>
          </w:p>
        </w:tc>
        <w:tc>
          <w:tcPr>
            <w:tcW w:w="709" w:type="dxa"/>
            <w:tcBorders>
              <w:top w:val="single" w:sz="6" w:space="0" w:color="000000"/>
              <w:left w:val="single" w:sz="6" w:space="0" w:color="000000"/>
              <w:bottom w:val="single" w:sz="6" w:space="0" w:color="000000"/>
              <w:right w:val="single" w:sz="6" w:space="0" w:color="000000"/>
            </w:tcBorders>
          </w:tcPr>
          <w:p w14:paraId="505331F9" w14:textId="77777777" w:rsidR="002D58E4" w:rsidRDefault="00F721D4">
            <w:pPr>
              <w:rPr>
                <w:sz w:val="20"/>
                <w:szCs w:val="20"/>
              </w:rPr>
            </w:pPr>
            <w:r>
              <w:rPr>
                <w:sz w:val="20"/>
                <w:szCs w:val="20"/>
              </w:rPr>
              <w:t xml:space="preserve">RCT </w:t>
            </w:r>
            <w:r>
              <w:rPr>
                <w:sz w:val="20"/>
                <w:szCs w:val="20"/>
                <w:vertAlign w:val="superscript"/>
              </w:rPr>
              <w:t>1-3</w:t>
            </w:r>
          </w:p>
        </w:tc>
        <w:tc>
          <w:tcPr>
            <w:tcW w:w="850" w:type="dxa"/>
            <w:tcBorders>
              <w:top w:val="single" w:sz="6" w:space="0" w:color="000000"/>
              <w:left w:val="single" w:sz="6" w:space="0" w:color="000000"/>
              <w:bottom w:val="single" w:sz="6" w:space="0" w:color="000000"/>
              <w:right w:val="single" w:sz="6" w:space="0" w:color="000000"/>
            </w:tcBorders>
          </w:tcPr>
          <w:p w14:paraId="22B0FD4B" w14:textId="77777777" w:rsidR="002D58E4" w:rsidRDefault="00F721D4">
            <w:pPr>
              <w:rPr>
                <w:sz w:val="20"/>
                <w:szCs w:val="20"/>
              </w:rPr>
            </w:pPr>
            <w:r>
              <w:rPr>
                <w:sz w:val="20"/>
                <w:szCs w:val="20"/>
              </w:rPr>
              <w:t xml:space="preserve">not serious </w:t>
            </w:r>
          </w:p>
        </w:tc>
        <w:tc>
          <w:tcPr>
            <w:tcW w:w="1377" w:type="dxa"/>
            <w:tcBorders>
              <w:top w:val="single" w:sz="6" w:space="0" w:color="000000"/>
              <w:left w:val="single" w:sz="6" w:space="0" w:color="000000"/>
              <w:bottom w:val="single" w:sz="6" w:space="0" w:color="000000"/>
              <w:right w:val="single" w:sz="6" w:space="0" w:color="000000"/>
            </w:tcBorders>
          </w:tcPr>
          <w:p w14:paraId="7AF1E5EF" w14:textId="77777777" w:rsidR="002D58E4" w:rsidRDefault="00F721D4">
            <w:pPr>
              <w:rPr>
                <w:sz w:val="20"/>
                <w:szCs w:val="20"/>
              </w:rPr>
            </w:pPr>
            <w:r>
              <w:rPr>
                <w:sz w:val="20"/>
                <w:szCs w:val="20"/>
              </w:rPr>
              <w:t xml:space="preserve">not serious </w:t>
            </w:r>
          </w:p>
        </w:tc>
        <w:tc>
          <w:tcPr>
            <w:tcW w:w="1033" w:type="dxa"/>
            <w:tcBorders>
              <w:top w:val="single" w:sz="6" w:space="0" w:color="000000"/>
              <w:left w:val="single" w:sz="6" w:space="0" w:color="000000"/>
              <w:bottom w:val="single" w:sz="6" w:space="0" w:color="000000"/>
              <w:right w:val="single" w:sz="6" w:space="0" w:color="000000"/>
            </w:tcBorders>
          </w:tcPr>
          <w:p w14:paraId="2D0EEACD" w14:textId="77777777" w:rsidR="002D58E4" w:rsidRDefault="00F721D4">
            <w:pPr>
              <w:rPr>
                <w:sz w:val="20"/>
                <w:szCs w:val="20"/>
              </w:rPr>
            </w:pPr>
            <w:r>
              <w:rPr>
                <w:sz w:val="20"/>
                <w:szCs w:val="20"/>
              </w:rPr>
              <w:t xml:space="preserve">not serious </w:t>
            </w:r>
          </w:p>
        </w:tc>
        <w:tc>
          <w:tcPr>
            <w:tcW w:w="1196" w:type="dxa"/>
            <w:tcBorders>
              <w:top w:val="single" w:sz="6" w:space="0" w:color="000000"/>
              <w:left w:val="single" w:sz="6" w:space="0" w:color="000000"/>
              <w:bottom w:val="single" w:sz="6" w:space="0" w:color="000000"/>
              <w:right w:val="single" w:sz="6" w:space="0" w:color="000000"/>
            </w:tcBorders>
          </w:tcPr>
          <w:p w14:paraId="30528062" w14:textId="77777777" w:rsidR="002D58E4" w:rsidRDefault="00F721D4">
            <w:pPr>
              <w:rPr>
                <w:sz w:val="20"/>
                <w:szCs w:val="20"/>
              </w:rPr>
            </w:pPr>
            <w:r>
              <w:rPr>
                <w:sz w:val="20"/>
                <w:szCs w:val="20"/>
              </w:rPr>
              <w:t xml:space="preserve">serious </w:t>
            </w:r>
            <w:r>
              <w:rPr>
                <w:sz w:val="20"/>
                <w:szCs w:val="20"/>
                <w:vertAlign w:val="superscript"/>
              </w:rPr>
              <w:t>b</w:t>
            </w:r>
          </w:p>
        </w:tc>
        <w:tc>
          <w:tcPr>
            <w:tcW w:w="902" w:type="dxa"/>
            <w:tcBorders>
              <w:top w:val="single" w:sz="6" w:space="0" w:color="000000"/>
              <w:left w:val="single" w:sz="6" w:space="0" w:color="000000"/>
              <w:bottom w:val="single" w:sz="6" w:space="0" w:color="000000"/>
              <w:right w:val="single" w:sz="6" w:space="0" w:color="000000"/>
            </w:tcBorders>
          </w:tcPr>
          <w:p w14:paraId="6813F522" w14:textId="77777777" w:rsidR="002D58E4" w:rsidRDefault="00F721D4">
            <w:pPr>
              <w:rPr>
                <w:sz w:val="20"/>
                <w:szCs w:val="20"/>
              </w:rPr>
            </w:pPr>
            <w:r>
              <w:rPr>
                <w:sz w:val="20"/>
                <w:szCs w:val="20"/>
              </w:rPr>
              <w:t xml:space="preserve">none </w:t>
            </w:r>
          </w:p>
        </w:tc>
        <w:tc>
          <w:tcPr>
            <w:tcW w:w="1196" w:type="dxa"/>
            <w:tcBorders>
              <w:top w:val="single" w:sz="6" w:space="0" w:color="000000"/>
              <w:left w:val="single" w:sz="6" w:space="0" w:color="000000"/>
              <w:bottom w:val="single" w:sz="6" w:space="0" w:color="000000"/>
              <w:right w:val="single" w:sz="6" w:space="0" w:color="000000"/>
            </w:tcBorders>
          </w:tcPr>
          <w:p w14:paraId="60B008C5" w14:textId="77777777" w:rsidR="002D58E4" w:rsidRDefault="00F721D4">
            <w:pPr>
              <w:jc w:val="center"/>
              <w:rPr>
                <w:sz w:val="20"/>
                <w:szCs w:val="20"/>
              </w:rPr>
            </w:pPr>
            <w:r>
              <w:rPr>
                <w:sz w:val="20"/>
                <w:szCs w:val="20"/>
              </w:rPr>
              <w:t xml:space="preserve">3/291 </w:t>
            </w:r>
          </w:p>
          <w:p w14:paraId="5C4D4B3A" w14:textId="77777777" w:rsidR="002D58E4" w:rsidRDefault="00F721D4">
            <w:pPr>
              <w:jc w:val="center"/>
              <w:rPr>
                <w:sz w:val="20"/>
                <w:szCs w:val="20"/>
              </w:rPr>
            </w:pPr>
            <w:r>
              <w:rPr>
                <w:sz w:val="20"/>
                <w:szCs w:val="20"/>
              </w:rPr>
              <w:t xml:space="preserve">(1.0%) </w:t>
            </w:r>
          </w:p>
        </w:tc>
        <w:tc>
          <w:tcPr>
            <w:tcW w:w="949" w:type="dxa"/>
            <w:tcBorders>
              <w:top w:val="single" w:sz="6" w:space="0" w:color="000000"/>
              <w:left w:val="single" w:sz="6" w:space="0" w:color="000000"/>
              <w:bottom w:val="single" w:sz="6" w:space="0" w:color="000000"/>
              <w:right w:val="single" w:sz="6" w:space="0" w:color="000000"/>
            </w:tcBorders>
          </w:tcPr>
          <w:p w14:paraId="1C4BCBDC" w14:textId="77777777" w:rsidR="002D58E4" w:rsidRDefault="00F721D4">
            <w:pPr>
              <w:jc w:val="center"/>
              <w:rPr>
                <w:sz w:val="20"/>
                <w:szCs w:val="20"/>
              </w:rPr>
            </w:pPr>
            <w:r>
              <w:rPr>
                <w:sz w:val="20"/>
                <w:szCs w:val="20"/>
              </w:rPr>
              <w:t>1/301</w:t>
            </w:r>
          </w:p>
          <w:p w14:paraId="22D87DF5" w14:textId="77777777" w:rsidR="002D58E4" w:rsidRDefault="00F721D4">
            <w:pPr>
              <w:jc w:val="center"/>
              <w:rPr>
                <w:sz w:val="20"/>
                <w:szCs w:val="20"/>
              </w:rPr>
            </w:pPr>
            <w:r>
              <w:rPr>
                <w:sz w:val="20"/>
                <w:szCs w:val="20"/>
              </w:rPr>
              <w:t xml:space="preserve"> (0.3%) </w:t>
            </w:r>
          </w:p>
        </w:tc>
        <w:tc>
          <w:tcPr>
            <w:tcW w:w="1290" w:type="dxa"/>
            <w:tcBorders>
              <w:top w:val="single" w:sz="6" w:space="0" w:color="000000"/>
              <w:left w:val="single" w:sz="6" w:space="0" w:color="000000"/>
              <w:bottom w:val="single" w:sz="6" w:space="0" w:color="000000"/>
              <w:right w:val="single" w:sz="6" w:space="0" w:color="000000"/>
            </w:tcBorders>
          </w:tcPr>
          <w:p w14:paraId="6664DAF8" w14:textId="77777777" w:rsidR="002D58E4" w:rsidRDefault="00F721D4">
            <w:pPr>
              <w:jc w:val="center"/>
              <w:rPr>
                <w:sz w:val="20"/>
                <w:szCs w:val="20"/>
              </w:rPr>
            </w:pPr>
            <w:r>
              <w:rPr>
                <w:sz w:val="20"/>
                <w:szCs w:val="20"/>
              </w:rPr>
              <w:t>RR 1.99</w:t>
            </w:r>
            <w:r>
              <w:rPr>
                <w:sz w:val="20"/>
                <w:szCs w:val="20"/>
              </w:rPr>
              <w:br/>
              <w:t xml:space="preserve">(0.33 to 12.08) </w:t>
            </w:r>
          </w:p>
        </w:tc>
        <w:tc>
          <w:tcPr>
            <w:tcW w:w="1981" w:type="dxa"/>
            <w:tcBorders>
              <w:top w:val="single" w:sz="6" w:space="0" w:color="000000"/>
              <w:left w:val="single" w:sz="6" w:space="0" w:color="000000"/>
              <w:bottom w:val="single" w:sz="6" w:space="0" w:color="000000"/>
              <w:right w:val="single" w:sz="6" w:space="0" w:color="000000"/>
            </w:tcBorders>
          </w:tcPr>
          <w:p w14:paraId="46315A6C" w14:textId="77777777" w:rsidR="002D58E4" w:rsidRDefault="00F721D4">
            <w:pPr>
              <w:jc w:val="center"/>
              <w:rPr>
                <w:sz w:val="20"/>
                <w:szCs w:val="20"/>
              </w:rPr>
            </w:pPr>
            <w:r>
              <w:rPr>
                <w:sz w:val="20"/>
                <w:szCs w:val="20"/>
              </w:rPr>
              <w:t>3 more per 1,000</w:t>
            </w:r>
            <w:r>
              <w:rPr>
                <w:sz w:val="20"/>
                <w:szCs w:val="20"/>
              </w:rPr>
              <w:br/>
              <w:t xml:space="preserve">(from 2 fewer to 37 more) </w:t>
            </w:r>
          </w:p>
        </w:tc>
        <w:tc>
          <w:tcPr>
            <w:tcW w:w="1193" w:type="dxa"/>
            <w:tcBorders>
              <w:top w:val="single" w:sz="6" w:space="0" w:color="000000"/>
              <w:left w:val="single" w:sz="6" w:space="0" w:color="000000"/>
              <w:bottom w:val="single" w:sz="6" w:space="0" w:color="000000"/>
              <w:right w:val="single" w:sz="6" w:space="0" w:color="000000"/>
            </w:tcBorders>
          </w:tcPr>
          <w:p w14:paraId="6E66C48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778DC947" w14:textId="2471CD55" w:rsidR="002D58E4" w:rsidRDefault="00F721D4">
            <w:pPr>
              <w:rPr>
                <w:sz w:val="20"/>
                <w:szCs w:val="20"/>
              </w:rPr>
            </w:pPr>
            <w:r>
              <w:rPr>
                <w:sz w:val="20"/>
                <w:szCs w:val="20"/>
              </w:rPr>
              <w:t xml:space="preserve"> IMPORTANT</w:t>
            </w:r>
          </w:p>
        </w:tc>
      </w:tr>
      <w:tr w:rsidR="002D58E4" w14:paraId="0E848E94" w14:textId="77777777" w:rsidTr="00E70FE5">
        <w:tc>
          <w:tcPr>
            <w:tcW w:w="145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48E3498" w14:textId="77777777" w:rsidR="002D58E4" w:rsidRDefault="00F721D4">
            <w:pPr>
              <w:rPr>
                <w:sz w:val="20"/>
                <w:szCs w:val="20"/>
              </w:rPr>
            </w:pPr>
            <w:r>
              <w:rPr>
                <w:b/>
                <w:sz w:val="20"/>
                <w:szCs w:val="20"/>
              </w:rPr>
              <w:t>Serious Adverse Events</w:t>
            </w:r>
            <w:r>
              <w:rPr>
                <w:sz w:val="20"/>
                <w:szCs w:val="20"/>
              </w:rPr>
              <w:t xml:space="preserve"> </w:t>
            </w:r>
          </w:p>
        </w:tc>
      </w:tr>
      <w:tr w:rsidR="002D58E4" w14:paraId="0650B179" w14:textId="77777777" w:rsidTr="00E70FE5">
        <w:tc>
          <w:tcPr>
            <w:tcW w:w="708" w:type="dxa"/>
            <w:tcBorders>
              <w:top w:val="single" w:sz="6" w:space="0" w:color="000000"/>
              <w:left w:val="single" w:sz="6" w:space="0" w:color="000000"/>
              <w:bottom w:val="single" w:sz="6" w:space="0" w:color="000000"/>
              <w:right w:val="single" w:sz="6" w:space="0" w:color="000000"/>
            </w:tcBorders>
          </w:tcPr>
          <w:p w14:paraId="0E5E71DA" w14:textId="77777777" w:rsidR="002D58E4" w:rsidRDefault="00F721D4">
            <w:pPr>
              <w:rPr>
                <w:sz w:val="20"/>
                <w:szCs w:val="20"/>
              </w:rPr>
            </w:pPr>
            <w:r>
              <w:rPr>
                <w:sz w:val="20"/>
                <w:szCs w:val="20"/>
              </w:rPr>
              <w:t>1</w:t>
            </w:r>
            <w:r>
              <w:rPr>
                <w:sz w:val="20"/>
                <w:szCs w:val="20"/>
                <w:vertAlign w:val="superscript"/>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8426081" w14:textId="77777777" w:rsidR="002D58E4" w:rsidRDefault="00F721D4">
            <w:pPr>
              <w:rPr>
                <w:sz w:val="20"/>
                <w:szCs w:val="20"/>
              </w:rPr>
            </w:pPr>
            <w:r>
              <w:rPr>
                <w:sz w:val="20"/>
                <w:szCs w:val="20"/>
              </w:rPr>
              <w:t xml:space="preserve">RCT </w:t>
            </w:r>
            <w:r>
              <w:rPr>
                <w:sz w:val="20"/>
                <w:szCs w:val="20"/>
                <w:vertAlign w:val="superscript"/>
              </w:rPr>
              <w:t xml:space="preserve">3 </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057D2A6E" w14:textId="77777777" w:rsidR="002D58E4" w:rsidRDefault="00F721D4">
            <w:pPr>
              <w:rPr>
                <w:sz w:val="20"/>
                <w:szCs w:val="20"/>
              </w:rPr>
            </w:pPr>
            <w:r>
              <w:rPr>
                <w:sz w:val="20"/>
                <w:szCs w:val="20"/>
              </w:rPr>
              <w:t xml:space="preserve">not serious </w:t>
            </w:r>
          </w:p>
        </w:tc>
        <w:tc>
          <w:tcPr>
            <w:tcW w:w="1377" w:type="dxa"/>
            <w:tcBorders>
              <w:top w:val="single" w:sz="6" w:space="0" w:color="000000"/>
              <w:left w:val="single" w:sz="6" w:space="0" w:color="000000"/>
              <w:bottom w:val="single" w:sz="6" w:space="0" w:color="000000"/>
              <w:right w:val="single" w:sz="6" w:space="0" w:color="000000"/>
            </w:tcBorders>
          </w:tcPr>
          <w:p w14:paraId="2DD17137" w14:textId="77777777" w:rsidR="002D58E4" w:rsidRDefault="00F721D4">
            <w:pPr>
              <w:rPr>
                <w:sz w:val="20"/>
                <w:szCs w:val="20"/>
              </w:rPr>
            </w:pPr>
            <w:r>
              <w:rPr>
                <w:sz w:val="20"/>
                <w:szCs w:val="20"/>
              </w:rPr>
              <w:t>not serious</w:t>
            </w:r>
          </w:p>
        </w:tc>
        <w:tc>
          <w:tcPr>
            <w:tcW w:w="1033" w:type="dxa"/>
            <w:tcBorders>
              <w:top w:val="single" w:sz="6" w:space="0" w:color="000000"/>
              <w:left w:val="single" w:sz="6" w:space="0" w:color="000000"/>
              <w:bottom w:val="single" w:sz="6" w:space="0" w:color="000000"/>
              <w:right w:val="single" w:sz="6" w:space="0" w:color="000000"/>
            </w:tcBorders>
          </w:tcPr>
          <w:p w14:paraId="56F107BF" w14:textId="77777777" w:rsidR="002D58E4" w:rsidRDefault="00F721D4">
            <w:pPr>
              <w:rPr>
                <w:sz w:val="20"/>
                <w:szCs w:val="20"/>
              </w:rPr>
            </w:pPr>
            <w:r>
              <w:rPr>
                <w:sz w:val="20"/>
                <w:szCs w:val="20"/>
              </w:rPr>
              <w:t xml:space="preserve">not serious </w:t>
            </w:r>
          </w:p>
        </w:tc>
        <w:tc>
          <w:tcPr>
            <w:tcW w:w="1196" w:type="dxa"/>
            <w:tcBorders>
              <w:top w:val="single" w:sz="6" w:space="0" w:color="000000"/>
              <w:left w:val="single" w:sz="6" w:space="0" w:color="000000"/>
              <w:bottom w:val="single" w:sz="6" w:space="0" w:color="000000"/>
              <w:right w:val="single" w:sz="6" w:space="0" w:color="000000"/>
            </w:tcBorders>
          </w:tcPr>
          <w:p w14:paraId="77C31023" w14:textId="77777777" w:rsidR="002D58E4" w:rsidRDefault="00F721D4">
            <w:pPr>
              <w:rPr>
                <w:sz w:val="20"/>
                <w:szCs w:val="20"/>
              </w:rPr>
            </w:pPr>
            <w:r>
              <w:rPr>
                <w:sz w:val="20"/>
                <w:szCs w:val="20"/>
              </w:rPr>
              <w:t xml:space="preserve">serious </w:t>
            </w:r>
            <w:r>
              <w:rPr>
                <w:sz w:val="20"/>
                <w:szCs w:val="20"/>
                <w:vertAlign w:val="superscript"/>
              </w:rPr>
              <w:t>b</w:t>
            </w:r>
          </w:p>
        </w:tc>
        <w:tc>
          <w:tcPr>
            <w:tcW w:w="902" w:type="dxa"/>
            <w:tcBorders>
              <w:top w:val="single" w:sz="6" w:space="0" w:color="000000"/>
              <w:left w:val="single" w:sz="6" w:space="0" w:color="000000"/>
              <w:bottom w:val="single" w:sz="6" w:space="0" w:color="000000"/>
              <w:right w:val="single" w:sz="6" w:space="0" w:color="000000"/>
            </w:tcBorders>
          </w:tcPr>
          <w:p w14:paraId="114F022F" w14:textId="77777777" w:rsidR="002D58E4" w:rsidRDefault="00F721D4">
            <w:pPr>
              <w:rPr>
                <w:sz w:val="20"/>
                <w:szCs w:val="20"/>
              </w:rPr>
            </w:pPr>
            <w:r>
              <w:rPr>
                <w:sz w:val="20"/>
                <w:szCs w:val="20"/>
              </w:rPr>
              <w:t xml:space="preserve">none </w:t>
            </w:r>
          </w:p>
        </w:tc>
        <w:tc>
          <w:tcPr>
            <w:tcW w:w="1196" w:type="dxa"/>
            <w:tcBorders>
              <w:top w:val="single" w:sz="6" w:space="0" w:color="000000"/>
              <w:left w:val="single" w:sz="6" w:space="0" w:color="000000"/>
              <w:bottom w:val="single" w:sz="6" w:space="0" w:color="000000"/>
              <w:right w:val="single" w:sz="6" w:space="0" w:color="000000"/>
            </w:tcBorders>
          </w:tcPr>
          <w:p w14:paraId="1F13751B" w14:textId="77777777" w:rsidR="002D58E4" w:rsidRDefault="00F721D4">
            <w:pPr>
              <w:jc w:val="center"/>
              <w:rPr>
                <w:sz w:val="20"/>
                <w:szCs w:val="20"/>
              </w:rPr>
            </w:pPr>
            <w:r>
              <w:rPr>
                <w:sz w:val="20"/>
                <w:szCs w:val="20"/>
              </w:rPr>
              <w:t xml:space="preserve">0/205 </w:t>
            </w:r>
          </w:p>
          <w:p w14:paraId="488050D8" w14:textId="77777777" w:rsidR="002D58E4" w:rsidRDefault="00F721D4">
            <w:pPr>
              <w:jc w:val="center"/>
              <w:rPr>
                <w:sz w:val="20"/>
                <w:szCs w:val="20"/>
              </w:rPr>
            </w:pPr>
            <w:r>
              <w:rPr>
                <w:sz w:val="20"/>
                <w:szCs w:val="20"/>
              </w:rPr>
              <w:t xml:space="preserve">(0.0%) </w:t>
            </w:r>
          </w:p>
        </w:tc>
        <w:tc>
          <w:tcPr>
            <w:tcW w:w="949" w:type="dxa"/>
            <w:tcBorders>
              <w:top w:val="single" w:sz="6" w:space="0" w:color="000000"/>
              <w:left w:val="single" w:sz="6" w:space="0" w:color="000000"/>
              <w:bottom w:val="single" w:sz="6" w:space="0" w:color="000000"/>
              <w:right w:val="single" w:sz="6" w:space="0" w:color="000000"/>
            </w:tcBorders>
          </w:tcPr>
          <w:p w14:paraId="7DAA459B" w14:textId="77777777" w:rsidR="002D58E4" w:rsidRDefault="00F721D4">
            <w:pPr>
              <w:jc w:val="center"/>
              <w:rPr>
                <w:sz w:val="20"/>
                <w:szCs w:val="20"/>
              </w:rPr>
            </w:pPr>
            <w:r>
              <w:rPr>
                <w:sz w:val="20"/>
                <w:szCs w:val="20"/>
              </w:rPr>
              <w:t>0/182</w:t>
            </w:r>
          </w:p>
          <w:p w14:paraId="083D5508" w14:textId="77777777" w:rsidR="002D58E4" w:rsidRDefault="00F721D4">
            <w:pPr>
              <w:jc w:val="center"/>
              <w:rPr>
                <w:sz w:val="20"/>
                <w:szCs w:val="20"/>
              </w:rPr>
            </w:pPr>
            <w:r>
              <w:rPr>
                <w:sz w:val="20"/>
                <w:szCs w:val="20"/>
              </w:rPr>
              <w:t xml:space="preserve"> (0.0%) </w:t>
            </w:r>
          </w:p>
        </w:tc>
        <w:tc>
          <w:tcPr>
            <w:tcW w:w="1290" w:type="dxa"/>
            <w:tcBorders>
              <w:top w:val="single" w:sz="6" w:space="0" w:color="000000"/>
              <w:left w:val="single" w:sz="6" w:space="0" w:color="000000"/>
              <w:bottom w:val="single" w:sz="6" w:space="0" w:color="000000"/>
              <w:right w:val="single" w:sz="6" w:space="0" w:color="000000"/>
            </w:tcBorders>
          </w:tcPr>
          <w:p w14:paraId="33F3C1FD" w14:textId="77777777" w:rsidR="002D58E4" w:rsidRDefault="00F721D4">
            <w:pPr>
              <w:jc w:val="center"/>
            </w:pPr>
            <w:r>
              <w:rPr>
                <w:sz w:val="20"/>
                <w:szCs w:val="20"/>
              </w:rPr>
              <w:t>N</w:t>
            </w:r>
            <w:r>
              <w:t xml:space="preserve">A </w:t>
            </w:r>
            <w:r>
              <w:rPr>
                <w:vertAlign w:val="superscript"/>
              </w:rPr>
              <w:t>c</w:t>
            </w:r>
          </w:p>
          <w:p w14:paraId="2965D596" w14:textId="77777777" w:rsidR="002D58E4" w:rsidRDefault="002D58E4">
            <w:pPr>
              <w:jc w:val="center"/>
              <w:rPr>
                <w:sz w:val="20"/>
                <w:szCs w:val="20"/>
              </w:rPr>
            </w:pPr>
          </w:p>
        </w:tc>
        <w:tc>
          <w:tcPr>
            <w:tcW w:w="1981" w:type="dxa"/>
            <w:tcBorders>
              <w:top w:val="single" w:sz="6" w:space="0" w:color="000000"/>
              <w:left w:val="single" w:sz="6" w:space="0" w:color="000000"/>
              <w:bottom w:val="single" w:sz="6" w:space="0" w:color="000000"/>
              <w:right w:val="single" w:sz="6" w:space="0" w:color="000000"/>
            </w:tcBorders>
          </w:tcPr>
          <w:p w14:paraId="42BFAAB1" w14:textId="77777777" w:rsidR="002D58E4" w:rsidRDefault="00F721D4">
            <w:pPr>
              <w:jc w:val="center"/>
              <w:rPr>
                <w:sz w:val="20"/>
                <w:szCs w:val="20"/>
              </w:rPr>
            </w:pPr>
            <w:r>
              <w:rPr>
                <w:sz w:val="20"/>
                <w:szCs w:val="20"/>
              </w:rPr>
              <w:t>0 per 1,000</w:t>
            </w:r>
          </w:p>
        </w:tc>
        <w:tc>
          <w:tcPr>
            <w:tcW w:w="1193" w:type="dxa"/>
            <w:tcBorders>
              <w:top w:val="single" w:sz="6" w:space="0" w:color="000000"/>
              <w:left w:val="single" w:sz="6" w:space="0" w:color="000000"/>
              <w:bottom w:val="single" w:sz="6" w:space="0" w:color="000000"/>
              <w:right w:val="single" w:sz="6" w:space="0" w:color="000000"/>
            </w:tcBorders>
          </w:tcPr>
          <w:p w14:paraId="4E0421E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86" w:type="dxa"/>
            <w:tcBorders>
              <w:top w:val="single" w:sz="6" w:space="0" w:color="000000"/>
              <w:left w:val="single" w:sz="6" w:space="0" w:color="000000"/>
              <w:bottom w:val="single" w:sz="6" w:space="0" w:color="000000"/>
              <w:right w:val="single" w:sz="6" w:space="0" w:color="000000"/>
            </w:tcBorders>
          </w:tcPr>
          <w:p w14:paraId="0F95F124" w14:textId="3CDEFCD6" w:rsidR="002D58E4" w:rsidRDefault="00F721D4">
            <w:pPr>
              <w:rPr>
                <w:sz w:val="20"/>
                <w:szCs w:val="20"/>
              </w:rPr>
            </w:pPr>
            <w:r>
              <w:rPr>
                <w:sz w:val="20"/>
                <w:szCs w:val="20"/>
              </w:rPr>
              <w:t xml:space="preserve"> IMPORTANT</w:t>
            </w:r>
          </w:p>
        </w:tc>
      </w:tr>
    </w:tbl>
    <w:p w14:paraId="485536AB" w14:textId="77777777" w:rsidR="00085048" w:rsidRDefault="00085048" w:rsidP="00085048">
      <w:pPr>
        <w:pBdr>
          <w:top w:val="nil"/>
          <w:left w:val="nil"/>
          <w:bottom w:val="nil"/>
          <w:right w:val="nil"/>
          <w:between w:val="nil"/>
        </w:pBdr>
        <w:spacing w:before="100" w:after="100" w:line="240" w:lineRule="auto"/>
        <w:rPr>
          <w:b/>
          <w:color w:val="000000"/>
          <w:sz w:val="18"/>
          <w:szCs w:val="18"/>
        </w:rPr>
      </w:pPr>
      <w:r>
        <w:rPr>
          <w:b/>
          <w:color w:val="000000"/>
          <w:sz w:val="18"/>
          <w:szCs w:val="18"/>
        </w:rPr>
        <w:t>*</w:t>
      </w:r>
      <w:r>
        <w:rPr>
          <w:color w:val="000000"/>
          <w:sz w:val="20"/>
          <w:szCs w:val="20"/>
        </w:rPr>
        <w:t xml:space="preserve"> Clinical evidence is defined as erythema migrans and/or flu-like symptoms or febrile illness accompanied by seroconversion.</w:t>
      </w:r>
    </w:p>
    <w:p w14:paraId="1E0E23FC" w14:textId="77777777" w:rsidR="002D58E4" w:rsidRDefault="00F721D4">
      <w:pPr>
        <w:pBdr>
          <w:top w:val="nil"/>
          <w:left w:val="nil"/>
          <w:bottom w:val="nil"/>
          <w:right w:val="nil"/>
          <w:between w:val="nil"/>
        </w:pBdr>
        <w:spacing w:before="100"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1F87379E" w14:textId="77777777" w:rsidR="002D58E4" w:rsidRDefault="002D58E4">
      <w:pPr>
        <w:pBdr>
          <w:top w:val="nil"/>
          <w:left w:val="nil"/>
          <w:bottom w:val="nil"/>
          <w:right w:val="nil"/>
          <w:between w:val="nil"/>
        </w:pBdr>
        <w:spacing w:after="0" w:line="240" w:lineRule="auto"/>
        <w:rPr>
          <w:b/>
          <w:color w:val="000000"/>
          <w:sz w:val="24"/>
          <w:szCs w:val="24"/>
        </w:rPr>
      </w:pPr>
    </w:p>
    <w:p w14:paraId="216D5D4D" w14:textId="77777777" w:rsidR="002D58E4" w:rsidRDefault="00F721D4">
      <w:pPr>
        <w:pBdr>
          <w:top w:val="nil"/>
          <w:left w:val="nil"/>
          <w:bottom w:val="nil"/>
          <w:right w:val="nil"/>
          <w:between w:val="nil"/>
        </w:pBdr>
        <w:spacing w:after="0" w:line="240" w:lineRule="auto"/>
        <w:rPr>
          <w:b/>
          <w:color w:val="000000"/>
          <w:sz w:val="24"/>
          <w:szCs w:val="24"/>
        </w:rPr>
      </w:pPr>
      <w:r>
        <w:rPr>
          <w:b/>
          <w:color w:val="000000"/>
          <w:sz w:val="24"/>
          <w:szCs w:val="24"/>
        </w:rPr>
        <w:lastRenderedPageBreak/>
        <w:t>Explanations</w:t>
      </w:r>
    </w:p>
    <w:p w14:paraId="7BA10F96" w14:textId="77777777" w:rsidR="002D58E4" w:rsidRDefault="00F721D4">
      <w:pPr>
        <w:spacing w:after="0"/>
        <w:rPr>
          <w:color w:val="000000"/>
          <w:sz w:val="18"/>
          <w:szCs w:val="18"/>
        </w:rPr>
      </w:pPr>
      <w:r>
        <w:rPr>
          <w:color w:val="000000"/>
          <w:sz w:val="18"/>
          <w:szCs w:val="18"/>
        </w:rPr>
        <w:t>a. Surrogate for clinical evidence of Lyme disease.</w:t>
      </w:r>
    </w:p>
    <w:p w14:paraId="6CDFEBAB" w14:textId="77777777" w:rsidR="002D58E4" w:rsidRDefault="00F721D4">
      <w:pPr>
        <w:spacing w:after="0"/>
        <w:rPr>
          <w:color w:val="000000"/>
          <w:sz w:val="18"/>
          <w:szCs w:val="18"/>
        </w:rPr>
      </w:pPr>
      <w:r>
        <w:rPr>
          <w:color w:val="000000"/>
          <w:sz w:val="18"/>
          <w:szCs w:val="18"/>
        </w:rPr>
        <w:t>b. Due to low event rate.</w:t>
      </w:r>
    </w:p>
    <w:p w14:paraId="6560FAD3" w14:textId="77777777" w:rsidR="002D58E4" w:rsidRDefault="00F721D4">
      <w:pPr>
        <w:rPr>
          <w:color w:val="000000"/>
          <w:sz w:val="18"/>
          <w:szCs w:val="18"/>
        </w:rPr>
      </w:pPr>
      <w:r>
        <w:rPr>
          <w:color w:val="000000"/>
          <w:sz w:val="18"/>
          <w:szCs w:val="18"/>
        </w:rPr>
        <w:t xml:space="preserve">c. Due to zero events, unable to estimate relative risk. </w:t>
      </w:r>
    </w:p>
    <w:p w14:paraId="54836CA8" w14:textId="77777777" w:rsidR="002D58E4" w:rsidRDefault="002D58E4">
      <w:pPr>
        <w:spacing w:after="0" w:line="480" w:lineRule="auto"/>
        <w:jc w:val="right"/>
        <w:rPr>
          <w:sz w:val="18"/>
          <w:szCs w:val="18"/>
        </w:rPr>
      </w:pPr>
      <w:bookmarkStart w:id="12" w:name="2s8eyo1" w:colFirst="0" w:colLast="0"/>
      <w:bookmarkStart w:id="13" w:name="_17dp8vu" w:colFirst="0" w:colLast="0"/>
      <w:bookmarkEnd w:id="12"/>
      <w:bookmarkEnd w:id="13"/>
    </w:p>
    <w:p w14:paraId="62049477" w14:textId="77777777" w:rsidR="00C34495" w:rsidRDefault="00C34495">
      <w:pPr>
        <w:rPr>
          <w:b/>
          <w:sz w:val="32"/>
          <w:szCs w:val="32"/>
          <w:u w:val="single"/>
        </w:rPr>
      </w:pPr>
      <w:bookmarkStart w:id="14" w:name="3rdcrjn" w:colFirst="0" w:colLast="0"/>
      <w:bookmarkEnd w:id="14"/>
      <w:r>
        <w:rPr>
          <w:b/>
          <w:sz w:val="32"/>
          <w:szCs w:val="32"/>
          <w:u w:val="single"/>
        </w:rPr>
        <w:br w:type="page"/>
      </w:r>
    </w:p>
    <w:p w14:paraId="50EC5A79" w14:textId="0D466E5D" w:rsidR="002D58E4" w:rsidRDefault="00F721D4">
      <w:pPr>
        <w:rPr>
          <w:b/>
          <w:sz w:val="28"/>
          <w:szCs w:val="28"/>
        </w:rPr>
      </w:pPr>
      <w:r>
        <w:rPr>
          <w:b/>
          <w:sz w:val="32"/>
          <w:szCs w:val="32"/>
          <w:u w:val="single"/>
        </w:rPr>
        <w:lastRenderedPageBreak/>
        <w:t>Early localized Lyme disease (</w:t>
      </w:r>
      <w:r>
        <w:rPr>
          <w:b/>
          <w:color w:val="000000"/>
          <w:sz w:val="32"/>
          <w:szCs w:val="32"/>
          <w:u w:val="single"/>
        </w:rPr>
        <w:t>erythema migrans)</w:t>
      </w:r>
    </w:p>
    <w:p w14:paraId="1657ADF3" w14:textId="77777777" w:rsidR="002D58E4" w:rsidRDefault="00F721D4">
      <w:pPr>
        <w:spacing w:after="0" w:line="480" w:lineRule="auto"/>
        <w:jc w:val="both"/>
        <w:rPr>
          <w:b/>
          <w:color w:val="000000"/>
          <w:sz w:val="32"/>
          <w:szCs w:val="32"/>
        </w:rPr>
      </w:pPr>
      <w:r>
        <w:rPr>
          <w:b/>
          <w:color w:val="000000"/>
          <w:sz w:val="32"/>
          <w:szCs w:val="32"/>
        </w:rPr>
        <w:t xml:space="preserve">V. What is the </w:t>
      </w:r>
      <w:r>
        <w:rPr>
          <w:b/>
          <w:sz w:val="32"/>
          <w:szCs w:val="32"/>
        </w:rPr>
        <w:t xml:space="preserve">preferred </w:t>
      </w:r>
      <w:r>
        <w:rPr>
          <w:b/>
          <w:color w:val="000000"/>
          <w:sz w:val="32"/>
          <w:szCs w:val="32"/>
        </w:rPr>
        <w:t>diagnostic testing strategy for erythema migrans?</w:t>
      </w:r>
    </w:p>
    <w:p w14:paraId="3CB8FC86" w14:textId="77777777" w:rsidR="002D58E4" w:rsidRDefault="00F721D4">
      <w:pPr>
        <w:spacing w:line="480" w:lineRule="auto"/>
        <w:rPr>
          <w:b/>
        </w:rPr>
      </w:pPr>
      <w:r>
        <w:rPr>
          <w:b/>
          <w:sz w:val="24"/>
          <w:szCs w:val="24"/>
        </w:rPr>
        <w:t>Serologic testing, skin or blood PCR, direct microscopic detection, spirochetal culture of blood, empiric therapy, spirochetal culture of skin biopsy</w:t>
      </w:r>
    </w:p>
    <w:p w14:paraId="1FBC71D4" w14:textId="77777777" w:rsidR="002D58E4" w:rsidRDefault="00F721D4">
      <w:pPr>
        <w:numPr>
          <w:ilvl w:val="0"/>
          <w:numId w:val="18"/>
        </w:numPr>
        <w:spacing w:after="0"/>
        <w:rPr>
          <w:b/>
        </w:rPr>
      </w:pPr>
      <w:r>
        <w:rPr>
          <w:b/>
          <w:sz w:val="24"/>
          <w:szCs w:val="24"/>
        </w:rPr>
        <w:t>Systematic reviews and meta-analyses (serology)</w:t>
      </w:r>
    </w:p>
    <w:p w14:paraId="1B67A0FE" w14:textId="77777777" w:rsidR="002D58E4" w:rsidRDefault="00F721D4">
      <w:pPr>
        <w:ind w:left="360"/>
        <w:rPr>
          <w:b/>
          <w:sz w:val="24"/>
          <w:szCs w:val="24"/>
        </w:rPr>
      </w:pPr>
      <w:r w:rsidRPr="00E20834">
        <w:rPr>
          <w:b/>
          <w:color w:val="000000"/>
          <w:sz w:val="18"/>
          <w:szCs w:val="18"/>
          <w:lang w:val="fr-CA"/>
        </w:rPr>
        <w:t>Bibliography:</w:t>
      </w:r>
      <w:r w:rsidRPr="00E20834">
        <w:rPr>
          <w:color w:val="000000"/>
          <w:sz w:val="18"/>
          <w:szCs w:val="18"/>
          <w:lang w:val="fr-CA"/>
        </w:rPr>
        <w:t xml:space="preserve"> 1. Waddell et al. </w:t>
      </w:r>
      <w:r w:rsidRPr="00E20834">
        <w:rPr>
          <w:i/>
          <w:color w:val="000000"/>
          <w:sz w:val="18"/>
          <w:szCs w:val="18"/>
          <w:lang w:val="fr-CA"/>
        </w:rPr>
        <w:t>PLoS One</w:t>
      </w:r>
      <w:r w:rsidRPr="00E20834">
        <w:rPr>
          <w:color w:val="000000"/>
          <w:sz w:val="18"/>
          <w:szCs w:val="18"/>
          <w:lang w:val="fr-CA"/>
        </w:rPr>
        <w:t>. 2016 Dec 21;11(12):e0168613. doi</w:t>
      </w:r>
      <w:r w:rsidRPr="00610DB8">
        <w:rPr>
          <w:color w:val="000000"/>
          <w:sz w:val="18"/>
          <w:szCs w:val="18"/>
          <w:lang w:val="fr-CA"/>
        </w:rPr>
        <w:t xml:space="preserve">: 10.1371/journal.pone.0168613. eCollection 2016; 2. Leeflang et al. </w:t>
      </w:r>
      <w:r>
        <w:rPr>
          <w:i/>
          <w:color w:val="000000"/>
          <w:sz w:val="18"/>
          <w:szCs w:val="18"/>
        </w:rPr>
        <w:t>BMC Infect Dis</w:t>
      </w:r>
      <w:r>
        <w:rPr>
          <w:color w:val="000000"/>
          <w:sz w:val="18"/>
          <w:szCs w:val="18"/>
        </w:rPr>
        <w:t xml:space="preserve">. 2016 Mar 25;16:140. doi: 10.1186/s12879-016-1468-4. </w:t>
      </w:r>
    </w:p>
    <w:tbl>
      <w:tblPr>
        <w:tblStyle w:val="a9"/>
        <w:tblW w:w="14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991"/>
        <w:gridCol w:w="2417"/>
        <w:gridCol w:w="2337"/>
        <w:gridCol w:w="1238"/>
        <w:gridCol w:w="5986"/>
      </w:tblGrid>
      <w:tr w:rsidR="002D58E4" w14:paraId="21644FD7" w14:textId="77777777">
        <w:trPr>
          <w:jc w:val="center"/>
        </w:trPr>
        <w:tc>
          <w:tcPr>
            <w:tcW w:w="1296" w:type="dxa"/>
            <w:shd w:val="clear" w:color="auto" w:fill="BFBFBF"/>
          </w:tcPr>
          <w:p w14:paraId="7197F4FB" w14:textId="77777777" w:rsidR="002D58E4" w:rsidRDefault="00F721D4">
            <w:pPr>
              <w:rPr>
                <w:b/>
                <w:sz w:val="20"/>
                <w:szCs w:val="20"/>
              </w:rPr>
            </w:pPr>
            <w:r>
              <w:rPr>
                <w:b/>
                <w:sz w:val="20"/>
                <w:szCs w:val="20"/>
              </w:rPr>
              <w:t>Name</w:t>
            </w:r>
          </w:p>
        </w:tc>
        <w:tc>
          <w:tcPr>
            <w:tcW w:w="991" w:type="dxa"/>
            <w:shd w:val="clear" w:color="auto" w:fill="BFBFBF"/>
          </w:tcPr>
          <w:p w14:paraId="6D9E30AD" w14:textId="77777777" w:rsidR="002D58E4" w:rsidRDefault="00F721D4">
            <w:pPr>
              <w:rPr>
                <w:b/>
                <w:sz w:val="20"/>
                <w:szCs w:val="20"/>
              </w:rPr>
            </w:pPr>
            <w:r>
              <w:rPr>
                <w:b/>
                <w:sz w:val="20"/>
                <w:szCs w:val="20"/>
              </w:rPr>
              <w:t>Study Design</w:t>
            </w:r>
          </w:p>
        </w:tc>
        <w:tc>
          <w:tcPr>
            <w:tcW w:w="2417" w:type="dxa"/>
            <w:shd w:val="clear" w:color="auto" w:fill="BFBFBF"/>
          </w:tcPr>
          <w:p w14:paraId="68BE4179" w14:textId="77777777" w:rsidR="002D58E4" w:rsidRDefault="00F721D4">
            <w:pPr>
              <w:rPr>
                <w:b/>
                <w:sz w:val="20"/>
                <w:szCs w:val="20"/>
              </w:rPr>
            </w:pPr>
            <w:r>
              <w:rPr>
                <w:b/>
                <w:sz w:val="20"/>
                <w:szCs w:val="20"/>
              </w:rPr>
              <w:t>Search dates;</w:t>
            </w:r>
          </w:p>
          <w:p w14:paraId="65E2BD0F" w14:textId="77777777" w:rsidR="002D58E4" w:rsidRDefault="00F721D4">
            <w:pPr>
              <w:rPr>
                <w:b/>
                <w:sz w:val="20"/>
                <w:szCs w:val="20"/>
              </w:rPr>
            </w:pPr>
            <w:r>
              <w:rPr>
                <w:b/>
                <w:sz w:val="20"/>
                <w:szCs w:val="20"/>
              </w:rPr>
              <w:t>Inclusion/ Exclusion criteria</w:t>
            </w:r>
          </w:p>
        </w:tc>
        <w:tc>
          <w:tcPr>
            <w:tcW w:w="2337" w:type="dxa"/>
            <w:shd w:val="clear" w:color="auto" w:fill="BFBFBF"/>
          </w:tcPr>
          <w:p w14:paraId="467BDD30" w14:textId="77777777" w:rsidR="002D58E4" w:rsidRDefault="00F721D4">
            <w:pPr>
              <w:rPr>
                <w:b/>
                <w:sz w:val="20"/>
                <w:szCs w:val="20"/>
              </w:rPr>
            </w:pPr>
            <w:r>
              <w:rPr>
                <w:b/>
                <w:sz w:val="20"/>
                <w:szCs w:val="20"/>
              </w:rPr>
              <w:t>Limitations</w:t>
            </w:r>
          </w:p>
        </w:tc>
        <w:tc>
          <w:tcPr>
            <w:tcW w:w="1238" w:type="dxa"/>
            <w:shd w:val="clear" w:color="auto" w:fill="BFBFBF"/>
          </w:tcPr>
          <w:p w14:paraId="18E15421" w14:textId="77777777" w:rsidR="002D58E4" w:rsidRDefault="00F721D4">
            <w:pPr>
              <w:rPr>
                <w:b/>
                <w:sz w:val="20"/>
                <w:szCs w:val="20"/>
              </w:rPr>
            </w:pPr>
            <w:r>
              <w:rPr>
                <w:b/>
                <w:sz w:val="20"/>
                <w:szCs w:val="20"/>
              </w:rPr>
              <w:t>N of studies included</w:t>
            </w:r>
          </w:p>
        </w:tc>
        <w:tc>
          <w:tcPr>
            <w:tcW w:w="5986" w:type="dxa"/>
            <w:shd w:val="clear" w:color="auto" w:fill="BFBFBF"/>
          </w:tcPr>
          <w:p w14:paraId="176539BA" w14:textId="77777777" w:rsidR="002D58E4" w:rsidRDefault="00F721D4">
            <w:pPr>
              <w:rPr>
                <w:b/>
                <w:sz w:val="20"/>
                <w:szCs w:val="20"/>
              </w:rPr>
            </w:pPr>
            <w:r>
              <w:rPr>
                <w:b/>
                <w:sz w:val="20"/>
                <w:szCs w:val="20"/>
              </w:rPr>
              <w:t>Results (Number of studies = N; Sensitivity=Sn, %; Specificity=Sp, %; (95% CI))</w:t>
            </w:r>
          </w:p>
        </w:tc>
      </w:tr>
      <w:tr w:rsidR="002D58E4" w14:paraId="5C8273F9" w14:textId="77777777">
        <w:trPr>
          <w:jc w:val="center"/>
        </w:trPr>
        <w:tc>
          <w:tcPr>
            <w:tcW w:w="1296" w:type="dxa"/>
          </w:tcPr>
          <w:p w14:paraId="2057B895" w14:textId="77777777" w:rsidR="002D58E4" w:rsidRDefault="00F721D4">
            <w:pPr>
              <w:rPr>
                <w:sz w:val="20"/>
                <w:szCs w:val="20"/>
              </w:rPr>
            </w:pPr>
            <w:r>
              <w:rPr>
                <w:sz w:val="20"/>
                <w:szCs w:val="20"/>
              </w:rPr>
              <w:t>Waddell, 2016</w:t>
            </w:r>
          </w:p>
        </w:tc>
        <w:tc>
          <w:tcPr>
            <w:tcW w:w="991" w:type="dxa"/>
          </w:tcPr>
          <w:p w14:paraId="6050FEEC" w14:textId="77777777" w:rsidR="002D58E4" w:rsidRDefault="00F721D4">
            <w:pPr>
              <w:rPr>
                <w:sz w:val="20"/>
                <w:szCs w:val="20"/>
              </w:rPr>
            </w:pPr>
            <w:r>
              <w:rPr>
                <w:sz w:val="20"/>
                <w:szCs w:val="20"/>
              </w:rPr>
              <w:t>A systematic review and meta-analysis</w:t>
            </w:r>
          </w:p>
        </w:tc>
        <w:tc>
          <w:tcPr>
            <w:tcW w:w="2417" w:type="dxa"/>
          </w:tcPr>
          <w:p w14:paraId="1E5098ED" w14:textId="77777777" w:rsidR="002D58E4" w:rsidRDefault="00F721D4">
            <w:pPr>
              <w:rPr>
                <w:sz w:val="20"/>
                <w:szCs w:val="20"/>
              </w:rPr>
            </w:pPr>
            <w:r>
              <w:rPr>
                <w:b/>
                <w:sz w:val="20"/>
                <w:szCs w:val="20"/>
              </w:rPr>
              <w:t>1995 – Sep. 2013</w:t>
            </w:r>
            <w:r>
              <w:rPr>
                <w:sz w:val="20"/>
                <w:szCs w:val="20"/>
              </w:rPr>
              <w:t>;</w:t>
            </w:r>
          </w:p>
          <w:p w14:paraId="150772E0" w14:textId="77777777" w:rsidR="002D58E4" w:rsidRDefault="00F721D4">
            <w:pPr>
              <w:rPr>
                <w:sz w:val="20"/>
                <w:szCs w:val="20"/>
              </w:rPr>
            </w:pPr>
            <w:r>
              <w:rPr>
                <w:sz w:val="20"/>
                <w:szCs w:val="20"/>
              </w:rPr>
              <w:t xml:space="preserve">Included </w:t>
            </w:r>
            <w:r>
              <w:rPr>
                <w:b/>
                <w:sz w:val="20"/>
                <w:szCs w:val="20"/>
              </w:rPr>
              <w:t>all North American diagnostic test studies that compared results of one test using a validated test panel, results of clinical diagnosis, or a gold standard test result or investigated inter-test agreement</w:t>
            </w:r>
            <w:r>
              <w:rPr>
                <w:sz w:val="20"/>
                <w:szCs w:val="20"/>
              </w:rPr>
              <w:t xml:space="preserve">. No studies were excluded based on their quality assessment. </w:t>
            </w:r>
          </w:p>
          <w:p w14:paraId="59CEA662" w14:textId="77777777" w:rsidR="002D58E4" w:rsidRDefault="00F721D4">
            <w:pPr>
              <w:rPr>
                <w:sz w:val="20"/>
                <w:szCs w:val="20"/>
              </w:rPr>
            </w:pPr>
            <w:r>
              <w:rPr>
                <w:sz w:val="20"/>
                <w:szCs w:val="20"/>
              </w:rPr>
              <w:t xml:space="preserve">The </w:t>
            </w:r>
            <w:r>
              <w:rPr>
                <w:b/>
                <w:sz w:val="20"/>
                <w:szCs w:val="20"/>
              </w:rPr>
              <w:t>included tests were evaluated in the context of clinical diagnosis or compared with one anothe</w:t>
            </w:r>
            <w:r>
              <w:rPr>
                <w:sz w:val="20"/>
                <w:szCs w:val="20"/>
              </w:rPr>
              <w:t>r.</w:t>
            </w:r>
          </w:p>
          <w:p w14:paraId="67D1E17B" w14:textId="77777777" w:rsidR="002D58E4" w:rsidRDefault="002D58E4">
            <w:pPr>
              <w:rPr>
                <w:sz w:val="20"/>
                <w:szCs w:val="20"/>
              </w:rPr>
            </w:pPr>
          </w:p>
          <w:p w14:paraId="79C40A64" w14:textId="77777777" w:rsidR="002D58E4" w:rsidRDefault="00F721D4">
            <w:pPr>
              <w:rPr>
                <w:sz w:val="20"/>
                <w:szCs w:val="20"/>
              </w:rPr>
            </w:pPr>
            <w:r>
              <w:rPr>
                <w:sz w:val="20"/>
                <w:szCs w:val="20"/>
                <w:u w:val="single"/>
              </w:rPr>
              <w:t>The Early/acute stage was defined as</w:t>
            </w:r>
            <w:r>
              <w:rPr>
                <w:sz w:val="20"/>
                <w:szCs w:val="20"/>
              </w:rPr>
              <w:t xml:space="preserve"> disease duration of &lt;30 days and included erythema migrans (EM). </w:t>
            </w:r>
          </w:p>
          <w:p w14:paraId="70CF8EF1" w14:textId="77777777" w:rsidR="002D58E4" w:rsidRDefault="002D58E4">
            <w:pPr>
              <w:rPr>
                <w:sz w:val="20"/>
                <w:szCs w:val="20"/>
              </w:rPr>
            </w:pPr>
          </w:p>
          <w:p w14:paraId="65ABB40D" w14:textId="77777777" w:rsidR="002D58E4" w:rsidRDefault="00F721D4">
            <w:pPr>
              <w:rPr>
                <w:sz w:val="20"/>
                <w:szCs w:val="20"/>
              </w:rPr>
            </w:pPr>
            <w:r>
              <w:rPr>
                <w:sz w:val="20"/>
                <w:szCs w:val="20"/>
              </w:rPr>
              <w:t xml:space="preserve">Meta-analysis was conducted using hierarchical logistic </w:t>
            </w:r>
            <w:r>
              <w:rPr>
                <w:sz w:val="20"/>
                <w:szCs w:val="20"/>
              </w:rPr>
              <w:lastRenderedPageBreak/>
              <w:t>regression and bivariate models that account for the correlation between sensitivity and specificity.</w:t>
            </w:r>
          </w:p>
        </w:tc>
        <w:tc>
          <w:tcPr>
            <w:tcW w:w="2337" w:type="dxa"/>
          </w:tcPr>
          <w:p w14:paraId="07274459" w14:textId="77777777" w:rsidR="002D58E4" w:rsidRDefault="00F721D4">
            <w:pPr>
              <w:rPr>
                <w:sz w:val="20"/>
                <w:szCs w:val="20"/>
              </w:rPr>
            </w:pPr>
            <w:r>
              <w:rPr>
                <w:sz w:val="20"/>
                <w:szCs w:val="20"/>
              </w:rPr>
              <w:lastRenderedPageBreak/>
              <w:t>1. Did not include studies originating from outside of the US and Canada;</w:t>
            </w:r>
          </w:p>
          <w:p w14:paraId="0875B3D9" w14:textId="77777777" w:rsidR="002D58E4" w:rsidRDefault="00F721D4">
            <w:pPr>
              <w:rPr>
                <w:sz w:val="20"/>
                <w:szCs w:val="20"/>
              </w:rPr>
            </w:pPr>
            <w:r>
              <w:rPr>
                <w:sz w:val="20"/>
                <w:szCs w:val="20"/>
              </w:rPr>
              <w:t xml:space="preserve">2. Broad inclusion criteria: many studies with risks of bias in the selection, performance (inadequate blinding), reporting, and funding domains. </w:t>
            </w:r>
          </w:p>
          <w:p w14:paraId="26813113" w14:textId="77777777" w:rsidR="002D58E4" w:rsidRDefault="00F721D4">
            <w:pPr>
              <w:rPr>
                <w:sz w:val="20"/>
                <w:szCs w:val="20"/>
              </w:rPr>
            </w:pPr>
            <w:r>
              <w:rPr>
                <w:sz w:val="20"/>
                <w:szCs w:val="20"/>
              </w:rPr>
              <w:t xml:space="preserve">3. Included studies evaluating in-house tests; however, heterogeneity analyses on the impact of the non-commercial tests were performed, where applicable. </w:t>
            </w:r>
          </w:p>
          <w:p w14:paraId="454463F1" w14:textId="77777777" w:rsidR="002D58E4" w:rsidRDefault="002D58E4">
            <w:pPr>
              <w:rPr>
                <w:sz w:val="20"/>
                <w:szCs w:val="20"/>
              </w:rPr>
            </w:pPr>
          </w:p>
        </w:tc>
        <w:tc>
          <w:tcPr>
            <w:tcW w:w="1238" w:type="dxa"/>
          </w:tcPr>
          <w:p w14:paraId="6BBAFDAC" w14:textId="77777777" w:rsidR="002D58E4" w:rsidRDefault="00F721D4">
            <w:pPr>
              <w:rPr>
                <w:sz w:val="20"/>
                <w:szCs w:val="20"/>
              </w:rPr>
            </w:pPr>
            <w:r>
              <w:rPr>
                <w:b/>
                <w:sz w:val="20"/>
                <w:szCs w:val="20"/>
              </w:rPr>
              <w:t>48</w:t>
            </w:r>
            <w:r>
              <w:rPr>
                <w:sz w:val="20"/>
                <w:szCs w:val="20"/>
              </w:rPr>
              <w:t xml:space="preserve">; all originating from </w:t>
            </w:r>
            <w:r>
              <w:rPr>
                <w:b/>
                <w:sz w:val="20"/>
                <w:szCs w:val="20"/>
              </w:rPr>
              <w:t>the US</w:t>
            </w:r>
            <w:r>
              <w:rPr>
                <w:sz w:val="20"/>
                <w:szCs w:val="20"/>
              </w:rPr>
              <w:t>; study quality was evaluated with QUADAS-2 tool (</w:t>
            </w:r>
            <w:r>
              <w:rPr>
                <w:b/>
                <w:sz w:val="20"/>
                <w:szCs w:val="20"/>
              </w:rPr>
              <w:t>8</w:t>
            </w:r>
            <w:r>
              <w:rPr>
                <w:sz w:val="20"/>
                <w:szCs w:val="20"/>
              </w:rPr>
              <w:t xml:space="preserve"> deemed to have </w:t>
            </w:r>
            <w:r>
              <w:rPr>
                <w:b/>
                <w:sz w:val="20"/>
                <w:szCs w:val="20"/>
              </w:rPr>
              <w:t>low</w:t>
            </w:r>
            <w:r>
              <w:rPr>
                <w:sz w:val="20"/>
                <w:szCs w:val="20"/>
              </w:rPr>
              <w:t xml:space="preserve"> and </w:t>
            </w:r>
            <w:r>
              <w:rPr>
                <w:b/>
                <w:sz w:val="20"/>
                <w:szCs w:val="20"/>
              </w:rPr>
              <w:t>40 - unclear risk of bias</w:t>
            </w:r>
            <w:r>
              <w:rPr>
                <w:sz w:val="20"/>
                <w:szCs w:val="20"/>
              </w:rPr>
              <w:t>)</w:t>
            </w:r>
          </w:p>
        </w:tc>
        <w:tc>
          <w:tcPr>
            <w:tcW w:w="5986" w:type="dxa"/>
          </w:tcPr>
          <w:p w14:paraId="7FA2A99D" w14:textId="77777777" w:rsidR="002D58E4" w:rsidRDefault="00F721D4">
            <w:pPr>
              <w:rPr>
                <w:sz w:val="20"/>
                <w:szCs w:val="20"/>
              </w:rPr>
            </w:pPr>
            <w:r>
              <w:rPr>
                <w:sz w:val="20"/>
                <w:szCs w:val="20"/>
              </w:rPr>
              <w:t xml:space="preserve">1. </w:t>
            </w:r>
            <w:r>
              <w:rPr>
                <w:b/>
                <w:color w:val="FF0000"/>
                <w:sz w:val="20"/>
                <w:szCs w:val="20"/>
              </w:rPr>
              <w:t>Two-tier test vs. clinical diagnosis</w:t>
            </w:r>
            <w:r>
              <w:rPr>
                <w:color w:val="FF0000"/>
                <w:sz w:val="20"/>
                <w:szCs w:val="20"/>
              </w:rPr>
              <w:t xml:space="preserve"> </w:t>
            </w:r>
            <w:r>
              <w:rPr>
                <w:sz w:val="20"/>
                <w:szCs w:val="20"/>
              </w:rPr>
              <w:t xml:space="preserve">(total N=13; 9 with at least one in-house test): </w:t>
            </w:r>
          </w:p>
          <w:p w14:paraId="1E51EF3D" w14:textId="77777777" w:rsidR="002D58E4" w:rsidRDefault="00F721D4">
            <w:pPr>
              <w:rPr>
                <w:sz w:val="20"/>
                <w:szCs w:val="20"/>
              </w:rPr>
            </w:pPr>
            <w:r>
              <w:rPr>
                <w:b/>
                <w:color w:val="4472C4"/>
                <w:sz w:val="20"/>
                <w:szCs w:val="20"/>
              </w:rPr>
              <w:t xml:space="preserve">Stage 1 (Early acute) </w:t>
            </w:r>
            <w:r>
              <w:rPr>
                <w:sz w:val="20"/>
                <w:szCs w:val="20"/>
              </w:rPr>
              <w:t xml:space="preserve">(N=10): </w:t>
            </w:r>
          </w:p>
          <w:p w14:paraId="4853ACBC" w14:textId="77777777" w:rsidR="002D58E4" w:rsidRDefault="00F721D4">
            <w:pPr>
              <w:rPr>
                <w:sz w:val="20"/>
                <w:szCs w:val="20"/>
              </w:rPr>
            </w:pPr>
            <w:r>
              <w:rPr>
                <w:b/>
                <w:sz w:val="20"/>
                <w:szCs w:val="20"/>
              </w:rPr>
              <w:t>Sn 46.3%</w:t>
            </w:r>
            <w:r>
              <w:rPr>
                <w:sz w:val="20"/>
                <w:szCs w:val="20"/>
              </w:rPr>
              <w:t xml:space="preserve"> (39.1; 53.7); </w:t>
            </w:r>
            <w:r>
              <w:rPr>
                <w:b/>
                <w:sz w:val="20"/>
                <w:szCs w:val="20"/>
              </w:rPr>
              <w:t>Sp 99.3%</w:t>
            </w:r>
            <w:r>
              <w:rPr>
                <w:sz w:val="20"/>
                <w:szCs w:val="20"/>
              </w:rPr>
              <w:t xml:space="preserve"> (98.3; 99.7);</w:t>
            </w:r>
          </w:p>
          <w:p w14:paraId="4D167D44" w14:textId="77777777" w:rsidR="002D58E4" w:rsidRDefault="00F721D4">
            <w:pPr>
              <w:rPr>
                <w:sz w:val="20"/>
                <w:szCs w:val="20"/>
              </w:rPr>
            </w:pPr>
            <w:r>
              <w:rPr>
                <w:b/>
                <w:color w:val="4472C4"/>
                <w:sz w:val="20"/>
                <w:szCs w:val="20"/>
              </w:rPr>
              <w:t>Convalescent Lyme (treated at stage 1)</w:t>
            </w:r>
            <w:r>
              <w:rPr>
                <w:color w:val="4472C4"/>
                <w:sz w:val="20"/>
                <w:szCs w:val="20"/>
              </w:rPr>
              <w:t xml:space="preserve"> </w:t>
            </w:r>
            <w:r>
              <w:rPr>
                <w:sz w:val="20"/>
                <w:szCs w:val="20"/>
              </w:rPr>
              <w:t xml:space="preserve">(N=3): </w:t>
            </w:r>
          </w:p>
          <w:p w14:paraId="72D072CA" w14:textId="77777777" w:rsidR="002D58E4" w:rsidRDefault="00F721D4">
            <w:pPr>
              <w:rPr>
                <w:sz w:val="20"/>
                <w:szCs w:val="20"/>
              </w:rPr>
            </w:pPr>
            <w:r>
              <w:rPr>
                <w:b/>
                <w:sz w:val="20"/>
                <w:szCs w:val="20"/>
              </w:rPr>
              <w:t>Sn 58.2%</w:t>
            </w:r>
            <w:r>
              <w:rPr>
                <w:sz w:val="20"/>
                <w:szCs w:val="20"/>
              </w:rPr>
              <w:t xml:space="preserve"> (46.4; 69.2); </w:t>
            </w:r>
            <w:r>
              <w:rPr>
                <w:b/>
                <w:sz w:val="20"/>
                <w:szCs w:val="20"/>
              </w:rPr>
              <w:t>Sp 99.1%</w:t>
            </w:r>
            <w:r>
              <w:rPr>
                <w:sz w:val="20"/>
                <w:szCs w:val="20"/>
              </w:rPr>
              <w:t xml:space="preserve"> (97.8; 99.6);</w:t>
            </w:r>
          </w:p>
          <w:p w14:paraId="41D0AE76" w14:textId="77777777" w:rsidR="002D58E4" w:rsidRDefault="00F721D4">
            <w:pPr>
              <w:rPr>
                <w:sz w:val="20"/>
                <w:szCs w:val="20"/>
              </w:rPr>
            </w:pPr>
            <w:r>
              <w:rPr>
                <w:sz w:val="20"/>
                <w:szCs w:val="20"/>
              </w:rPr>
              <w:t xml:space="preserve">“At the early stage of LD </w:t>
            </w:r>
            <w:r>
              <w:rPr>
                <w:b/>
                <w:sz w:val="20"/>
                <w:szCs w:val="20"/>
              </w:rPr>
              <w:t>the two-tier testing method was good for ruling in LD if the patient tested positive, but had very poor predictive value for ruling out LD</w:t>
            </w:r>
            <w:r>
              <w:rPr>
                <w:sz w:val="20"/>
                <w:szCs w:val="20"/>
              </w:rPr>
              <w:t xml:space="preserve">, which is why it is recommended to retest after 30 days. However, for </w:t>
            </w:r>
            <w:r>
              <w:rPr>
                <w:b/>
                <w:sz w:val="20"/>
                <w:szCs w:val="20"/>
              </w:rPr>
              <w:t>convalescent patients treated at stage 1 LD sensitivity remained low even after 30 days</w:t>
            </w:r>
            <w:r>
              <w:rPr>
                <w:sz w:val="20"/>
                <w:szCs w:val="20"/>
              </w:rPr>
              <w:t>.”</w:t>
            </w:r>
          </w:p>
          <w:p w14:paraId="7DC1C11A" w14:textId="77777777" w:rsidR="002D58E4" w:rsidRDefault="00F721D4">
            <w:pPr>
              <w:rPr>
                <w:sz w:val="20"/>
                <w:szCs w:val="20"/>
              </w:rPr>
            </w:pPr>
            <w:r>
              <w:rPr>
                <w:sz w:val="20"/>
                <w:szCs w:val="20"/>
              </w:rPr>
              <w:t xml:space="preserve">2. </w:t>
            </w:r>
            <w:r>
              <w:rPr>
                <w:b/>
                <w:color w:val="FF0000"/>
                <w:sz w:val="20"/>
                <w:szCs w:val="20"/>
              </w:rPr>
              <w:t>EIA (1</w:t>
            </w:r>
            <w:r>
              <w:rPr>
                <w:b/>
                <w:color w:val="FF0000"/>
                <w:sz w:val="20"/>
                <w:szCs w:val="20"/>
                <w:vertAlign w:val="superscript"/>
              </w:rPr>
              <w:t>st</w:t>
            </w:r>
            <w:r>
              <w:rPr>
                <w:b/>
                <w:color w:val="FF0000"/>
                <w:sz w:val="20"/>
                <w:szCs w:val="20"/>
              </w:rPr>
              <w:t xml:space="preserve"> tier tests, including ELISA) vs. clinical diagnosis</w:t>
            </w:r>
            <w:r>
              <w:rPr>
                <w:sz w:val="20"/>
                <w:szCs w:val="20"/>
              </w:rPr>
              <w:t xml:space="preserve"> (total N=24; mix of FDA-licensed and in-house tests):</w:t>
            </w:r>
          </w:p>
          <w:p w14:paraId="0D19F34A" w14:textId="77777777" w:rsidR="002D58E4" w:rsidRDefault="00F721D4">
            <w:pPr>
              <w:rPr>
                <w:sz w:val="20"/>
                <w:szCs w:val="20"/>
              </w:rPr>
            </w:pPr>
            <w:r>
              <w:rPr>
                <w:sz w:val="20"/>
                <w:szCs w:val="20"/>
              </w:rPr>
              <w:t>“Similar to the two-tiered tests, [</w:t>
            </w:r>
            <w:r>
              <w:rPr>
                <w:b/>
                <w:sz w:val="20"/>
                <w:szCs w:val="20"/>
              </w:rPr>
              <w:t>EIA] test performance for patients with stage 1 LD was highly variable and had poor sensitivity</w:t>
            </w:r>
            <w:r>
              <w:rPr>
                <w:sz w:val="20"/>
                <w:szCs w:val="20"/>
              </w:rPr>
              <w:t>.”</w:t>
            </w:r>
          </w:p>
          <w:p w14:paraId="379726A4" w14:textId="77777777" w:rsidR="002D58E4" w:rsidRDefault="00F721D4">
            <w:pPr>
              <w:rPr>
                <w:sz w:val="20"/>
                <w:szCs w:val="20"/>
              </w:rPr>
            </w:pPr>
            <w:r>
              <w:rPr>
                <w:b/>
                <w:color w:val="4472C4"/>
                <w:sz w:val="20"/>
                <w:szCs w:val="20"/>
              </w:rPr>
              <w:t xml:space="preserve">Stage 1 (Early acute) </w:t>
            </w:r>
            <w:r>
              <w:rPr>
                <w:sz w:val="20"/>
                <w:szCs w:val="20"/>
              </w:rPr>
              <w:t xml:space="preserve">(N=15): </w:t>
            </w:r>
          </w:p>
          <w:p w14:paraId="3CB2235E" w14:textId="77777777" w:rsidR="002D58E4" w:rsidRDefault="00F721D4">
            <w:pPr>
              <w:rPr>
                <w:sz w:val="20"/>
                <w:szCs w:val="20"/>
              </w:rPr>
            </w:pPr>
            <w:r>
              <w:rPr>
                <w:b/>
                <w:sz w:val="20"/>
                <w:szCs w:val="20"/>
              </w:rPr>
              <w:t>Sn 54.0%</w:t>
            </w:r>
            <w:r>
              <w:rPr>
                <w:sz w:val="20"/>
                <w:szCs w:val="20"/>
              </w:rPr>
              <w:t xml:space="preserve"> (42.9; 64.8); </w:t>
            </w:r>
            <w:r>
              <w:rPr>
                <w:b/>
                <w:sz w:val="20"/>
                <w:szCs w:val="20"/>
              </w:rPr>
              <w:t>Sp 96.8%</w:t>
            </w:r>
            <w:r>
              <w:rPr>
                <w:sz w:val="20"/>
                <w:szCs w:val="20"/>
              </w:rPr>
              <w:t xml:space="preserve"> (95.0; 98.0);</w:t>
            </w:r>
          </w:p>
          <w:p w14:paraId="1903930F" w14:textId="77777777" w:rsidR="002D58E4" w:rsidRDefault="00F721D4">
            <w:pPr>
              <w:rPr>
                <w:sz w:val="20"/>
                <w:szCs w:val="20"/>
              </w:rPr>
            </w:pPr>
            <w:r>
              <w:rPr>
                <w:b/>
                <w:color w:val="4472C4"/>
                <w:sz w:val="20"/>
                <w:szCs w:val="20"/>
              </w:rPr>
              <w:t>Convalescent Lyme (treated at stage 1)</w:t>
            </w:r>
            <w:r>
              <w:rPr>
                <w:color w:val="4472C4"/>
                <w:sz w:val="20"/>
                <w:szCs w:val="20"/>
              </w:rPr>
              <w:t xml:space="preserve"> </w:t>
            </w:r>
            <w:r>
              <w:rPr>
                <w:sz w:val="20"/>
                <w:szCs w:val="20"/>
              </w:rPr>
              <w:t xml:space="preserve">(N=5): </w:t>
            </w:r>
          </w:p>
          <w:p w14:paraId="392D6BFC" w14:textId="77777777" w:rsidR="002D58E4" w:rsidRDefault="00F721D4">
            <w:pPr>
              <w:rPr>
                <w:sz w:val="20"/>
                <w:szCs w:val="20"/>
              </w:rPr>
            </w:pPr>
            <w:r>
              <w:rPr>
                <w:b/>
                <w:sz w:val="20"/>
                <w:szCs w:val="20"/>
              </w:rPr>
              <w:t>Sn 77.8%</w:t>
            </w:r>
            <w:r>
              <w:rPr>
                <w:sz w:val="20"/>
                <w:szCs w:val="20"/>
              </w:rPr>
              <w:t xml:space="preserve"> (69.5; 84.3); </w:t>
            </w:r>
            <w:r>
              <w:rPr>
                <w:b/>
                <w:sz w:val="20"/>
                <w:szCs w:val="20"/>
              </w:rPr>
              <w:t>Sp 98.8%</w:t>
            </w:r>
            <w:r>
              <w:rPr>
                <w:sz w:val="20"/>
                <w:szCs w:val="20"/>
              </w:rPr>
              <w:t xml:space="preserve"> (98.4; 99.1);</w:t>
            </w:r>
          </w:p>
          <w:p w14:paraId="1E946B9B" w14:textId="77777777" w:rsidR="002D58E4" w:rsidRDefault="00F721D4">
            <w:pPr>
              <w:rPr>
                <w:sz w:val="20"/>
                <w:szCs w:val="20"/>
              </w:rPr>
            </w:pPr>
            <w:r>
              <w:rPr>
                <w:sz w:val="20"/>
                <w:szCs w:val="20"/>
              </w:rPr>
              <w:t>3</w:t>
            </w:r>
            <w:r>
              <w:rPr>
                <w:b/>
                <w:color w:val="FF0000"/>
                <w:sz w:val="20"/>
                <w:szCs w:val="20"/>
              </w:rPr>
              <w:t xml:space="preserve">. Immunoblots vs. clinical DS </w:t>
            </w:r>
            <w:r>
              <w:rPr>
                <w:sz w:val="20"/>
                <w:szCs w:val="20"/>
              </w:rPr>
              <w:t xml:space="preserve">(total N = 9; 1 in-house): results generally reported per individual test and across all stages. </w:t>
            </w:r>
            <w:r>
              <w:rPr>
                <w:b/>
                <w:sz w:val="20"/>
                <w:szCs w:val="20"/>
              </w:rPr>
              <w:t xml:space="preserve">The CDC-recommended WB algorithm had equivalent or superior specificity over </w:t>
            </w:r>
            <w:r>
              <w:rPr>
                <w:b/>
                <w:sz w:val="20"/>
                <w:szCs w:val="20"/>
              </w:rPr>
              <w:lastRenderedPageBreak/>
              <w:t>other proposed test algorithms</w:t>
            </w:r>
            <w:r>
              <w:rPr>
                <w:sz w:val="20"/>
                <w:szCs w:val="20"/>
              </w:rPr>
              <w:t xml:space="preserve"> (N=2). For </w:t>
            </w:r>
            <w:r>
              <w:rPr>
                <w:b/>
                <w:color w:val="4472C4"/>
                <w:sz w:val="20"/>
                <w:szCs w:val="20"/>
              </w:rPr>
              <w:t>Early stage and Western Blots (Marblot/ GenBio)</w:t>
            </w:r>
            <w:r>
              <w:rPr>
                <w:sz w:val="20"/>
                <w:szCs w:val="20"/>
              </w:rPr>
              <w:t xml:space="preserve">, </w:t>
            </w:r>
            <w:r>
              <w:rPr>
                <w:b/>
                <w:sz w:val="20"/>
                <w:szCs w:val="20"/>
              </w:rPr>
              <w:t>Sn was 60.6%</w:t>
            </w:r>
            <w:r>
              <w:rPr>
                <w:sz w:val="20"/>
                <w:szCs w:val="20"/>
              </w:rPr>
              <w:t xml:space="preserve"> (42.6; 76.0), and </w:t>
            </w:r>
            <w:r>
              <w:rPr>
                <w:b/>
                <w:sz w:val="20"/>
                <w:szCs w:val="20"/>
              </w:rPr>
              <w:t xml:space="preserve">Sp 98.8% </w:t>
            </w:r>
            <w:r>
              <w:rPr>
                <w:sz w:val="20"/>
                <w:szCs w:val="20"/>
              </w:rPr>
              <w:t>(91.9; 98.7);</w:t>
            </w:r>
          </w:p>
          <w:p w14:paraId="3EF0D09B" w14:textId="77777777" w:rsidR="002D58E4" w:rsidRDefault="00F721D4">
            <w:pPr>
              <w:rPr>
                <w:sz w:val="20"/>
                <w:szCs w:val="20"/>
              </w:rPr>
            </w:pPr>
            <w:r>
              <w:rPr>
                <w:sz w:val="20"/>
                <w:szCs w:val="20"/>
              </w:rPr>
              <w:t xml:space="preserve">4. </w:t>
            </w:r>
            <w:r>
              <w:rPr>
                <w:b/>
                <w:color w:val="FF0000"/>
                <w:sz w:val="20"/>
                <w:szCs w:val="20"/>
              </w:rPr>
              <w:t xml:space="preserve">Direct detection of </w:t>
            </w:r>
            <w:r>
              <w:rPr>
                <w:b/>
                <w:i/>
                <w:color w:val="FF0000"/>
                <w:sz w:val="20"/>
                <w:szCs w:val="20"/>
              </w:rPr>
              <w:t>B. burgdorferi</w:t>
            </w:r>
            <w:r>
              <w:rPr>
                <w:b/>
                <w:color w:val="FF0000"/>
                <w:sz w:val="20"/>
                <w:szCs w:val="20"/>
              </w:rPr>
              <w:t xml:space="preserve"> by bacterial isolation or PCR vs. clinical diagnosis</w:t>
            </w:r>
            <w:r>
              <w:rPr>
                <w:color w:val="FF0000"/>
                <w:sz w:val="20"/>
                <w:szCs w:val="20"/>
              </w:rPr>
              <w:t xml:space="preserve"> </w:t>
            </w:r>
            <w:r>
              <w:rPr>
                <w:sz w:val="20"/>
                <w:szCs w:val="20"/>
              </w:rPr>
              <w:t xml:space="preserve">(total N=7): meta-analysis was not possible.  </w:t>
            </w:r>
            <w:r>
              <w:rPr>
                <w:b/>
                <w:sz w:val="20"/>
                <w:szCs w:val="20"/>
              </w:rPr>
              <w:t>These methods were not as sensitive or timely as the serological methods (2-tier protocol)</w:t>
            </w:r>
            <w:r>
              <w:rPr>
                <w:sz w:val="20"/>
                <w:szCs w:val="20"/>
              </w:rPr>
              <w:t xml:space="preserve">. </w:t>
            </w:r>
          </w:p>
          <w:p w14:paraId="377FA619" w14:textId="77777777" w:rsidR="002D58E4" w:rsidRDefault="00F721D4">
            <w:pPr>
              <w:rPr>
                <w:sz w:val="20"/>
                <w:szCs w:val="20"/>
              </w:rPr>
            </w:pPr>
            <w:r>
              <w:rPr>
                <w:b/>
                <w:i/>
                <w:sz w:val="20"/>
                <w:szCs w:val="20"/>
                <w:u w:val="single"/>
              </w:rPr>
              <w:t>B. burgdorferi</w:t>
            </w:r>
            <w:r>
              <w:rPr>
                <w:b/>
                <w:sz w:val="20"/>
                <w:szCs w:val="20"/>
                <w:u w:val="single"/>
              </w:rPr>
              <w:t xml:space="preserve"> isolation</w:t>
            </w:r>
            <w:r>
              <w:rPr>
                <w:sz w:val="20"/>
                <w:szCs w:val="20"/>
              </w:rPr>
              <w:t xml:space="preserve"> </w:t>
            </w:r>
            <w:r>
              <w:rPr>
                <w:b/>
                <w:sz w:val="20"/>
                <w:szCs w:val="20"/>
              </w:rPr>
              <w:t>from</w:t>
            </w:r>
            <w:r>
              <w:rPr>
                <w:sz w:val="20"/>
                <w:szCs w:val="20"/>
              </w:rPr>
              <w:t xml:space="preserve"> </w:t>
            </w:r>
            <w:r>
              <w:rPr>
                <w:b/>
                <w:sz w:val="20"/>
                <w:szCs w:val="20"/>
              </w:rPr>
              <w:t>blood</w:t>
            </w:r>
            <w:r>
              <w:rPr>
                <w:sz w:val="20"/>
                <w:szCs w:val="20"/>
              </w:rPr>
              <w:t xml:space="preserve"> using BSK medium in </w:t>
            </w:r>
            <w:r>
              <w:rPr>
                <w:b/>
                <w:color w:val="4472C4"/>
                <w:sz w:val="20"/>
                <w:szCs w:val="20"/>
              </w:rPr>
              <w:t>early LB stages</w:t>
            </w:r>
            <w:r>
              <w:rPr>
                <w:color w:val="4472C4"/>
                <w:sz w:val="20"/>
                <w:szCs w:val="20"/>
              </w:rPr>
              <w:t xml:space="preserve"> </w:t>
            </w:r>
            <w:r>
              <w:rPr>
                <w:sz w:val="20"/>
                <w:szCs w:val="20"/>
              </w:rPr>
              <w:t xml:space="preserve">(N=3): </w:t>
            </w:r>
            <w:r>
              <w:rPr>
                <w:b/>
                <w:sz w:val="20"/>
                <w:szCs w:val="20"/>
              </w:rPr>
              <w:t xml:space="preserve">Sn </w:t>
            </w:r>
            <w:r>
              <w:rPr>
                <w:sz w:val="20"/>
                <w:szCs w:val="20"/>
              </w:rPr>
              <w:t xml:space="preserve">were reported as </w:t>
            </w:r>
            <w:r>
              <w:rPr>
                <w:b/>
                <w:sz w:val="20"/>
                <w:szCs w:val="20"/>
              </w:rPr>
              <w:t>27%, 71%, 94%,</w:t>
            </w:r>
            <w:r>
              <w:rPr>
                <w:sz w:val="20"/>
                <w:szCs w:val="20"/>
              </w:rPr>
              <w:t xml:space="preserve"> with the latter result disputed; </w:t>
            </w:r>
          </w:p>
          <w:p w14:paraId="3713D41D" w14:textId="77777777" w:rsidR="002D58E4" w:rsidRDefault="00F721D4">
            <w:pPr>
              <w:rPr>
                <w:sz w:val="20"/>
                <w:szCs w:val="20"/>
              </w:rPr>
            </w:pPr>
            <w:r>
              <w:rPr>
                <w:b/>
                <w:i/>
                <w:sz w:val="20"/>
                <w:szCs w:val="20"/>
                <w:u w:val="single"/>
              </w:rPr>
              <w:t>B. burgdorferi</w:t>
            </w:r>
            <w:r>
              <w:rPr>
                <w:b/>
                <w:sz w:val="20"/>
                <w:szCs w:val="20"/>
                <w:u w:val="single"/>
              </w:rPr>
              <w:t xml:space="preserve"> isolation from tissues</w:t>
            </w:r>
            <w:r>
              <w:rPr>
                <w:b/>
                <w:sz w:val="20"/>
                <w:szCs w:val="20"/>
              </w:rPr>
              <w:t xml:space="preserve"> (EM</w:t>
            </w:r>
            <w:r>
              <w:rPr>
                <w:sz w:val="20"/>
                <w:szCs w:val="20"/>
              </w:rPr>
              <w:t xml:space="preserve"> </w:t>
            </w:r>
            <w:r>
              <w:rPr>
                <w:b/>
                <w:sz w:val="20"/>
                <w:szCs w:val="20"/>
              </w:rPr>
              <w:t>biopsies</w:t>
            </w:r>
            <w:r>
              <w:rPr>
                <w:sz w:val="20"/>
                <w:szCs w:val="20"/>
              </w:rPr>
              <w:t xml:space="preserve">) (small samples; N=2) had reported </w:t>
            </w:r>
            <w:r>
              <w:rPr>
                <w:b/>
                <w:sz w:val="20"/>
                <w:szCs w:val="20"/>
              </w:rPr>
              <w:t>Sn of 62-81%.</w:t>
            </w:r>
            <w:r>
              <w:rPr>
                <w:sz w:val="20"/>
                <w:szCs w:val="20"/>
              </w:rPr>
              <w:t xml:space="preserve">  </w:t>
            </w:r>
          </w:p>
          <w:p w14:paraId="0EBD3DDF" w14:textId="77777777" w:rsidR="002D58E4" w:rsidRDefault="00F721D4">
            <w:pPr>
              <w:rPr>
                <w:sz w:val="20"/>
                <w:szCs w:val="20"/>
              </w:rPr>
            </w:pPr>
            <w:r>
              <w:rPr>
                <w:b/>
                <w:sz w:val="20"/>
                <w:szCs w:val="20"/>
                <w:u w:val="single"/>
              </w:rPr>
              <w:t>PCR</w:t>
            </w:r>
            <w:r>
              <w:rPr>
                <w:sz w:val="20"/>
                <w:szCs w:val="20"/>
              </w:rPr>
              <w:t xml:space="preserve"> was used in </w:t>
            </w:r>
            <w:r>
              <w:rPr>
                <w:b/>
                <w:color w:val="4472C4"/>
                <w:sz w:val="20"/>
                <w:szCs w:val="20"/>
              </w:rPr>
              <w:t>early LB</w:t>
            </w:r>
            <w:r>
              <w:rPr>
                <w:color w:val="4472C4"/>
                <w:sz w:val="20"/>
                <w:szCs w:val="20"/>
              </w:rPr>
              <w:t xml:space="preserve"> </w:t>
            </w:r>
            <w:r>
              <w:rPr>
                <w:sz w:val="20"/>
                <w:szCs w:val="20"/>
              </w:rPr>
              <w:t xml:space="preserve">(N=3). </w:t>
            </w:r>
            <w:r>
              <w:rPr>
                <w:b/>
                <w:sz w:val="20"/>
                <w:szCs w:val="20"/>
              </w:rPr>
              <w:t>Multi-loci PCR of</w:t>
            </w:r>
            <w:r>
              <w:rPr>
                <w:sz w:val="20"/>
                <w:szCs w:val="20"/>
              </w:rPr>
              <w:t xml:space="preserve"> </w:t>
            </w:r>
            <w:r>
              <w:rPr>
                <w:b/>
                <w:sz w:val="20"/>
                <w:szCs w:val="20"/>
              </w:rPr>
              <w:t>blood</w:t>
            </w:r>
            <w:r>
              <w:rPr>
                <w:sz w:val="20"/>
                <w:szCs w:val="20"/>
              </w:rPr>
              <w:t xml:space="preserve"> had </w:t>
            </w:r>
            <w:r>
              <w:rPr>
                <w:b/>
                <w:sz w:val="20"/>
                <w:szCs w:val="20"/>
              </w:rPr>
              <w:t>Sn 62%</w:t>
            </w:r>
            <w:r>
              <w:rPr>
                <w:sz w:val="20"/>
                <w:szCs w:val="20"/>
              </w:rPr>
              <w:t xml:space="preserve"> and </w:t>
            </w:r>
            <w:r>
              <w:rPr>
                <w:b/>
                <w:sz w:val="20"/>
                <w:szCs w:val="20"/>
              </w:rPr>
              <w:t>Sp 100%</w:t>
            </w:r>
            <w:r>
              <w:rPr>
                <w:sz w:val="20"/>
                <w:szCs w:val="20"/>
              </w:rPr>
              <w:t xml:space="preserve"> (N=1); a </w:t>
            </w:r>
            <w:r>
              <w:rPr>
                <w:b/>
                <w:sz w:val="20"/>
                <w:szCs w:val="20"/>
              </w:rPr>
              <w:t>nested PCR</w:t>
            </w:r>
            <w:r>
              <w:rPr>
                <w:sz w:val="20"/>
                <w:szCs w:val="20"/>
              </w:rPr>
              <w:t xml:space="preserve"> had </w:t>
            </w:r>
            <w:r>
              <w:rPr>
                <w:b/>
                <w:sz w:val="20"/>
                <w:szCs w:val="20"/>
              </w:rPr>
              <w:t>Sn of 40.6%</w:t>
            </w:r>
            <w:r>
              <w:rPr>
                <w:sz w:val="20"/>
                <w:szCs w:val="20"/>
              </w:rPr>
              <w:t xml:space="preserve"> in </w:t>
            </w:r>
            <w:r>
              <w:rPr>
                <w:b/>
                <w:sz w:val="20"/>
                <w:szCs w:val="20"/>
              </w:rPr>
              <w:t>serum</w:t>
            </w:r>
            <w:r>
              <w:rPr>
                <w:sz w:val="20"/>
                <w:szCs w:val="20"/>
              </w:rPr>
              <w:t xml:space="preserve"> and </w:t>
            </w:r>
            <w:r>
              <w:rPr>
                <w:b/>
                <w:sz w:val="20"/>
                <w:szCs w:val="20"/>
              </w:rPr>
              <w:t>42.6%</w:t>
            </w:r>
            <w:r>
              <w:rPr>
                <w:sz w:val="20"/>
                <w:szCs w:val="20"/>
              </w:rPr>
              <w:t xml:space="preserve"> in </w:t>
            </w:r>
            <w:r>
              <w:rPr>
                <w:b/>
                <w:sz w:val="20"/>
                <w:szCs w:val="20"/>
              </w:rPr>
              <w:t>biopsy samples</w:t>
            </w:r>
            <w:r>
              <w:rPr>
                <w:sz w:val="20"/>
                <w:szCs w:val="20"/>
              </w:rPr>
              <w:t xml:space="preserve">, and a </w:t>
            </w:r>
            <w:r>
              <w:rPr>
                <w:b/>
                <w:sz w:val="20"/>
                <w:szCs w:val="20"/>
              </w:rPr>
              <w:t>qPCR of plasma</w:t>
            </w:r>
            <w:r>
              <w:rPr>
                <w:sz w:val="20"/>
                <w:szCs w:val="20"/>
              </w:rPr>
              <w:t xml:space="preserve"> had </w:t>
            </w:r>
            <w:r>
              <w:rPr>
                <w:b/>
                <w:sz w:val="20"/>
                <w:szCs w:val="20"/>
              </w:rPr>
              <w:t>Sn of 33.8%</w:t>
            </w:r>
            <w:r>
              <w:rPr>
                <w:sz w:val="20"/>
                <w:szCs w:val="20"/>
              </w:rPr>
              <w:t xml:space="preserve"> (N=1). </w:t>
            </w:r>
          </w:p>
          <w:p w14:paraId="0CFB459E" w14:textId="77777777" w:rsidR="002D58E4" w:rsidRDefault="00F721D4">
            <w:pPr>
              <w:rPr>
                <w:b/>
                <w:sz w:val="20"/>
                <w:szCs w:val="20"/>
              </w:rPr>
            </w:pPr>
            <w:r>
              <w:rPr>
                <w:b/>
                <w:sz w:val="20"/>
                <w:szCs w:val="20"/>
              </w:rPr>
              <w:t>“Across the direct detection studies sensitivity was low and in most cases lower than the two-tier test regime, assays or immunoblots reported for early LD.”</w:t>
            </w:r>
          </w:p>
          <w:p w14:paraId="1EAA7B51" w14:textId="77777777" w:rsidR="002D58E4" w:rsidRDefault="00F721D4">
            <w:pPr>
              <w:rPr>
                <w:b/>
                <w:sz w:val="20"/>
                <w:szCs w:val="20"/>
              </w:rPr>
            </w:pPr>
            <w:r>
              <w:rPr>
                <w:sz w:val="20"/>
                <w:szCs w:val="20"/>
              </w:rPr>
              <w:t xml:space="preserve">5. </w:t>
            </w:r>
            <w:r>
              <w:rPr>
                <w:b/>
                <w:color w:val="FF0000"/>
                <w:sz w:val="20"/>
                <w:szCs w:val="20"/>
              </w:rPr>
              <w:t xml:space="preserve">Inter-test comparisons </w:t>
            </w:r>
            <w:r>
              <w:rPr>
                <w:sz w:val="20"/>
                <w:szCs w:val="20"/>
              </w:rPr>
              <w:t xml:space="preserve">(total N=22), including 2-tier vs. other tests (N=8): reported results as positive and negative agreements (how well the compared tests agreed to classify samples as positive/negative). </w:t>
            </w:r>
            <w:r>
              <w:rPr>
                <w:b/>
                <w:sz w:val="20"/>
                <w:szCs w:val="20"/>
              </w:rPr>
              <w:t>The C6 ELISAs, particularly the commercial assays, had promising sensitivity, specificity and agreement of results with two-tier protocols.</w:t>
            </w:r>
          </w:p>
          <w:p w14:paraId="0D499FC1" w14:textId="77777777" w:rsidR="002D58E4" w:rsidRDefault="00F721D4">
            <w:pPr>
              <w:rPr>
                <w:sz w:val="20"/>
                <w:szCs w:val="20"/>
              </w:rPr>
            </w:pPr>
            <w:r>
              <w:rPr>
                <w:b/>
                <w:sz w:val="20"/>
                <w:szCs w:val="20"/>
              </w:rPr>
              <w:t xml:space="preserve">Overall, in early Lyme disease serological tests had poor and highly variable sensitivity, with the two-tier method associated with higher specificity </w:t>
            </w:r>
            <w:r>
              <w:rPr>
                <w:sz w:val="20"/>
                <w:szCs w:val="20"/>
              </w:rPr>
              <w:t>(</w:t>
            </w:r>
            <w:r>
              <w:rPr>
                <w:i/>
                <w:sz w:val="20"/>
                <w:szCs w:val="20"/>
              </w:rPr>
              <w:t>see Tables below</w:t>
            </w:r>
            <w:r>
              <w:rPr>
                <w:sz w:val="20"/>
                <w:szCs w:val="20"/>
              </w:rPr>
              <w:t>).</w:t>
            </w:r>
          </w:p>
        </w:tc>
      </w:tr>
      <w:tr w:rsidR="002D58E4" w14:paraId="27BF8451" w14:textId="77777777">
        <w:trPr>
          <w:trHeight w:val="3980"/>
          <w:jc w:val="center"/>
        </w:trPr>
        <w:tc>
          <w:tcPr>
            <w:tcW w:w="1296" w:type="dxa"/>
          </w:tcPr>
          <w:p w14:paraId="13A7EE87" w14:textId="77777777" w:rsidR="002D58E4" w:rsidRDefault="00F721D4">
            <w:pPr>
              <w:rPr>
                <w:sz w:val="20"/>
                <w:szCs w:val="20"/>
              </w:rPr>
            </w:pPr>
            <w:r>
              <w:rPr>
                <w:sz w:val="20"/>
                <w:szCs w:val="20"/>
              </w:rPr>
              <w:lastRenderedPageBreak/>
              <w:t>Leeflang, 2016</w:t>
            </w:r>
          </w:p>
        </w:tc>
        <w:tc>
          <w:tcPr>
            <w:tcW w:w="991" w:type="dxa"/>
          </w:tcPr>
          <w:p w14:paraId="2C766711" w14:textId="77777777" w:rsidR="002D58E4" w:rsidRDefault="00F721D4">
            <w:pPr>
              <w:rPr>
                <w:sz w:val="20"/>
                <w:szCs w:val="20"/>
              </w:rPr>
            </w:pPr>
            <w:r>
              <w:rPr>
                <w:sz w:val="20"/>
                <w:szCs w:val="20"/>
              </w:rPr>
              <w:t>A systematic review and meta-analysis</w:t>
            </w:r>
          </w:p>
        </w:tc>
        <w:tc>
          <w:tcPr>
            <w:tcW w:w="2417" w:type="dxa"/>
          </w:tcPr>
          <w:p w14:paraId="555CCF97" w14:textId="77777777" w:rsidR="002D58E4" w:rsidRDefault="00F721D4">
            <w:pPr>
              <w:rPr>
                <w:sz w:val="20"/>
                <w:szCs w:val="20"/>
              </w:rPr>
            </w:pPr>
            <w:r>
              <w:rPr>
                <w:b/>
                <w:sz w:val="20"/>
                <w:szCs w:val="20"/>
              </w:rPr>
              <w:t xml:space="preserve">? – Feb. 2014; </w:t>
            </w:r>
            <w:r>
              <w:rPr>
                <w:sz w:val="20"/>
                <w:szCs w:val="20"/>
              </w:rPr>
              <w:t>the oldest included study was published in 1987.</w:t>
            </w:r>
          </w:p>
          <w:p w14:paraId="6494BA95" w14:textId="77777777" w:rsidR="002D58E4" w:rsidRDefault="00F721D4">
            <w:pPr>
              <w:rPr>
                <w:sz w:val="20"/>
                <w:szCs w:val="20"/>
              </w:rPr>
            </w:pPr>
            <w:r>
              <w:rPr>
                <w:sz w:val="20"/>
                <w:szCs w:val="20"/>
              </w:rPr>
              <w:t xml:space="preserve">Included </w:t>
            </w:r>
            <w:r>
              <w:rPr>
                <w:b/>
                <w:sz w:val="20"/>
                <w:szCs w:val="20"/>
              </w:rPr>
              <w:t>all European studies evaluating the diagnostic accuracy of serologic assays for LB</w:t>
            </w:r>
            <w:r>
              <w:rPr>
                <w:sz w:val="20"/>
                <w:szCs w:val="20"/>
              </w:rPr>
              <w:t xml:space="preserve"> against a reference standard for clinical criteria (sometimes combined with positive serology).  </w:t>
            </w:r>
          </w:p>
          <w:p w14:paraId="38C6C118" w14:textId="77777777" w:rsidR="002D58E4" w:rsidRDefault="002D58E4">
            <w:pPr>
              <w:rPr>
                <w:sz w:val="20"/>
                <w:szCs w:val="20"/>
              </w:rPr>
            </w:pPr>
          </w:p>
          <w:p w14:paraId="3BEA7CD4" w14:textId="77777777" w:rsidR="002D58E4" w:rsidRDefault="00F721D4">
            <w:pPr>
              <w:rPr>
                <w:sz w:val="20"/>
                <w:szCs w:val="20"/>
              </w:rPr>
            </w:pPr>
            <w:r>
              <w:rPr>
                <w:sz w:val="20"/>
                <w:szCs w:val="20"/>
              </w:rPr>
              <w:t>Meta-analysis was performed using Hierarchical Summary ROC (HSROC) model, a hierarchical meta-regression method incorporating both sensitivity and specificity while taking into account the correlation between the two.</w:t>
            </w:r>
          </w:p>
        </w:tc>
        <w:tc>
          <w:tcPr>
            <w:tcW w:w="2337" w:type="dxa"/>
          </w:tcPr>
          <w:p w14:paraId="2DC392F4" w14:textId="77777777" w:rsidR="002D58E4" w:rsidRDefault="00F721D4">
            <w:pPr>
              <w:rPr>
                <w:sz w:val="20"/>
                <w:szCs w:val="20"/>
              </w:rPr>
            </w:pPr>
            <w:r>
              <w:rPr>
                <w:sz w:val="20"/>
                <w:szCs w:val="20"/>
              </w:rPr>
              <w:t>1. Evaluated only serologic tests;</w:t>
            </w:r>
          </w:p>
          <w:p w14:paraId="42E96E7C" w14:textId="77777777" w:rsidR="002D58E4" w:rsidRDefault="00F721D4">
            <w:pPr>
              <w:rPr>
                <w:sz w:val="20"/>
                <w:szCs w:val="20"/>
              </w:rPr>
            </w:pPr>
            <w:r>
              <w:rPr>
                <w:sz w:val="20"/>
                <w:szCs w:val="20"/>
              </w:rPr>
              <w:t>2. Only European studies;</w:t>
            </w:r>
          </w:p>
          <w:p w14:paraId="10406EB4" w14:textId="77777777" w:rsidR="002D58E4" w:rsidRDefault="00F721D4">
            <w:pPr>
              <w:rPr>
                <w:sz w:val="20"/>
                <w:szCs w:val="20"/>
              </w:rPr>
            </w:pPr>
            <w:r>
              <w:rPr>
                <w:sz w:val="20"/>
                <w:szCs w:val="20"/>
              </w:rPr>
              <w:t>3. Studies that reported “possible” or “suspected” Lyme patients were included with these patients counted as “cases”;</w:t>
            </w:r>
          </w:p>
          <w:p w14:paraId="12E3B933" w14:textId="77777777" w:rsidR="002D58E4" w:rsidRDefault="00F721D4">
            <w:pPr>
              <w:rPr>
                <w:sz w:val="20"/>
                <w:szCs w:val="20"/>
              </w:rPr>
            </w:pPr>
            <w:r>
              <w:rPr>
                <w:sz w:val="20"/>
                <w:szCs w:val="20"/>
              </w:rPr>
              <w:t>4. Included studies had high levels of heterogeneity and bias.</w:t>
            </w:r>
          </w:p>
          <w:p w14:paraId="454489C8" w14:textId="77777777" w:rsidR="002D58E4" w:rsidRDefault="00F721D4">
            <w:pPr>
              <w:rPr>
                <w:sz w:val="20"/>
                <w:szCs w:val="20"/>
              </w:rPr>
            </w:pPr>
            <w:r>
              <w:rPr>
                <w:sz w:val="20"/>
                <w:szCs w:val="20"/>
              </w:rPr>
              <w:t>5. Indirect fluorescent antibody assays were not evaluated because of the rare use in practice;</w:t>
            </w:r>
          </w:p>
          <w:p w14:paraId="71669698" w14:textId="77777777" w:rsidR="002D58E4" w:rsidRDefault="00F721D4">
            <w:pPr>
              <w:rPr>
                <w:sz w:val="20"/>
                <w:szCs w:val="20"/>
              </w:rPr>
            </w:pPr>
            <w:r>
              <w:rPr>
                <w:sz w:val="20"/>
                <w:szCs w:val="20"/>
              </w:rPr>
              <w:t>6. The included studies did not represent the tests in true clinical settings</w:t>
            </w:r>
          </w:p>
        </w:tc>
        <w:tc>
          <w:tcPr>
            <w:tcW w:w="1238" w:type="dxa"/>
          </w:tcPr>
          <w:p w14:paraId="07AC365D" w14:textId="77777777" w:rsidR="002D58E4" w:rsidRDefault="00F721D4">
            <w:pPr>
              <w:rPr>
                <w:sz w:val="20"/>
                <w:szCs w:val="20"/>
              </w:rPr>
            </w:pPr>
            <w:r>
              <w:rPr>
                <w:b/>
                <w:sz w:val="20"/>
                <w:szCs w:val="20"/>
              </w:rPr>
              <w:t>75</w:t>
            </w:r>
            <w:r>
              <w:rPr>
                <w:sz w:val="20"/>
                <w:szCs w:val="20"/>
              </w:rPr>
              <w:t xml:space="preserve">; all originating from </w:t>
            </w:r>
            <w:r>
              <w:rPr>
                <w:b/>
                <w:sz w:val="20"/>
                <w:szCs w:val="20"/>
              </w:rPr>
              <w:t>Europe</w:t>
            </w:r>
            <w:r>
              <w:rPr>
                <w:sz w:val="20"/>
                <w:szCs w:val="20"/>
              </w:rPr>
              <w:t>; study quality was evaluated with QUADAS-2 tool; no studies had low bias risk in all four QUADAS-2 domains.</w:t>
            </w:r>
          </w:p>
        </w:tc>
        <w:tc>
          <w:tcPr>
            <w:tcW w:w="5986" w:type="dxa"/>
          </w:tcPr>
          <w:p w14:paraId="74AE4C0C" w14:textId="77777777" w:rsidR="002D58E4" w:rsidRDefault="00F721D4">
            <w:pPr>
              <w:rPr>
                <w:sz w:val="20"/>
                <w:szCs w:val="20"/>
              </w:rPr>
            </w:pPr>
            <w:r>
              <w:rPr>
                <w:b/>
                <w:sz w:val="20"/>
                <w:szCs w:val="20"/>
              </w:rPr>
              <w:t xml:space="preserve">Sensitivity </w:t>
            </w:r>
            <w:r>
              <w:rPr>
                <w:sz w:val="20"/>
                <w:szCs w:val="20"/>
              </w:rPr>
              <w:t xml:space="preserve">was highly heterogeneous, with summary estimates: </w:t>
            </w:r>
          </w:p>
          <w:p w14:paraId="5DA86663" w14:textId="77777777" w:rsidR="002D58E4" w:rsidRDefault="00F721D4">
            <w:pPr>
              <w:rPr>
                <w:sz w:val="20"/>
                <w:szCs w:val="20"/>
              </w:rPr>
            </w:pPr>
            <w:r>
              <w:rPr>
                <w:b/>
                <w:color w:val="4472C4"/>
                <w:sz w:val="20"/>
                <w:szCs w:val="20"/>
              </w:rPr>
              <w:t>1. Erythema migrans:</w:t>
            </w:r>
            <w:r>
              <w:rPr>
                <w:color w:val="4472C4"/>
                <w:sz w:val="20"/>
                <w:szCs w:val="20"/>
              </w:rPr>
              <w:t xml:space="preserve"> </w:t>
            </w:r>
            <w:r>
              <w:rPr>
                <w:b/>
                <w:sz w:val="20"/>
                <w:szCs w:val="20"/>
              </w:rPr>
              <w:t>overall (ELISA or immunoblot) Sn 50 %</w:t>
            </w:r>
            <w:r>
              <w:rPr>
                <w:sz w:val="20"/>
                <w:szCs w:val="20"/>
              </w:rPr>
              <w:t xml:space="preserve"> (95 % CI 40 %; 61 %); </w:t>
            </w:r>
            <w:r>
              <w:rPr>
                <w:b/>
                <w:sz w:val="20"/>
                <w:szCs w:val="20"/>
              </w:rPr>
              <w:t>Sp 95%</w:t>
            </w:r>
            <w:r>
              <w:rPr>
                <w:sz w:val="20"/>
                <w:szCs w:val="20"/>
              </w:rPr>
              <w:t xml:space="preserve"> (92; 97); ELISA had a higher accuracy than immunoblot, mostly due to higher sensitivity. Commercial tests did not significantly differ from in-house ones. IgG were less sensitive than IgM. </w:t>
            </w:r>
            <w:r>
              <w:rPr>
                <w:b/>
                <w:sz w:val="20"/>
                <w:szCs w:val="20"/>
              </w:rPr>
              <w:t xml:space="preserve">Two-tiered tests </w:t>
            </w:r>
            <w:r>
              <w:rPr>
                <w:sz w:val="20"/>
                <w:szCs w:val="20"/>
              </w:rPr>
              <w:t>(N=2)</w:t>
            </w:r>
            <w:r>
              <w:rPr>
                <w:b/>
                <w:sz w:val="20"/>
                <w:szCs w:val="20"/>
              </w:rPr>
              <w:t xml:space="preserve"> had Sn range from 12% to 64%</w:t>
            </w:r>
            <w:r>
              <w:rPr>
                <w:sz w:val="20"/>
                <w:szCs w:val="20"/>
              </w:rPr>
              <w:t xml:space="preserve"> and </w:t>
            </w:r>
            <w:r>
              <w:rPr>
                <w:b/>
                <w:sz w:val="20"/>
                <w:szCs w:val="20"/>
              </w:rPr>
              <w:t>Sp 67-96%</w:t>
            </w:r>
            <w:r>
              <w:rPr>
                <w:sz w:val="20"/>
                <w:szCs w:val="20"/>
              </w:rPr>
              <w:t xml:space="preserve"> (meta-analysis not performed).</w:t>
            </w:r>
          </w:p>
          <w:p w14:paraId="206CD1E3" w14:textId="77777777" w:rsidR="002D58E4" w:rsidRDefault="00F721D4">
            <w:pPr>
              <w:rPr>
                <w:sz w:val="20"/>
                <w:szCs w:val="20"/>
              </w:rPr>
            </w:pPr>
            <w:r>
              <w:rPr>
                <w:b/>
                <w:sz w:val="20"/>
                <w:szCs w:val="20"/>
              </w:rPr>
              <w:t>Two-tiered algorithms</w:t>
            </w:r>
            <w:r>
              <w:rPr>
                <w:sz w:val="20"/>
                <w:szCs w:val="20"/>
              </w:rPr>
              <w:t xml:space="preserve"> or antibody indices </w:t>
            </w:r>
            <w:r>
              <w:rPr>
                <w:b/>
                <w:sz w:val="20"/>
                <w:szCs w:val="20"/>
              </w:rPr>
              <w:t xml:space="preserve">did not outperform single test </w:t>
            </w:r>
            <w:r>
              <w:rPr>
                <w:sz w:val="20"/>
                <w:szCs w:val="20"/>
              </w:rPr>
              <w:t>approaches.</w:t>
            </w:r>
          </w:p>
          <w:p w14:paraId="09BCB6DA" w14:textId="77777777" w:rsidR="002D58E4" w:rsidRDefault="00F721D4">
            <w:pPr>
              <w:rPr>
                <w:sz w:val="20"/>
                <w:szCs w:val="20"/>
              </w:rPr>
            </w:pPr>
            <w:r>
              <w:rPr>
                <w:i/>
                <w:sz w:val="20"/>
                <w:szCs w:val="20"/>
              </w:rPr>
              <w:t>See Tables below</w:t>
            </w:r>
            <w:r>
              <w:rPr>
                <w:sz w:val="20"/>
                <w:szCs w:val="20"/>
              </w:rPr>
              <w:t>.</w:t>
            </w:r>
          </w:p>
        </w:tc>
      </w:tr>
    </w:tbl>
    <w:p w14:paraId="7943D6F6" w14:textId="77777777" w:rsidR="002D58E4" w:rsidRDefault="002D58E4">
      <w:pPr>
        <w:rPr>
          <w:b/>
          <w:sz w:val="28"/>
          <w:szCs w:val="28"/>
        </w:rPr>
      </w:pPr>
    </w:p>
    <w:p w14:paraId="3A9A9CC5" w14:textId="77777777" w:rsidR="002D58E4" w:rsidRDefault="00F721D4">
      <w:pPr>
        <w:rPr>
          <w:b/>
          <w:sz w:val="28"/>
          <w:szCs w:val="28"/>
        </w:rPr>
      </w:pPr>
      <w:r>
        <w:rPr>
          <w:b/>
          <w:sz w:val="24"/>
          <w:szCs w:val="24"/>
        </w:rPr>
        <w:t>Table I.1 (duplicated from Table 8, Waddell et al., 2016)</w:t>
      </w:r>
    </w:p>
    <w:p w14:paraId="587CFFB7" w14:textId="77777777" w:rsidR="002D58E4" w:rsidRDefault="00F721D4">
      <w:pPr>
        <w:rPr>
          <w:color w:val="C00000"/>
        </w:rPr>
      </w:pPr>
      <w:r>
        <w:rPr>
          <w:b/>
          <w:color w:val="C00000"/>
        </w:rPr>
        <w:t>Summary of the sensitivity and specificity of different testing options for early Lyme disease (stage 1) patients.</w:t>
      </w:r>
    </w:p>
    <w:tbl>
      <w:tblPr>
        <w:tblStyle w:val="aa"/>
        <w:tblW w:w="11205" w:type="dxa"/>
        <w:tblLayout w:type="fixed"/>
        <w:tblLook w:val="0400" w:firstRow="0" w:lastRow="0" w:firstColumn="0" w:lastColumn="0" w:noHBand="0" w:noVBand="1"/>
      </w:tblPr>
      <w:tblGrid>
        <w:gridCol w:w="5355"/>
        <w:gridCol w:w="1350"/>
        <w:gridCol w:w="2160"/>
        <w:gridCol w:w="2340"/>
      </w:tblGrid>
      <w:tr w:rsidR="002D58E4" w14:paraId="27DF1EE2" w14:textId="77777777">
        <w:tc>
          <w:tcPr>
            <w:tcW w:w="5355" w:type="dxa"/>
            <w:shd w:val="clear" w:color="auto" w:fill="4F81BD"/>
            <w:vAlign w:val="center"/>
          </w:tcPr>
          <w:p w14:paraId="4E6AFAA1" w14:textId="77777777" w:rsidR="002D58E4" w:rsidRDefault="00F721D4">
            <w:pPr>
              <w:rPr>
                <w:b/>
                <w:sz w:val="20"/>
                <w:szCs w:val="20"/>
              </w:rPr>
            </w:pPr>
            <w:r>
              <w:rPr>
                <w:b/>
                <w:sz w:val="20"/>
                <w:szCs w:val="20"/>
              </w:rPr>
              <w:t>Description</w:t>
            </w:r>
          </w:p>
        </w:tc>
        <w:tc>
          <w:tcPr>
            <w:tcW w:w="1350" w:type="dxa"/>
            <w:shd w:val="clear" w:color="auto" w:fill="4F81BD"/>
            <w:vAlign w:val="center"/>
          </w:tcPr>
          <w:p w14:paraId="791DC295" w14:textId="77777777" w:rsidR="002D58E4" w:rsidRDefault="00F721D4">
            <w:pPr>
              <w:rPr>
                <w:b/>
                <w:sz w:val="20"/>
                <w:szCs w:val="20"/>
              </w:rPr>
            </w:pPr>
            <w:r>
              <w:rPr>
                <w:b/>
                <w:sz w:val="20"/>
                <w:szCs w:val="20"/>
              </w:rPr>
              <w:t>Studies (lines)</w:t>
            </w:r>
          </w:p>
        </w:tc>
        <w:tc>
          <w:tcPr>
            <w:tcW w:w="2160" w:type="dxa"/>
            <w:shd w:val="clear" w:color="auto" w:fill="4F81BD"/>
            <w:vAlign w:val="center"/>
          </w:tcPr>
          <w:p w14:paraId="05BED501" w14:textId="77777777" w:rsidR="002D58E4" w:rsidRDefault="00F721D4">
            <w:pPr>
              <w:rPr>
                <w:b/>
                <w:sz w:val="20"/>
                <w:szCs w:val="20"/>
              </w:rPr>
            </w:pPr>
            <w:r>
              <w:rPr>
                <w:b/>
                <w:sz w:val="20"/>
                <w:szCs w:val="20"/>
              </w:rPr>
              <w:t>Sn estimate</w:t>
            </w:r>
          </w:p>
        </w:tc>
        <w:tc>
          <w:tcPr>
            <w:tcW w:w="2340" w:type="dxa"/>
            <w:shd w:val="clear" w:color="auto" w:fill="4F81BD"/>
            <w:vAlign w:val="center"/>
          </w:tcPr>
          <w:p w14:paraId="04FE390B" w14:textId="77777777" w:rsidR="002D58E4" w:rsidRDefault="00F721D4">
            <w:pPr>
              <w:rPr>
                <w:b/>
                <w:sz w:val="20"/>
                <w:szCs w:val="20"/>
              </w:rPr>
            </w:pPr>
            <w:r>
              <w:rPr>
                <w:b/>
                <w:sz w:val="20"/>
                <w:szCs w:val="20"/>
              </w:rPr>
              <w:t>Sp estimate</w:t>
            </w:r>
          </w:p>
        </w:tc>
      </w:tr>
      <w:tr w:rsidR="002D58E4" w14:paraId="1436738A" w14:textId="77777777">
        <w:tc>
          <w:tcPr>
            <w:tcW w:w="5355" w:type="dxa"/>
            <w:shd w:val="clear" w:color="auto" w:fill="A6A6A6"/>
            <w:vAlign w:val="center"/>
          </w:tcPr>
          <w:p w14:paraId="35B08D4F" w14:textId="77777777" w:rsidR="002D58E4" w:rsidRDefault="00F721D4">
            <w:pPr>
              <w:rPr>
                <w:sz w:val="20"/>
                <w:szCs w:val="20"/>
              </w:rPr>
            </w:pPr>
            <w:r>
              <w:rPr>
                <w:b/>
                <w:sz w:val="20"/>
                <w:szCs w:val="20"/>
              </w:rPr>
              <w:t xml:space="preserve">Two-tier testing </w:t>
            </w:r>
            <w:hyperlink r:id="rId22" w:anchor="t008fn002">
              <w:r>
                <w:rPr>
                  <w:b/>
                  <w:color w:val="0000FF"/>
                  <w:sz w:val="20"/>
                  <w:szCs w:val="20"/>
                  <w:u w:val="single"/>
                  <w:vertAlign w:val="superscript"/>
                </w:rPr>
                <w:t>*</w:t>
              </w:r>
            </w:hyperlink>
          </w:p>
        </w:tc>
        <w:tc>
          <w:tcPr>
            <w:tcW w:w="1350" w:type="dxa"/>
            <w:shd w:val="clear" w:color="auto" w:fill="A6A6A6"/>
            <w:vAlign w:val="center"/>
          </w:tcPr>
          <w:p w14:paraId="5129D4EF" w14:textId="77777777" w:rsidR="002D58E4" w:rsidRDefault="00F721D4">
            <w:pPr>
              <w:rPr>
                <w:sz w:val="20"/>
                <w:szCs w:val="20"/>
              </w:rPr>
            </w:pPr>
            <w:r>
              <w:rPr>
                <w:b/>
                <w:sz w:val="20"/>
                <w:szCs w:val="20"/>
              </w:rPr>
              <w:t>10 (19)</w:t>
            </w:r>
          </w:p>
        </w:tc>
        <w:tc>
          <w:tcPr>
            <w:tcW w:w="2160" w:type="dxa"/>
            <w:shd w:val="clear" w:color="auto" w:fill="A6A6A6"/>
            <w:vAlign w:val="center"/>
          </w:tcPr>
          <w:p w14:paraId="4CDAA85E" w14:textId="77777777" w:rsidR="002D58E4" w:rsidRDefault="00F721D4">
            <w:pPr>
              <w:rPr>
                <w:sz w:val="20"/>
                <w:szCs w:val="20"/>
              </w:rPr>
            </w:pPr>
            <w:r>
              <w:rPr>
                <w:b/>
                <w:sz w:val="20"/>
                <w:szCs w:val="20"/>
              </w:rPr>
              <w:t>46.3 (39.1–53.7)</w:t>
            </w:r>
          </w:p>
        </w:tc>
        <w:tc>
          <w:tcPr>
            <w:tcW w:w="2340" w:type="dxa"/>
            <w:shd w:val="clear" w:color="auto" w:fill="A6A6A6"/>
            <w:vAlign w:val="center"/>
          </w:tcPr>
          <w:p w14:paraId="7B7A0C4A" w14:textId="77777777" w:rsidR="002D58E4" w:rsidRDefault="00F721D4">
            <w:pPr>
              <w:rPr>
                <w:sz w:val="20"/>
                <w:szCs w:val="20"/>
              </w:rPr>
            </w:pPr>
            <w:r>
              <w:rPr>
                <w:b/>
                <w:sz w:val="20"/>
                <w:szCs w:val="20"/>
              </w:rPr>
              <w:t>99.3 (98.3–99.7)</w:t>
            </w:r>
          </w:p>
        </w:tc>
      </w:tr>
      <w:tr w:rsidR="002D58E4" w14:paraId="1843112F" w14:textId="77777777">
        <w:tc>
          <w:tcPr>
            <w:tcW w:w="5355" w:type="dxa"/>
            <w:vAlign w:val="center"/>
          </w:tcPr>
          <w:p w14:paraId="07FB23F7" w14:textId="77777777" w:rsidR="002D58E4" w:rsidRDefault="00F721D4">
            <w:pPr>
              <w:rPr>
                <w:sz w:val="20"/>
                <w:szCs w:val="20"/>
              </w:rPr>
            </w:pPr>
            <w:r>
              <w:rPr>
                <w:sz w:val="20"/>
                <w:szCs w:val="20"/>
              </w:rPr>
              <w:t>Cambridge</w:t>
            </w:r>
            <w:r>
              <w:rPr>
                <w:sz w:val="20"/>
                <w:szCs w:val="20"/>
                <w:vertAlign w:val="superscript"/>
              </w:rPr>
              <w:t>FDA</w:t>
            </w:r>
            <w:r>
              <w:rPr>
                <w:sz w:val="20"/>
                <w:szCs w:val="20"/>
              </w:rPr>
              <w:t xml:space="preserve"> and inhouse IB</w:t>
            </w:r>
          </w:p>
        </w:tc>
        <w:tc>
          <w:tcPr>
            <w:tcW w:w="1350" w:type="dxa"/>
            <w:vAlign w:val="center"/>
          </w:tcPr>
          <w:p w14:paraId="489F825D" w14:textId="77777777" w:rsidR="002D58E4" w:rsidRDefault="00F721D4">
            <w:pPr>
              <w:rPr>
                <w:sz w:val="20"/>
                <w:szCs w:val="20"/>
              </w:rPr>
            </w:pPr>
            <w:r>
              <w:rPr>
                <w:sz w:val="20"/>
                <w:szCs w:val="20"/>
              </w:rPr>
              <w:t>1 (1)</w:t>
            </w:r>
          </w:p>
        </w:tc>
        <w:tc>
          <w:tcPr>
            <w:tcW w:w="2160" w:type="dxa"/>
            <w:vAlign w:val="center"/>
          </w:tcPr>
          <w:p w14:paraId="2A58F624" w14:textId="77777777" w:rsidR="002D58E4" w:rsidRDefault="00F721D4">
            <w:pPr>
              <w:rPr>
                <w:sz w:val="20"/>
                <w:szCs w:val="20"/>
              </w:rPr>
            </w:pPr>
            <w:r>
              <w:rPr>
                <w:sz w:val="20"/>
                <w:szCs w:val="20"/>
              </w:rPr>
              <w:t>69.2</w:t>
            </w:r>
            <w:r>
              <w:rPr>
                <w:sz w:val="20"/>
                <w:szCs w:val="20"/>
                <w:vertAlign w:val="superscript"/>
              </w:rPr>
              <w:t>ǂ</w:t>
            </w:r>
          </w:p>
        </w:tc>
        <w:tc>
          <w:tcPr>
            <w:tcW w:w="2340" w:type="dxa"/>
            <w:vAlign w:val="center"/>
          </w:tcPr>
          <w:p w14:paraId="31E77A14" w14:textId="77777777" w:rsidR="002D58E4" w:rsidRDefault="00F721D4">
            <w:pPr>
              <w:rPr>
                <w:sz w:val="20"/>
                <w:szCs w:val="20"/>
              </w:rPr>
            </w:pPr>
            <w:r>
              <w:rPr>
                <w:sz w:val="20"/>
                <w:szCs w:val="20"/>
              </w:rPr>
              <w:t>100</w:t>
            </w:r>
            <w:r>
              <w:rPr>
                <w:sz w:val="20"/>
                <w:szCs w:val="20"/>
                <w:vertAlign w:val="superscript"/>
              </w:rPr>
              <w:t>ǂ</w:t>
            </w:r>
          </w:p>
        </w:tc>
      </w:tr>
      <w:tr w:rsidR="002D58E4" w14:paraId="7456435F" w14:textId="77777777">
        <w:tc>
          <w:tcPr>
            <w:tcW w:w="5355" w:type="dxa"/>
            <w:shd w:val="clear" w:color="auto" w:fill="D3DFEE"/>
            <w:vAlign w:val="center"/>
          </w:tcPr>
          <w:p w14:paraId="5FF6E93A" w14:textId="77777777" w:rsidR="002D58E4" w:rsidRDefault="00F721D4">
            <w:pPr>
              <w:rPr>
                <w:sz w:val="20"/>
                <w:szCs w:val="20"/>
              </w:rPr>
            </w:pPr>
            <w:r>
              <w:rPr>
                <w:sz w:val="20"/>
                <w:szCs w:val="20"/>
              </w:rPr>
              <w:t>Vidas</w:t>
            </w:r>
            <w:r>
              <w:rPr>
                <w:sz w:val="20"/>
                <w:szCs w:val="20"/>
                <w:vertAlign w:val="superscript"/>
              </w:rPr>
              <w:t>FDA/HC</w:t>
            </w:r>
            <w:r>
              <w:rPr>
                <w:sz w:val="20"/>
                <w:szCs w:val="20"/>
              </w:rPr>
              <w:t xml:space="preserve"> or Wampole</w:t>
            </w:r>
            <w:r>
              <w:rPr>
                <w:sz w:val="20"/>
                <w:szCs w:val="20"/>
                <w:vertAlign w:val="superscript"/>
              </w:rPr>
              <w:t>FDA</w:t>
            </w:r>
            <w:r>
              <w:rPr>
                <w:sz w:val="20"/>
                <w:szCs w:val="20"/>
              </w:rPr>
              <w:t xml:space="preserve"> and Marblot </w:t>
            </w:r>
            <w:r>
              <w:rPr>
                <w:sz w:val="20"/>
                <w:szCs w:val="20"/>
                <w:vertAlign w:val="superscript"/>
              </w:rPr>
              <w:t>FDA/HC</w:t>
            </w:r>
          </w:p>
        </w:tc>
        <w:tc>
          <w:tcPr>
            <w:tcW w:w="1350" w:type="dxa"/>
            <w:shd w:val="clear" w:color="auto" w:fill="D3DFEE"/>
            <w:vAlign w:val="center"/>
          </w:tcPr>
          <w:p w14:paraId="1E5E35E8" w14:textId="77777777" w:rsidR="002D58E4" w:rsidRDefault="00F721D4">
            <w:pPr>
              <w:rPr>
                <w:sz w:val="20"/>
                <w:szCs w:val="20"/>
              </w:rPr>
            </w:pPr>
            <w:r>
              <w:rPr>
                <w:sz w:val="20"/>
                <w:szCs w:val="20"/>
              </w:rPr>
              <w:t>2 (3)</w:t>
            </w:r>
          </w:p>
        </w:tc>
        <w:tc>
          <w:tcPr>
            <w:tcW w:w="2160" w:type="dxa"/>
            <w:shd w:val="clear" w:color="auto" w:fill="D3DFEE"/>
            <w:vAlign w:val="center"/>
          </w:tcPr>
          <w:p w14:paraId="1F46C4F9" w14:textId="77777777" w:rsidR="002D58E4" w:rsidRDefault="00F721D4">
            <w:pPr>
              <w:rPr>
                <w:sz w:val="20"/>
                <w:szCs w:val="20"/>
              </w:rPr>
            </w:pPr>
            <w:r>
              <w:rPr>
                <w:sz w:val="20"/>
                <w:szCs w:val="20"/>
              </w:rPr>
              <w:t>32–41</w:t>
            </w:r>
            <w:r>
              <w:rPr>
                <w:sz w:val="20"/>
                <w:szCs w:val="20"/>
                <w:vertAlign w:val="superscript"/>
              </w:rPr>
              <w:t>ǂ</w:t>
            </w:r>
          </w:p>
        </w:tc>
        <w:tc>
          <w:tcPr>
            <w:tcW w:w="2340" w:type="dxa"/>
            <w:shd w:val="clear" w:color="auto" w:fill="D3DFEE"/>
            <w:vAlign w:val="center"/>
          </w:tcPr>
          <w:p w14:paraId="78FF4711" w14:textId="77777777" w:rsidR="002D58E4" w:rsidRDefault="00F721D4">
            <w:pPr>
              <w:rPr>
                <w:sz w:val="20"/>
                <w:szCs w:val="20"/>
              </w:rPr>
            </w:pPr>
            <w:r>
              <w:rPr>
                <w:sz w:val="20"/>
                <w:szCs w:val="20"/>
              </w:rPr>
              <w:t>99.5–100</w:t>
            </w:r>
            <w:r>
              <w:rPr>
                <w:sz w:val="20"/>
                <w:szCs w:val="20"/>
                <w:vertAlign w:val="superscript"/>
              </w:rPr>
              <w:t>ǂ</w:t>
            </w:r>
          </w:p>
        </w:tc>
      </w:tr>
      <w:tr w:rsidR="002D58E4" w14:paraId="7F0E5DBA" w14:textId="77777777">
        <w:tc>
          <w:tcPr>
            <w:tcW w:w="5355" w:type="dxa"/>
            <w:vAlign w:val="center"/>
          </w:tcPr>
          <w:p w14:paraId="2C637871" w14:textId="77777777" w:rsidR="002D58E4" w:rsidRDefault="00F721D4">
            <w:pPr>
              <w:rPr>
                <w:sz w:val="20"/>
                <w:szCs w:val="20"/>
              </w:rPr>
            </w:pPr>
            <w:r>
              <w:rPr>
                <w:sz w:val="20"/>
                <w:szCs w:val="20"/>
              </w:rPr>
              <w:t>Vidas</w:t>
            </w:r>
            <w:r>
              <w:rPr>
                <w:sz w:val="20"/>
                <w:szCs w:val="20"/>
                <w:vertAlign w:val="superscript"/>
              </w:rPr>
              <w:t>FDA/HC</w:t>
            </w:r>
            <w:r>
              <w:rPr>
                <w:sz w:val="20"/>
                <w:szCs w:val="20"/>
              </w:rPr>
              <w:t xml:space="preserve"> or Wampole</w:t>
            </w:r>
            <w:r>
              <w:rPr>
                <w:sz w:val="20"/>
                <w:szCs w:val="20"/>
                <w:vertAlign w:val="superscript"/>
              </w:rPr>
              <w:t>FDA</w:t>
            </w:r>
            <w:r>
              <w:rPr>
                <w:sz w:val="20"/>
                <w:szCs w:val="20"/>
              </w:rPr>
              <w:t xml:space="preserve"> and Virablot</w:t>
            </w:r>
            <w:r>
              <w:rPr>
                <w:sz w:val="20"/>
                <w:szCs w:val="20"/>
                <w:vertAlign w:val="superscript"/>
              </w:rPr>
              <w:t>FDA</w:t>
            </w:r>
          </w:p>
        </w:tc>
        <w:tc>
          <w:tcPr>
            <w:tcW w:w="1350" w:type="dxa"/>
            <w:vAlign w:val="center"/>
          </w:tcPr>
          <w:p w14:paraId="7F10544C" w14:textId="77777777" w:rsidR="002D58E4" w:rsidRDefault="00F721D4">
            <w:pPr>
              <w:rPr>
                <w:sz w:val="20"/>
                <w:szCs w:val="20"/>
              </w:rPr>
            </w:pPr>
            <w:r>
              <w:rPr>
                <w:sz w:val="20"/>
                <w:szCs w:val="20"/>
              </w:rPr>
              <w:t>2 (5)</w:t>
            </w:r>
          </w:p>
        </w:tc>
        <w:tc>
          <w:tcPr>
            <w:tcW w:w="2160" w:type="dxa"/>
            <w:vAlign w:val="center"/>
          </w:tcPr>
          <w:p w14:paraId="307EF23A" w14:textId="77777777" w:rsidR="002D58E4" w:rsidRDefault="00F721D4">
            <w:pPr>
              <w:rPr>
                <w:sz w:val="20"/>
                <w:szCs w:val="20"/>
              </w:rPr>
            </w:pPr>
            <w:r>
              <w:rPr>
                <w:sz w:val="20"/>
                <w:szCs w:val="20"/>
              </w:rPr>
              <w:t>34.4 (27.7, 41.6)</w:t>
            </w:r>
          </w:p>
        </w:tc>
        <w:tc>
          <w:tcPr>
            <w:tcW w:w="2340" w:type="dxa"/>
            <w:vAlign w:val="center"/>
          </w:tcPr>
          <w:p w14:paraId="111F7669" w14:textId="77777777" w:rsidR="002D58E4" w:rsidRDefault="00F721D4">
            <w:pPr>
              <w:rPr>
                <w:sz w:val="20"/>
                <w:szCs w:val="20"/>
              </w:rPr>
            </w:pPr>
            <w:r>
              <w:rPr>
                <w:sz w:val="20"/>
                <w:szCs w:val="20"/>
              </w:rPr>
              <w:t>100.0 (97.5, 100.0)</w:t>
            </w:r>
          </w:p>
        </w:tc>
      </w:tr>
      <w:tr w:rsidR="002D58E4" w14:paraId="70DB164A" w14:textId="77777777">
        <w:tc>
          <w:tcPr>
            <w:tcW w:w="5355" w:type="dxa"/>
            <w:shd w:val="clear" w:color="auto" w:fill="D3DFEE"/>
            <w:vAlign w:val="center"/>
          </w:tcPr>
          <w:p w14:paraId="652EA2A0" w14:textId="77777777" w:rsidR="002D58E4" w:rsidRDefault="00F721D4">
            <w:pPr>
              <w:rPr>
                <w:sz w:val="20"/>
                <w:szCs w:val="20"/>
              </w:rPr>
            </w:pPr>
            <w:r>
              <w:rPr>
                <w:sz w:val="20"/>
                <w:szCs w:val="20"/>
              </w:rPr>
              <w:t>Vidas</w:t>
            </w:r>
            <w:r>
              <w:rPr>
                <w:sz w:val="20"/>
                <w:szCs w:val="20"/>
                <w:vertAlign w:val="superscript"/>
              </w:rPr>
              <w:t>FDA/HC</w:t>
            </w:r>
            <w:r>
              <w:rPr>
                <w:sz w:val="20"/>
                <w:szCs w:val="20"/>
              </w:rPr>
              <w:t xml:space="preserve"> or Wampole</w:t>
            </w:r>
            <w:r>
              <w:rPr>
                <w:sz w:val="20"/>
                <w:szCs w:val="20"/>
                <w:vertAlign w:val="superscript"/>
              </w:rPr>
              <w:t>FDA</w:t>
            </w:r>
            <w:r>
              <w:rPr>
                <w:sz w:val="20"/>
                <w:szCs w:val="20"/>
              </w:rPr>
              <w:t xml:space="preserve"> and Immunetics C6 Lyme </w:t>
            </w:r>
            <w:r>
              <w:rPr>
                <w:sz w:val="20"/>
                <w:szCs w:val="20"/>
                <w:vertAlign w:val="superscript"/>
              </w:rPr>
              <w:t>FDA/HC</w:t>
            </w:r>
          </w:p>
        </w:tc>
        <w:tc>
          <w:tcPr>
            <w:tcW w:w="1350" w:type="dxa"/>
            <w:shd w:val="clear" w:color="auto" w:fill="D3DFEE"/>
            <w:vAlign w:val="center"/>
          </w:tcPr>
          <w:p w14:paraId="4921D048" w14:textId="77777777" w:rsidR="002D58E4" w:rsidRDefault="00F721D4">
            <w:pPr>
              <w:rPr>
                <w:sz w:val="20"/>
                <w:szCs w:val="20"/>
              </w:rPr>
            </w:pPr>
            <w:r>
              <w:rPr>
                <w:sz w:val="20"/>
                <w:szCs w:val="20"/>
              </w:rPr>
              <w:t>1 (1)</w:t>
            </w:r>
          </w:p>
        </w:tc>
        <w:tc>
          <w:tcPr>
            <w:tcW w:w="2160" w:type="dxa"/>
            <w:shd w:val="clear" w:color="auto" w:fill="D3DFEE"/>
            <w:vAlign w:val="center"/>
          </w:tcPr>
          <w:p w14:paraId="3140332C" w14:textId="77777777" w:rsidR="002D58E4" w:rsidRDefault="00F721D4">
            <w:pPr>
              <w:rPr>
                <w:sz w:val="20"/>
                <w:szCs w:val="20"/>
              </w:rPr>
            </w:pPr>
            <w:r>
              <w:rPr>
                <w:sz w:val="20"/>
                <w:szCs w:val="20"/>
              </w:rPr>
              <w:t>61</w:t>
            </w:r>
            <w:r>
              <w:rPr>
                <w:sz w:val="20"/>
                <w:szCs w:val="20"/>
                <w:vertAlign w:val="superscript"/>
              </w:rPr>
              <w:t>ǂ</w:t>
            </w:r>
          </w:p>
        </w:tc>
        <w:tc>
          <w:tcPr>
            <w:tcW w:w="2340" w:type="dxa"/>
            <w:shd w:val="clear" w:color="auto" w:fill="D3DFEE"/>
            <w:vAlign w:val="center"/>
          </w:tcPr>
          <w:p w14:paraId="06F7F0BC" w14:textId="77777777" w:rsidR="002D58E4" w:rsidRDefault="00F721D4">
            <w:pPr>
              <w:rPr>
                <w:sz w:val="20"/>
                <w:szCs w:val="20"/>
              </w:rPr>
            </w:pPr>
            <w:r>
              <w:rPr>
                <w:sz w:val="20"/>
                <w:szCs w:val="20"/>
              </w:rPr>
              <w:t>99.5</w:t>
            </w:r>
            <w:r>
              <w:rPr>
                <w:sz w:val="20"/>
                <w:szCs w:val="20"/>
                <w:vertAlign w:val="superscript"/>
              </w:rPr>
              <w:t>ǂ</w:t>
            </w:r>
          </w:p>
        </w:tc>
      </w:tr>
      <w:tr w:rsidR="002D58E4" w14:paraId="5460045F" w14:textId="77777777">
        <w:tc>
          <w:tcPr>
            <w:tcW w:w="5355" w:type="dxa"/>
            <w:vAlign w:val="center"/>
          </w:tcPr>
          <w:p w14:paraId="1FF3055A" w14:textId="77777777" w:rsidR="002D58E4" w:rsidRDefault="00F721D4">
            <w:pPr>
              <w:rPr>
                <w:sz w:val="20"/>
                <w:szCs w:val="20"/>
              </w:rPr>
            </w:pPr>
            <w:r>
              <w:rPr>
                <w:sz w:val="20"/>
                <w:szCs w:val="20"/>
              </w:rPr>
              <w:t xml:space="preserve">Zeus ELISA </w:t>
            </w:r>
            <w:r>
              <w:rPr>
                <w:sz w:val="20"/>
                <w:szCs w:val="20"/>
                <w:vertAlign w:val="superscript"/>
              </w:rPr>
              <w:t>FDA/HC</w:t>
            </w:r>
            <w:r>
              <w:rPr>
                <w:sz w:val="20"/>
                <w:szCs w:val="20"/>
              </w:rPr>
              <w:t xml:space="preserve"> and Zeus AtheNA</w:t>
            </w:r>
            <w:r>
              <w:rPr>
                <w:sz w:val="20"/>
                <w:szCs w:val="20"/>
                <w:vertAlign w:val="superscript"/>
              </w:rPr>
              <w:t>FDA</w:t>
            </w:r>
          </w:p>
        </w:tc>
        <w:tc>
          <w:tcPr>
            <w:tcW w:w="1350" w:type="dxa"/>
            <w:vAlign w:val="center"/>
          </w:tcPr>
          <w:p w14:paraId="492119E6" w14:textId="77777777" w:rsidR="002D58E4" w:rsidRDefault="00F721D4">
            <w:pPr>
              <w:rPr>
                <w:sz w:val="20"/>
                <w:szCs w:val="20"/>
              </w:rPr>
            </w:pPr>
            <w:r>
              <w:rPr>
                <w:sz w:val="20"/>
                <w:szCs w:val="20"/>
              </w:rPr>
              <w:t>1 (1)</w:t>
            </w:r>
          </w:p>
        </w:tc>
        <w:tc>
          <w:tcPr>
            <w:tcW w:w="2160" w:type="dxa"/>
            <w:vAlign w:val="center"/>
          </w:tcPr>
          <w:p w14:paraId="15EB5BFB" w14:textId="77777777" w:rsidR="002D58E4" w:rsidRDefault="00F721D4">
            <w:pPr>
              <w:rPr>
                <w:sz w:val="20"/>
                <w:szCs w:val="20"/>
              </w:rPr>
            </w:pPr>
            <w:r>
              <w:rPr>
                <w:sz w:val="20"/>
                <w:szCs w:val="20"/>
              </w:rPr>
              <w:t>45.7</w:t>
            </w:r>
            <w:r>
              <w:rPr>
                <w:sz w:val="20"/>
                <w:szCs w:val="20"/>
                <w:vertAlign w:val="superscript"/>
              </w:rPr>
              <w:t>ǂ</w:t>
            </w:r>
          </w:p>
        </w:tc>
        <w:tc>
          <w:tcPr>
            <w:tcW w:w="2340" w:type="dxa"/>
            <w:vAlign w:val="center"/>
          </w:tcPr>
          <w:p w14:paraId="01347458" w14:textId="77777777" w:rsidR="002D58E4" w:rsidRDefault="00F721D4">
            <w:pPr>
              <w:rPr>
                <w:sz w:val="20"/>
                <w:szCs w:val="20"/>
              </w:rPr>
            </w:pPr>
            <w:r>
              <w:rPr>
                <w:sz w:val="20"/>
                <w:szCs w:val="20"/>
              </w:rPr>
              <w:t>99.6</w:t>
            </w:r>
            <w:r>
              <w:rPr>
                <w:sz w:val="20"/>
                <w:szCs w:val="20"/>
                <w:vertAlign w:val="superscript"/>
              </w:rPr>
              <w:t>ǂ</w:t>
            </w:r>
          </w:p>
        </w:tc>
      </w:tr>
      <w:tr w:rsidR="002D58E4" w14:paraId="64E441D9" w14:textId="77777777">
        <w:tc>
          <w:tcPr>
            <w:tcW w:w="5355" w:type="dxa"/>
            <w:shd w:val="clear" w:color="auto" w:fill="D3DFEE"/>
            <w:vAlign w:val="center"/>
          </w:tcPr>
          <w:p w14:paraId="02949765" w14:textId="77777777" w:rsidR="002D58E4" w:rsidRDefault="00F721D4">
            <w:pPr>
              <w:rPr>
                <w:sz w:val="20"/>
                <w:szCs w:val="20"/>
              </w:rPr>
            </w:pPr>
            <w:r>
              <w:rPr>
                <w:sz w:val="20"/>
                <w:szCs w:val="20"/>
              </w:rPr>
              <w:lastRenderedPageBreak/>
              <w:t xml:space="preserve">Zeus ELISA and Marblot </w:t>
            </w:r>
            <w:r>
              <w:rPr>
                <w:sz w:val="20"/>
                <w:szCs w:val="20"/>
                <w:vertAlign w:val="superscript"/>
              </w:rPr>
              <w:t>FDA/HC</w:t>
            </w:r>
          </w:p>
        </w:tc>
        <w:tc>
          <w:tcPr>
            <w:tcW w:w="1350" w:type="dxa"/>
            <w:shd w:val="clear" w:color="auto" w:fill="D3DFEE"/>
            <w:vAlign w:val="center"/>
          </w:tcPr>
          <w:p w14:paraId="1980A555" w14:textId="77777777" w:rsidR="002D58E4" w:rsidRDefault="00F721D4">
            <w:pPr>
              <w:rPr>
                <w:sz w:val="20"/>
                <w:szCs w:val="20"/>
              </w:rPr>
            </w:pPr>
            <w:r>
              <w:rPr>
                <w:sz w:val="20"/>
                <w:szCs w:val="20"/>
              </w:rPr>
              <w:t>1 (1)</w:t>
            </w:r>
          </w:p>
        </w:tc>
        <w:tc>
          <w:tcPr>
            <w:tcW w:w="2160" w:type="dxa"/>
            <w:shd w:val="clear" w:color="auto" w:fill="D3DFEE"/>
            <w:vAlign w:val="center"/>
          </w:tcPr>
          <w:p w14:paraId="775364BA" w14:textId="77777777" w:rsidR="002D58E4" w:rsidRDefault="00F721D4">
            <w:pPr>
              <w:rPr>
                <w:sz w:val="20"/>
                <w:szCs w:val="20"/>
              </w:rPr>
            </w:pPr>
            <w:r>
              <w:rPr>
                <w:sz w:val="20"/>
                <w:szCs w:val="20"/>
              </w:rPr>
              <w:t>39.2</w:t>
            </w:r>
            <w:r>
              <w:rPr>
                <w:sz w:val="20"/>
                <w:szCs w:val="20"/>
                <w:vertAlign w:val="superscript"/>
              </w:rPr>
              <w:t>ǂ</w:t>
            </w:r>
          </w:p>
        </w:tc>
        <w:tc>
          <w:tcPr>
            <w:tcW w:w="2340" w:type="dxa"/>
            <w:shd w:val="clear" w:color="auto" w:fill="D3DFEE"/>
            <w:vAlign w:val="center"/>
          </w:tcPr>
          <w:p w14:paraId="554C22EA" w14:textId="77777777" w:rsidR="002D58E4" w:rsidRDefault="00F721D4">
            <w:pPr>
              <w:rPr>
                <w:sz w:val="20"/>
                <w:szCs w:val="20"/>
              </w:rPr>
            </w:pPr>
            <w:r>
              <w:rPr>
                <w:sz w:val="20"/>
                <w:szCs w:val="20"/>
              </w:rPr>
              <w:t>99.6</w:t>
            </w:r>
            <w:r>
              <w:rPr>
                <w:sz w:val="20"/>
                <w:szCs w:val="20"/>
                <w:vertAlign w:val="superscript"/>
              </w:rPr>
              <w:t>ǂ</w:t>
            </w:r>
          </w:p>
        </w:tc>
      </w:tr>
      <w:tr w:rsidR="002D58E4" w14:paraId="7BC299A3" w14:textId="77777777">
        <w:tc>
          <w:tcPr>
            <w:tcW w:w="5355" w:type="dxa"/>
            <w:vAlign w:val="center"/>
          </w:tcPr>
          <w:p w14:paraId="23BF0FAE" w14:textId="77777777" w:rsidR="002D58E4" w:rsidRDefault="00F721D4">
            <w:pPr>
              <w:rPr>
                <w:sz w:val="20"/>
                <w:szCs w:val="20"/>
              </w:rPr>
            </w:pPr>
            <w:r>
              <w:rPr>
                <w:sz w:val="20"/>
                <w:szCs w:val="20"/>
              </w:rPr>
              <w:t xml:space="preserve">Immunetics C6 and Marblot </w:t>
            </w:r>
            <w:r>
              <w:rPr>
                <w:sz w:val="20"/>
                <w:szCs w:val="20"/>
                <w:vertAlign w:val="superscript"/>
              </w:rPr>
              <w:t>FDA/HC</w:t>
            </w:r>
          </w:p>
        </w:tc>
        <w:tc>
          <w:tcPr>
            <w:tcW w:w="1350" w:type="dxa"/>
            <w:vAlign w:val="center"/>
          </w:tcPr>
          <w:p w14:paraId="73C944A0" w14:textId="77777777" w:rsidR="002D58E4" w:rsidRDefault="00F721D4">
            <w:pPr>
              <w:rPr>
                <w:sz w:val="20"/>
                <w:szCs w:val="20"/>
              </w:rPr>
            </w:pPr>
            <w:r>
              <w:rPr>
                <w:sz w:val="20"/>
                <w:szCs w:val="20"/>
              </w:rPr>
              <w:t>2 (2)</w:t>
            </w:r>
          </w:p>
        </w:tc>
        <w:tc>
          <w:tcPr>
            <w:tcW w:w="2160" w:type="dxa"/>
            <w:vAlign w:val="center"/>
          </w:tcPr>
          <w:p w14:paraId="0B5A93BB" w14:textId="77777777" w:rsidR="002D58E4" w:rsidRDefault="00F721D4">
            <w:pPr>
              <w:rPr>
                <w:sz w:val="20"/>
                <w:szCs w:val="20"/>
              </w:rPr>
            </w:pPr>
            <w:r>
              <w:rPr>
                <w:sz w:val="20"/>
                <w:szCs w:val="20"/>
              </w:rPr>
              <w:t>37.6–76.9</w:t>
            </w:r>
            <w:r>
              <w:rPr>
                <w:sz w:val="20"/>
                <w:szCs w:val="20"/>
                <w:vertAlign w:val="superscript"/>
              </w:rPr>
              <w:t>ǂ</w:t>
            </w:r>
          </w:p>
        </w:tc>
        <w:tc>
          <w:tcPr>
            <w:tcW w:w="2340" w:type="dxa"/>
            <w:vAlign w:val="center"/>
          </w:tcPr>
          <w:p w14:paraId="2CE22C1A" w14:textId="77777777" w:rsidR="002D58E4" w:rsidRDefault="00F721D4">
            <w:pPr>
              <w:rPr>
                <w:sz w:val="20"/>
                <w:szCs w:val="20"/>
              </w:rPr>
            </w:pPr>
            <w:r>
              <w:rPr>
                <w:sz w:val="20"/>
                <w:szCs w:val="20"/>
              </w:rPr>
              <w:t>99.5–100</w:t>
            </w:r>
            <w:r>
              <w:rPr>
                <w:sz w:val="20"/>
                <w:szCs w:val="20"/>
                <w:vertAlign w:val="superscript"/>
              </w:rPr>
              <w:t>ǂ</w:t>
            </w:r>
          </w:p>
        </w:tc>
      </w:tr>
      <w:tr w:rsidR="002D58E4" w14:paraId="3D0254B0" w14:textId="77777777">
        <w:tc>
          <w:tcPr>
            <w:tcW w:w="5355" w:type="dxa"/>
            <w:shd w:val="clear" w:color="auto" w:fill="D3DFEE"/>
            <w:vAlign w:val="center"/>
          </w:tcPr>
          <w:p w14:paraId="738D0B42" w14:textId="77777777" w:rsidR="002D58E4" w:rsidRDefault="00F721D4">
            <w:pPr>
              <w:rPr>
                <w:sz w:val="20"/>
                <w:szCs w:val="20"/>
              </w:rPr>
            </w:pPr>
            <w:r>
              <w:rPr>
                <w:sz w:val="20"/>
                <w:szCs w:val="20"/>
              </w:rPr>
              <w:t xml:space="preserve">Liason and Marblot </w:t>
            </w:r>
            <w:r>
              <w:rPr>
                <w:sz w:val="20"/>
                <w:szCs w:val="20"/>
                <w:vertAlign w:val="superscript"/>
              </w:rPr>
              <w:t>FDA/HC</w:t>
            </w:r>
          </w:p>
        </w:tc>
        <w:tc>
          <w:tcPr>
            <w:tcW w:w="1350" w:type="dxa"/>
            <w:shd w:val="clear" w:color="auto" w:fill="D3DFEE"/>
            <w:vAlign w:val="center"/>
          </w:tcPr>
          <w:p w14:paraId="04F5C55D" w14:textId="77777777" w:rsidR="002D58E4" w:rsidRDefault="00F721D4">
            <w:pPr>
              <w:rPr>
                <w:sz w:val="20"/>
                <w:szCs w:val="20"/>
              </w:rPr>
            </w:pPr>
            <w:r>
              <w:rPr>
                <w:sz w:val="20"/>
                <w:szCs w:val="20"/>
              </w:rPr>
              <w:t>1 (1)</w:t>
            </w:r>
          </w:p>
        </w:tc>
        <w:tc>
          <w:tcPr>
            <w:tcW w:w="2160" w:type="dxa"/>
            <w:shd w:val="clear" w:color="auto" w:fill="D3DFEE"/>
            <w:vAlign w:val="center"/>
          </w:tcPr>
          <w:p w14:paraId="63A120ED" w14:textId="77777777" w:rsidR="002D58E4" w:rsidRDefault="00F721D4">
            <w:pPr>
              <w:rPr>
                <w:sz w:val="20"/>
                <w:szCs w:val="20"/>
              </w:rPr>
            </w:pPr>
            <w:r>
              <w:rPr>
                <w:sz w:val="20"/>
                <w:szCs w:val="20"/>
              </w:rPr>
              <w:t>61.5</w:t>
            </w:r>
            <w:r>
              <w:rPr>
                <w:sz w:val="20"/>
                <w:szCs w:val="20"/>
                <w:vertAlign w:val="superscript"/>
              </w:rPr>
              <w:t>ǂ</w:t>
            </w:r>
          </w:p>
        </w:tc>
        <w:tc>
          <w:tcPr>
            <w:tcW w:w="2340" w:type="dxa"/>
            <w:shd w:val="clear" w:color="auto" w:fill="D3DFEE"/>
            <w:vAlign w:val="center"/>
          </w:tcPr>
          <w:p w14:paraId="37792161" w14:textId="77777777" w:rsidR="002D58E4" w:rsidRDefault="00F721D4">
            <w:pPr>
              <w:rPr>
                <w:sz w:val="20"/>
                <w:szCs w:val="20"/>
              </w:rPr>
            </w:pPr>
            <w:r>
              <w:rPr>
                <w:sz w:val="20"/>
                <w:szCs w:val="20"/>
              </w:rPr>
              <w:t>100</w:t>
            </w:r>
            <w:r>
              <w:rPr>
                <w:sz w:val="20"/>
                <w:szCs w:val="20"/>
                <w:vertAlign w:val="superscript"/>
              </w:rPr>
              <w:t>ǂ</w:t>
            </w:r>
          </w:p>
        </w:tc>
      </w:tr>
      <w:tr w:rsidR="002D58E4" w14:paraId="7BFDDDBD" w14:textId="77777777">
        <w:tc>
          <w:tcPr>
            <w:tcW w:w="5355" w:type="dxa"/>
            <w:shd w:val="clear" w:color="auto" w:fill="A6A6A6"/>
            <w:vAlign w:val="center"/>
          </w:tcPr>
          <w:p w14:paraId="1D77C499" w14:textId="77777777" w:rsidR="002D58E4" w:rsidRDefault="00F721D4">
            <w:pPr>
              <w:rPr>
                <w:sz w:val="20"/>
                <w:szCs w:val="20"/>
              </w:rPr>
            </w:pPr>
            <w:r>
              <w:rPr>
                <w:b/>
                <w:sz w:val="20"/>
                <w:szCs w:val="20"/>
              </w:rPr>
              <w:t>First tier EIAs</w:t>
            </w:r>
            <w:hyperlink r:id="rId23" w:anchor="t008fn002">
              <w:r>
                <w:rPr>
                  <w:b/>
                  <w:color w:val="0000FF"/>
                  <w:sz w:val="20"/>
                  <w:szCs w:val="20"/>
                  <w:u w:val="single"/>
                  <w:vertAlign w:val="superscript"/>
                </w:rPr>
                <w:t>*</w:t>
              </w:r>
            </w:hyperlink>
          </w:p>
        </w:tc>
        <w:tc>
          <w:tcPr>
            <w:tcW w:w="1350" w:type="dxa"/>
            <w:shd w:val="clear" w:color="auto" w:fill="A6A6A6"/>
            <w:vAlign w:val="center"/>
          </w:tcPr>
          <w:p w14:paraId="16BDE133" w14:textId="77777777" w:rsidR="002D58E4" w:rsidRDefault="00F721D4">
            <w:pPr>
              <w:rPr>
                <w:sz w:val="20"/>
                <w:szCs w:val="20"/>
              </w:rPr>
            </w:pPr>
            <w:r>
              <w:rPr>
                <w:b/>
                <w:sz w:val="20"/>
                <w:szCs w:val="20"/>
              </w:rPr>
              <w:t>16 (48)</w:t>
            </w:r>
          </w:p>
        </w:tc>
        <w:tc>
          <w:tcPr>
            <w:tcW w:w="2160" w:type="dxa"/>
            <w:shd w:val="clear" w:color="auto" w:fill="A6A6A6"/>
            <w:vAlign w:val="center"/>
          </w:tcPr>
          <w:p w14:paraId="0D751D2C" w14:textId="77777777" w:rsidR="002D58E4" w:rsidRDefault="00F721D4">
            <w:pPr>
              <w:rPr>
                <w:sz w:val="20"/>
                <w:szCs w:val="20"/>
              </w:rPr>
            </w:pPr>
            <w:r>
              <w:rPr>
                <w:b/>
                <w:sz w:val="20"/>
                <w:szCs w:val="20"/>
              </w:rPr>
              <w:t>54.0 (42.9, 64.8)</w:t>
            </w:r>
          </w:p>
        </w:tc>
        <w:tc>
          <w:tcPr>
            <w:tcW w:w="2340" w:type="dxa"/>
            <w:shd w:val="clear" w:color="auto" w:fill="A6A6A6"/>
            <w:vAlign w:val="center"/>
          </w:tcPr>
          <w:p w14:paraId="60ECEAF0" w14:textId="77777777" w:rsidR="002D58E4" w:rsidRDefault="00F721D4">
            <w:pPr>
              <w:rPr>
                <w:sz w:val="20"/>
                <w:szCs w:val="20"/>
              </w:rPr>
            </w:pPr>
            <w:r>
              <w:rPr>
                <w:b/>
                <w:sz w:val="20"/>
                <w:szCs w:val="20"/>
              </w:rPr>
              <w:t>96.8 (95.0, 98.0)</w:t>
            </w:r>
          </w:p>
        </w:tc>
      </w:tr>
      <w:tr w:rsidR="002D58E4" w14:paraId="387F264F" w14:textId="77777777">
        <w:tc>
          <w:tcPr>
            <w:tcW w:w="5355" w:type="dxa"/>
            <w:shd w:val="clear" w:color="auto" w:fill="D3DFEE"/>
            <w:vAlign w:val="center"/>
          </w:tcPr>
          <w:p w14:paraId="553092B8" w14:textId="77777777" w:rsidR="002D58E4" w:rsidRDefault="00F721D4">
            <w:pPr>
              <w:rPr>
                <w:sz w:val="20"/>
                <w:szCs w:val="20"/>
              </w:rPr>
            </w:pPr>
            <w:r>
              <w:rPr>
                <w:sz w:val="20"/>
                <w:szCs w:val="20"/>
              </w:rPr>
              <w:t>ELISA- C6 target</w:t>
            </w:r>
          </w:p>
        </w:tc>
        <w:tc>
          <w:tcPr>
            <w:tcW w:w="1350" w:type="dxa"/>
            <w:shd w:val="clear" w:color="auto" w:fill="D3DFEE"/>
            <w:vAlign w:val="center"/>
          </w:tcPr>
          <w:p w14:paraId="43798ECF" w14:textId="77777777" w:rsidR="002D58E4" w:rsidRDefault="00F721D4">
            <w:pPr>
              <w:rPr>
                <w:sz w:val="20"/>
                <w:szCs w:val="20"/>
              </w:rPr>
            </w:pPr>
            <w:r>
              <w:rPr>
                <w:sz w:val="20"/>
                <w:szCs w:val="20"/>
              </w:rPr>
              <w:t>7 (11)</w:t>
            </w:r>
          </w:p>
        </w:tc>
        <w:tc>
          <w:tcPr>
            <w:tcW w:w="2160" w:type="dxa"/>
            <w:shd w:val="clear" w:color="auto" w:fill="D3DFEE"/>
            <w:vAlign w:val="center"/>
          </w:tcPr>
          <w:p w14:paraId="29687F9B" w14:textId="77777777" w:rsidR="002D58E4" w:rsidRDefault="00F721D4">
            <w:pPr>
              <w:rPr>
                <w:sz w:val="20"/>
                <w:szCs w:val="20"/>
              </w:rPr>
            </w:pPr>
            <w:r>
              <w:rPr>
                <w:sz w:val="20"/>
                <w:szCs w:val="20"/>
              </w:rPr>
              <w:t>57.1 (46.7, 66.9)</w:t>
            </w:r>
          </w:p>
        </w:tc>
        <w:tc>
          <w:tcPr>
            <w:tcW w:w="2340" w:type="dxa"/>
            <w:shd w:val="clear" w:color="auto" w:fill="D3DFEE"/>
            <w:vAlign w:val="center"/>
          </w:tcPr>
          <w:p w14:paraId="28F42012" w14:textId="77777777" w:rsidR="002D58E4" w:rsidRDefault="00F721D4">
            <w:pPr>
              <w:rPr>
                <w:sz w:val="20"/>
                <w:szCs w:val="20"/>
              </w:rPr>
            </w:pPr>
            <w:r>
              <w:rPr>
                <w:sz w:val="20"/>
                <w:szCs w:val="20"/>
              </w:rPr>
              <w:t>97.5 (96.2, 98.5)</w:t>
            </w:r>
          </w:p>
        </w:tc>
      </w:tr>
      <w:tr w:rsidR="002D58E4" w14:paraId="73FB577E" w14:textId="77777777">
        <w:trPr>
          <w:trHeight w:val="140"/>
        </w:trPr>
        <w:tc>
          <w:tcPr>
            <w:tcW w:w="5355" w:type="dxa"/>
            <w:vAlign w:val="center"/>
          </w:tcPr>
          <w:p w14:paraId="00ED8164" w14:textId="77777777" w:rsidR="002D58E4" w:rsidRDefault="00F721D4">
            <w:pPr>
              <w:jc w:val="right"/>
              <w:rPr>
                <w:sz w:val="20"/>
                <w:szCs w:val="20"/>
              </w:rPr>
            </w:pPr>
            <w:r>
              <w:rPr>
                <w:sz w:val="20"/>
                <w:szCs w:val="20"/>
              </w:rPr>
              <w:t xml:space="preserve">Commercial </w:t>
            </w:r>
            <w:r>
              <w:rPr>
                <w:sz w:val="20"/>
                <w:szCs w:val="20"/>
                <w:vertAlign w:val="superscript"/>
              </w:rPr>
              <w:t>FDA/HC</w:t>
            </w:r>
          </w:p>
        </w:tc>
        <w:tc>
          <w:tcPr>
            <w:tcW w:w="1350" w:type="dxa"/>
            <w:vAlign w:val="center"/>
          </w:tcPr>
          <w:p w14:paraId="328980E4" w14:textId="77777777" w:rsidR="002D58E4" w:rsidRDefault="00F721D4">
            <w:pPr>
              <w:rPr>
                <w:sz w:val="20"/>
                <w:szCs w:val="20"/>
              </w:rPr>
            </w:pPr>
            <w:r>
              <w:rPr>
                <w:sz w:val="20"/>
                <w:szCs w:val="20"/>
              </w:rPr>
              <w:t>3 (4)</w:t>
            </w:r>
          </w:p>
        </w:tc>
        <w:tc>
          <w:tcPr>
            <w:tcW w:w="2160" w:type="dxa"/>
            <w:vAlign w:val="center"/>
          </w:tcPr>
          <w:p w14:paraId="60228112" w14:textId="77777777" w:rsidR="002D58E4" w:rsidRDefault="00F721D4">
            <w:pPr>
              <w:rPr>
                <w:sz w:val="20"/>
                <w:szCs w:val="20"/>
              </w:rPr>
            </w:pPr>
            <w:r>
              <w:rPr>
                <w:sz w:val="20"/>
                <w:szCs w:val="20"/>
              </w:rPr>
              <w:t>65.6 (61.2, 69.7)</w:t>
            </w:r>
          </w:p>
        </w:tc>
        <w:tc>
          <w:tcPr>
            <w:tcW w:w="2340" w:type="dxa"/>
            <w:vAlign w:val="center"/>
          </w:tcPr>
          <w:p w14:paraId="26BE7781" w14:textId="77777777" w:rsidR="002D58E4" w:rsidRDefault="00F721D4">
            <w:pPr>
              <w:rPr>
                <w:sz w:val="20"/>
                <w:szCs w:val="20"/>
              </w:rPr>
            </w:pPr>
            <w:r>
              <w:rPr>
                <w:sz w:val="20"/>
                <w:szCs w:val="20"/>
              </w:rPr>
              <w:t>98.7 (98.3, 99.0)</w:t>
            </w:r>
            <w:r>
              <w:rPr>
                <w:sz w:val="20"/>
                <w:szCs w:val="20"/>
                <w:vertAlign w:val="superscript"/>
              </w:rPr>
              <w:t>¥</w:t>
            </w:r>
          </w:p>
        </w:tc>
      </w:tr>
      <w:tr w:rsidR="002D58E4" w14:paraId="354FCEA9" w14:textId="77777777">
        <w:tc>
          <w:tcPr>
            <w:tcW w:w="5355" w:type="dxa"/>
            <w:shd w:val="clear" w:color="auto" w:fill="D3DFEE"/>
            <w:vAlign w:val="center"/>
          </w:tcPr>
          <w:p w14:paraId="0C586F7E" w14:textId="77777777" w:rsidR="002D58E4" w:rsidRDefault="00F721D4">
            <w:pPr>
              <w:jc w:val="right"/>
              <w:rPr>
                <w:sz w:val="20"/>
                <w:szCs w:val="20"/>
              </w:rPr>
            </w:pPr>
            <w:r>
              <w:rPr>
                <w:sz w:val="20"/>
                <w:szCs w:val="20"/>
              </w:rPr>
              <w:t>In house</w:t>
            </w:r>
          </w:p>
        </w:tc>
        <w:tc>
          <w:tcPr>
            <w:tcW w:w="1350" w:type="dxa"/>
            <w:shd w:val="clear" w:color="auto" w:fill="D3DFEE"/>
            <w:vAlign w:val="center"/>
          </w:tcPr>
          <w:p w14:paraId="37B9EBD9" w14:textId="77777777" w:rsidR="002D58E4" w:rsidRDefault="00F721D4">
            <w:pPr>
              <w:rPr>
                <w:sz w:val="20"/>
                <w:szCs w:val="20"/>
              </w:rPr>
            </w:pPr>
            <w:r>
              <w:rPr>
                <w:sz w:val="20"/>
                <w:szCs w:val="20"/>
              </w:rPr>
              <w:t>3 (6)</w:t>
            </w:r>
          </w:p>
        </w:tc>
        <w:tc>
          <w:tcPr>
            <w:tcW w:w="2160" w:type="dxa"/>
            <w:shd w:val="clear" w:color="auto" w:fill="D3DFEE"/>
            <w:vAlign w:val="center"/>
          </w:tcPr>
          <w:p w14:paraId="7299AAB6" w14:textId="77777777" w:rsidR="002D58E4" w:rsidRDefault="00F721D4">
            <w:pPr>
              <w:rPr>
                <w:sz w:val="20"/>
                <w:szCs w:val="20"/>
              </w:rPr>
            </w:pPr>
            <w:r>
              <w:rPr>
                <w:sz w:val="20"/>
                <w:szCs w:val="20"/>
              </w:rPr>
              <w:t>48.4 (37.1, 59.8)</w:t>
            </w:r>
          </w:p>
        </w:tc>
        <w:tc>
          <w:tcPr>
            <w:tcW w:w="2340" w:type="dxa"/>
            <w:shd w:val="clear" w:color="auto" w:fill="D3DFEE"/>
            <w:vAlign w:val="center"/>
          </w:tcPr>
          <w:p w14:paraId="0C3701E1" w14:textId="77777777" w:rsidR="002D58E4" w:rsidRDefault="00F721D4">
            <w:pPr>
              <w:rPr>
                <w:sz w:val="20"/>
                <w:szCs w:val="20"/>
              </w:rPr>
            </w:pPr>
            <w:r>
              <w:rPr>
                <w:sz w:val="20"/>
                <w:szCs w:val="20"/>
              </w:rPr>
              <w:t>96.1 (93.5, 97.8)</w:t>
            </w:r>
            <w:r>
              <w:rPr>
                <w:sz w:val="20"/>
                <w:szCs w:val="20"/>
                <w:vertAlign w:val="superscript"/>
              </w:rPr>
              <w:t>¥</w:t>
            </w:r>
          </w:p>
        </w:tc>
      </w:tr>
      <w:tr w:rsidR="002D58E4" w14:paraId="2DFD2DE1" w14:textId="77777777">
        <w:tc>
          <w:tcPr>
            <w:tcW w:w="5355" w:type="dxa"/>
            <w:vAlign w:val="center"/>
          </w:tcPr>
          <w:p w14:paraId="51B7EC88" w14:textId="77777777" w:rsidR="002D58E4" w:rsidRDefault="00F721D4">
            <w:pPr>
              <w:rPr>
                <w:sz w:val="20"/>
                <w:szCs w:val="20"/>
              </w:rPr>
            </w:pPr>
            <w:r>
              <w:rPr>
                <w:sz w:val="20"/>
                <w:szCs w:val="20"/>
              </w:rPr>
              <w:t>ELISA- WCS</w:t>
            </w:r>
          </w:p>
        </w:tc>
        <w:tc>
          <w:tcPr>
            <w:tcW w:w="1350" w:type="dxa"/>
            <w:vAlign w:val="center"/>
          </w:tcPr>
          <w:p w14:paraId="17F9EDA8" w14:textId="77777777" w:rsidR="002D58E4" w:rsidRDefault="00F721D4">
            <w:pPr>
              <w:rPr>
                <w:sz w:val="20"/>
                <w:szCs w:val="20"/>
              </w:rPr>
            </w:pPr>
            <w:r>
              <w:rPr>
                <w:sz w:val="20"/>
                <w:szCs w:val="20"/>
              </w:rPr>
              <w:t>6 (10)</w:t>
            </w:r>
          </w:p>
        </w:tc>
        <w:tc>
          <w:tcPr>
            <w:tcW w:w="2160" w:type="dxa"/>
            <w:vAlign w:val="center"/>
          </w:tcPr>
          <w:p w14:paraId="6A1F0E1C" w14:textId="77777777" w:rsidR="002D58E4" w:rsidRDefault="00F721D4">
            <w:pPr>
              <w:rPr>
                <w:sz w:val="20"/>
                <w:szCs w:val="20"/>
              </w:rPr>
            </w:pPr>
            <w:r>
              <w:rPr>
                <w:sz w:val="20"/>
                <w:szCs w:val="20"/>
              </w:rPr>
              <w:t>77.5 (59.5, 89.0)</w:t>
            </w:r>
          </w:p>
        </w:tc>
        <w:tc>
          <w:tcPr>
            <w:tcW w:w="2340" w:type="dxa"/>
            <w:vAlign w:val="center"/>
          </w:tcPr>
          <w:p w14:paraId="446D3E55" w14:textId="77777777" w:rsidR="002D58E4" w:rsidRDefault="00F721D4">
            <w:pPr>
              <w:rPr>
                <w:sz w:val="20"/>
                <w:szCs w:val="20"/>
              </w:rPr>
            </w:pPr>
            <w:r>
              <w:rPr>
                <w:sz w:val="20"/>
                <w:szCs w:val="20"/>
              </w:rPr>
              <w:t>87.8, (73.9, 94.8)</w:t>
            </w:r>
          </w:p>
        </w:tc>
      </w:tr>
      <w:tr w:rsidR="002D58E4" w14:paraId="525364CB" w14:textId="77777777">
        <w:tc>
          <w:tcPr>
            <w:tcW w:w="5355" w:type="dxa"/>
            <w:shd w:val="clear" w:color="auto" w:fill="D3DFEE"/>
            <w:vAlign w:val="center"/>
          </w:tcPr>
          <w:p w14:paraId="64D5D2E6" w14:textId="77777777" w:rsidR="002D58E4" w:rsidRDefault="00F721D4">
            <w:pPr>
              <w:jc w:val="right"/>
              <w:rPr>
                <w:sz w:val="20"/>
                <w:szCs w:val="20"/>
              </w:rPr>
            </w:pPr>
            <w:r>
              <w:rPr>
                <w:sz w:val="20"/>
                <w:szCs w:val="20"/>
              </w:rPr>
              <w:t xml:space="preserve">Commercial </w:t>
            </w:r>
            <w:r>
              <w:rPr>
                <w:sz w:val="20"/>
                <w:szCs w:val="20"/>
                <w:vertAlign w:val="superscript"/>
              </w:rPr>
              <w:t>FDA/HC</w:t>
            </w:r>
          </w:p>
        </w:tc>
        <w:tc>
          <w:tcPr>
            <w:tcW w:w="1350" w:type="dxa"/>
            <w:shd w:val="clear" w:color="auto" w:fill="D3DFEE"/>
            <w:vAlign w:val="center"/>
          </w:tcPr>
          <w:p w14:paraId="7A08AA4D" w14:textId="77777777" w:rsidR="002D58E4" w:rsidRDefault="00F721D4">
            <w:pPr>
              <w:rPr>
                <w:sz w:val="20"/>
                <w:szCs w:val="20"/>
              </w:rPr>
            </w:pPr>
            <w:r>
              <w:rPr>
                <w:sz w:val="20"/>
                <w:szCs w:val="20"/>
              </w:rPr>
              <w:t>3 (6)</w:t>
            </w:r>
          </w:p>
        </w:tc>
        <w:tc>
          <w:tcPr>
            <w:tcW w:w="2160" w:type="dxa"/>
            <w:shd w:val="clear" w:color="auto" w:fill="D3DFEE"/>
            <w:vAlign w:val="center"/>
          </w:tcPr>
          <w:p w14:paraId="397A49A1" w14:textId="77777777" w:rsidR="002D58E4" w:rsidRDefault="00F721D4">
            <w:pPr>
              <w:rPr>
                <w:sz w:val="20"/>
                <w:szCs w:val="20"/>
              </w:rPr>
            </w:pPr>
            <w:r>
              <w:rPr>
                <w:sz w:val="20"/>
                <w:szCs w:val="20"/>
              </w:rPr>
              <w:t>65.0 (47.3, 79.4)</w:t>
            </w:r>
          </w:p>
        </w:tc>
        <w:tc>
          <w:tcPr>
            <w:tcW w:w="2340" w:type="dxa"/>
            <w:shd w:val="clear" w:color="auto" w:fill="D3DFEE"/>
            <w:vAlign w:val="center"/>
          </w:tcPr>
          <w:p w14:paraId="2367707E" w14:textId="77777777" w:rsidR="002D58E4" w:rsidRDefault="00F721D4">
            <w:pPr>
              <w:rPr>
                <w:sz w:val="20"/>
                <w:szCs w:val="20"/>
              </w:rPr>
            </w:pPr>
            <w:r>
              <w:rPr>
                <w:sz w:val="20"/>
                <w:szCs w:val="20"/>
              </w:rPr>
              <w:t>94.5 (89.7, 97.3)</w:t>
            </w:r>
          </w:p>
        </w:tc>
      </w:tr>
      <w:tr w:rsidR="002D58E4" w14:paraId="1CFA18DF" w14:textId="77777777">
        <w:trPr>
          <w:trHeight w:val="160"/>
        </w:trPr>
        <w:tc>
          <w:tcPr>
            <w:tcW w:w="5355" w:type="dxa"/>
            <w:vAlign w:val="center"/>
          </w:tcPr>
          <w:p w14:paraId="644EA379" w14:textId="77777777" w:rsidR="002D58E4" w:rsidRDefault="00F721D4">
            <w:pPr>
              <w:jc w:val="right"/>
              <w:rPr>
                <w:sz w:val="20"/>
                <w:szCs w:val="20"/>
              </w:rPr>
            </w:pPr>
            <w:r>
              <w:rPr>
                <w:sz w:val="20"/>
                <w:szCs w:val="20"/>
              </w:rPr>
              <w:t>In house</w:t>
            </w:r>
          </w:p>
        </w:tc>
        <w:tc>
          <w:tcPr>
            <w:tcW w:w="1350" w:type="dxa"/>
            <w:vAlign w:val="center"/>
          </w:tcPr>
          <w:p w14:paraId="37E25018" w14:textId="77777777" w:rsidR="002D58E4" w:rsidRDefault="00F721D4">
            <w:pPr>
              <w:rPr>
                <w:sz w:val="20"/>
                <w:szCs w:val="20"/>
              </w:rPr>
            </w:pPr>
            <w:r>
              <w:rPr>
                <w:sz w:val="20"/>
                <w:szCs w:val="20"/>
              </w:rPr>
              <w:t>3 (4)</w:t>
            </w:r>
          </w:p>
        </w:tc>
        <w:tc>
          <w:tcPr>
            <w:tcW w:w="2160" w:type="dxa"/>
            <w:vAlign w:val="center"/>
          </w:tcPr>
          <w:p w14:paraId="00277B38" w14:textId="77777777" w:rsidR="002D58E4" w:rsidRDefault="00F721D4">
            <w:pPr>
              <w:rPr>
                <w:sz w:val="20"/>
                <w:szCs w:val="20"/>
              </w:rPr>
            </w:pPr>
            <w:r>
              <w:rPr>
                <w:sz w:val="20"/>
                <w:szCs w:val="20"/>
              </w:rPr>
              <w:t>94.0 (54.0,100)</w:t>
            </w:r>
          </w:p>
        </w:tc>
        <w:tc>
          <w:tcPr>
            <w:tcW w:w="2340" w:type="dxa"/>
            <w:vAlign w:val="center"/>
          </w:tcPr>
          <w:p w14:paraId="05AEC64D" w14:textId="77777777" w:rsidR="002D58E4" w:rsidRDefault="00F721D4">
            <w:pPr>
              <w:rPr>
                <w:sz w:val="20"/>
                <w:szCs w:val="20"/>
              </w:rPr>
            </w:pPr>
            <w:r>
              <w:rPr>
                <w:sz w:val="20"/>
                <w:szCs w:val="20"/>
              </w:rPr>
              <w:t>61.0 (53.0,69.0)</w:t>
            </w:r>
          </w:p>
        </w:tc>
      </w:tr>
      <w:tr w:rsidR="002D58E4" w14:paraId="49033641" w14:textId="77777777">
        <w:tc>
          <w:tcPr>
            <w:tcW w:w="5355" w:type="dxa"/>
            <w:shd w:val="clear" w:color="auto" w:fill="D3DFEE"/>
            <w:vAlign w:val="center"/>
          </w:tcPr>
          <w:p w14:paraId="4198DAE5" w14:textId="77777777" w:rsidR="002D58E4" w:rsidRDefault="00F721D4">
            <w:pPr>
              <w:rPr>
                <w:sz w:val="20"/>
                <w:szCs w:val="20"/>
              </w:rPr>
            </w:pPr>
            <w:r>
              <w:rPr>
                <w:sz w:val="20"/>
                <w:szCs w:val="20"/>
              </w:rPr>
              <w:t xml:space="preserve">Liason System </w:t>
            </w:r>
            <w:r>
              <w:rPr>
                <w:i/>
                <w:sz w:val="20"/>
                <w:szCs w:val="20"/>
              </w:rPr>
              <w:t>Borrelia Burgdorferi</w:t>
            </w:r>
            <w:r>
              <w:rPr>
                <w:sz w:val="20"/>
                <w:szCs w:val="20"/>
              </w:rPr>
              <w:t xml:space="preserve"> (diasorin)</w:t>
            </w:r>
            <w:r>
              <w:rPr>
                <w:sz w:val="20"/>
                <w:szCs w:val="20"/>
                <w:vertAlign w:val="superscript"/>
              </w:rPr>
              <w:t>FDA/HC</w:t>
            </w:r>
          </w:p>
        </w:tc>
        <w:tc>
          <w:tcPr>
            <w:tcW w:w="1350" w:type="dxa"/>
            <w:shd w:val="clear" w:color="auto" w:fill="D3DFEE"/>
            <w:vAlign w:val="center"/>
          </w:tcPr>
          <w:p w14:paraId="20125979" w14:textId="77777777" w:rsidR="002D58E4" w:rsidRDefault="00F721D4">
            <w:pPr>
              <w:rPr>
                <w:sz w:val="20"/>
                <w:szCs w:val="20"/>
              </w:rPr>
            </w:pPr>
            <w:r>
              <w:rPr>
                <w:sz w:val="20"/>
                <w:szCs w:val="20"/>
              </w:rPr>
              <w:t>1 (1)</w:t>
            </w:r>
          </w:p>
        </w:tc>
        <w:tc>
          <w:tcPr>
            <w:tcW w:w="2160" w:type="dxa"/>
            <w:shd w:val="clear" w:color="auto" w:fill="D3DFEE"/>
            <w:vAlign w:val="center"/>
          </w:tcPr>
          <w:p w14:paraId="7AFF43AE" w14:textId="77777777" w:rsidR="002D58E4" w:rsidRDefault="00F721D4">
            <w:pPr>
              <w:rPr>
                <w:sz w:val="20"/>
                <w:szCs w:val="20"/>
              </w:rPr>
            </w:pPr>
            <w:r>
              <w:rPr>
                <w:sz w:val="20"/>
                <w:szCs w:val="20"/>
              </w:rPr>
              <w:t>64.4</w:t>
            </w:r>
            <w:r>
              <w:rPr>
                <w:sz w:val="20"/>
                <w:szCs w:val="20"/>
                <w:vertAlign w:val="superscript"/>
              </w:rPr>
              <w:t>ǂ</w:t>
            </w:r>
          </w:p>
        </w:tc>
        <w:tc>
          <w:tcPr>
            <w:tcW w:w="2340" w:type="dxa"/>
            <w:shd w:val="clear" w:color="auto" w:fill="D3DFEE"/>
            <w:vAlign w:val="center"/>
          </w:tcPr>
          <w:p w14:paraId="2DD46A6A" w14:textId="77777777" w:rsidR="002D58E4" w:rsidRDefault="00F721D4">
            <w:pPr>
              <w:rPr>
                <w:sz w:val="20"/>
                <w:szCs w:val="20"/>
              </w:rPr>
            </w:pPr>
            <w:r>
              <w:rPr>
                <w:sz w:val="20"/>
                <w:szCs w:val="20"/>
              </w:rPr>
              <w:t>98.0</w:t>
            </w:r>
            <w:r>
              <w:rPr>
                <w:sz w:val="20"/>
                <w:szCs w:val="20"/>
                <w:vertAlign w:val="superscript"/>
              </w:rPr>
              <w:t>ǂ</w:t>
            </w:r>
          </w:p>
        </w:tc>
      </w:tr>
      <w:tr w:rsidR="002D58E4" w14:paraId="457FCF94" w14:textId="77777777">
        <w:tc>
          <w:tcPr>
            <w:tcW w:w="5355" w:type="dxa"/>
            <w:vAlign w:val="center"/>
          </w:tcPr>
          <w:p w14:paraId="1B453BF9" w14:textId="77777777" w:rsidR="002D58E4" w:rsidRDefault="00F721D4">
            <w:pPr>
              <w:jc w:val="right"/>
              <w:rPr>
                <w:sz w:val="20"/>
                <w:szCs w:val="20"/>
              </w:rPr>
            </w:pPr>
            <w:r>
              <w:rPr>
                <w:sz w:val="20"/>
                <w:szCs w:val="20"/>
              </w:rPr>
              <w:t>ELISA–Osp A-F targets in house</w:t>
            </w:r>
          </w:p>
        </w:tc>
        <w:tc>
          <w:tcPr>
            <w:tcW w:w="1350" w:type="dxa"/>
            <w:vAlign w:val="center"/>
          </w:tcPr>
          <w:p w14:paraId="4A1A8990" w14:textId="77777777" w:rsidR="002D58E4" w:rsidRDefault="00F721D4">
            <w:pPr>
              <w:rPr>
                <w:sz w:val="20"/>
                <w:szCs w:val="20"/>
              </w:rPr>
            </w:pPr>
            <w:r>
              <w:rPr>
                <w:sz w:val="20"/>
                <w:szCs w:val="20"/>
              </w:rPr>
              <w:t>6 (22)</w:t>
            </w:r>
          </w:p>
        </w:tc>
        <w:tc>
          <w:tcPr>
            <w:tcW w:w="2160" w:type="dxa"/>
            <w:vAlign w:val="center"/>
          </w:tcPr>
          <w:p w14:paraId="771C2570" w14:textId="77777777" w:rsidR="002D58E4" w:rsidRDefault="00F721D4">
            <w:pPr>
              <w:rPr>
                <w:sz w:val="20"/>
                <w:szCs w:val="20"/>
              </w:rPr>
            </w:pPr>
            <w:r>
              <w:rPr>
                <w:sz w:val="20"/>
                <w:szCs w:val="20"/>
              </w:rPr>
              <w:t>33.3 (19.3, 51.1)</w:t>
            </w:r>
          </w:p>
        </w:tc>
        <w:tc>
          <w:tcPr>
            <w:tcW w:w="2340" w:type="dxa"/>
            <w:vAlign w:val="center"/>
          </w:tcPr>
          <w:p w14:paraId="0DD52883" w14:textId="77777777" w:rsidR="002D58E4" w:rsidRDefault="00F721D4">
            <w:pPr>
              <w:rPr>
                <w:sz w:val="20"/>
                <w:szCs w:val="20"/>
              </w:rPr>
            </w:pPr>
            <w:r>
              <w:rPr>
                <w:sz w:val="20"/>
                <w:szCs w:val="20"/>
              </w:rPr>
              <w:t>97.5 (94.8, 98.9)</w:t>
            </w:r>
          </w:p>
        </w:tc>
      </w:tr>
      <w:tr w:rsidR="002D58E4" w14:paraId="45BB0E95" w14:textId="77777777">
        <w:tc>
          <w:tcPr>
            <w:tcW w:w="5355" w:type="dxa"/>
            <w:shd w:val="clear" w:color="auto" w:fill="D3DFEE"/>
            <w:vAlign w:val="center"/>
          </w:tcPr>
          <w:p w14:paraId="534B3E20" w14:textId="77777777" w:rsidR="002D58E4" w:rsidRDefault="00F721D4">
            <w:pPr>
              <w:jc w:val="right"/>
              <w:rPr>
                <w:sz w:val="20"/>
                <w:szCs w:val="20"/>
              </w:rPr>
            </w:pPr>
            <w:r>
              <w:rPr>
                <w:sz w:val="20"/>
                <w:szCs w:val="20"/>
              </w:rPr>
              <w:t>PEG peptide–ELISA in house</w:t>
            </w:r>
          </w:p>
        </w:tc>
        <w:tc>
          <w:tcPr>
            <w:tcW w:w="1350" w:type="dxa"/>
            <w:shd w:val="clear" w:color="auto" w:fill="D3DFEE"/>
            <w:vAlign w:val="center"/>
          </w:tcPr>
          <w:p w14:paraId="089B37E8" w14:textId="77777777" w:rsidR="002D58E4" w:rsidRDefault="00F721D4">
            <w:pPr>
              <w:rPr>
                <w:sz w:val="20"/>
                <w:szCs w:val="20"/>
              </w:rPr>
            </w:pPr>
            <w:r>
              <w:rPr>
                <w:sz w:val="20"/>
                <w:szCs w:val="20"/>
              </w:rPr>
              <w:t>1 (1)</w:t>
            </w:r>
          </w:p>
        </w:tc>
        <w:tc>
          <w:tcPr>
            <w:tcW w:w="2160" w:type="dxa"/>
            <w:shd w:val="clear" w:color="auto" w:fill="D3DFEE"/>
            <w:vAlign w:val="center"/>
          </w:tcPr>
          <w:p w14:paraId="45BC706F" w14:textId="77777777" w:rsidR="002D58E4" w:rsidRDefault="00F721D4">
            <w:pPr>
              <w:rPr>
                <w:sz w:val="20"/>
                <w:szCs w:val="20"/>
              </w:rPr>
            </w:pPr>
            <w:r>
              <w:rPr>
                <w:sz w:val="20"/>
                <w:szCs w:val="20"/>
              </w:rPr>
              <w:t>100</w:t>
            </w:r>
            <w:r>
              <w:rPr>
                <w:sz w:val="20"/>
                <w:szCs w:val="20"/>
                <w:vertAlign w:val="superscript"/>
              </w:rPr>
              <w:t>ǂ</w:t>
            </w:r>
          </w:p>
        </w:tc>
        <w:tc>
          <w:tcPr>
            <w:tcW w:w="2340" w:type="dxa"/>
            <w:shd w:val="clear" w:color="auto" w:fill="D3DFEE"/>
            <w:vAlign w:val="center"/>
          </w:tcPr>
          <w:p w14:paraId="69323228" w14:textId="77777777" w:rsidR="002D58E4" w:rsidRDefault="00F721D4">
            <w:pPr>
              <w:rPr>
                <w:sz w:val="20"/>
                <w:szCs w:val="20"/>
              </w:rPr>
            </w:pPr>
            <w:r>
              <w:rPr>
                <w:sz w:val="20"/>
                <w:szCs w:val="20"/>
              </w:rPr>
              <w:t>100</w:t>
            </w:r>
            <w:r>
              <w:rPr>
                <w:sz w:val="20"/>
                <w:szCs w:val="20"/>
                <w:vertAlign w:val="superscript"/>
              </w:rPr>
              <w:t>ǂ</w:t>
            </w:r>
          </w:p>
        </w:tc>
      </w:tr>
      <w:tr w:rsidR="002D58E4" w14:paraId="15EC6494" w14:textId="77777777">
        <w:tc>
          <w:tcPr>
            <w:tcW w:w="5355" w:type="dxa"/>
            <w:vAlign w:val="center"/>
          </w:tcPr>
          <w:p w14:paraId="342B531B" w14:textId="77777777" w:rsidR="002D58E4" w:rsidRDefault="00F721D4">
            <w:pPr>
              <w:jc w:val="right"/>
              <w:rPr>
                <w:sz w:val="20"/>
                <w:szCs w:val="20"/>
              </w:rPr>
            </w:pPr>
            <w:r>
              <w:rPr>
                <w:sz w:val="20"/>
                <w:szCs w:val="20"/>
              </w:rPr>
              <w:t>IHA (B126 or B31) in house</w:t>
            </w:r>
          </w:p>
        </w:tc>
        <w:tc>
          <w:tcPr>
            <w:tcW w:w="1350" w:type="dxa"/>
            <w:vAlign w:val="center"/>
          </w:tcPr>
          <w:p w14:paraId="7D1FF8A3" w14:textId="77777777" w:rsidR="002D58E4" w:rsidRDefault="00F721D4">
            <w:pPr>
              <w:rPr>
                <w:sz w:val="20"/>
                <w:szCs w:val="20"/>
              </w:rPr>
            </w:pPr>
            <w:r>
              <w:rPr>
                <w:sz w:val="20"/>
                <w:szCs w:val="20"/>
              </w:rPr>
              <w:t>1 (2)</w:t>
            </w:r>
          </w:p>
        </w:tc>
        <w:tc>
          <w:tcPr>
            <w:tcW w:w="2160" w:type="dxa"/>
            <w:vAlign w:val="center"/>
          </w:tcPr>
          <w:p w14:paraId="4E929082" w14:textId="77777777" w:rsidR="002D58E4" w:rsidRDefault="00F721D4">
            <w:pPr>
              <w:rPr>
                <w:sz w:val="20"/>
                <w:szCs w:val="20"/>
              </w:rPr>
            </w:pPr>
            <w:r>
              <w:rPr>
                <w:sz w:val="20"/>
                <w:szCs w:val="20"/>
              </w:rPr>
              <w:t>46–48</w:t>
            </w:r>
            <w:r>
              <w:rPr>
                <w:sz w:val="20"/>
                <w:szCs w:val="20"/>
                <w:vertAlign w:val="superscript"/>
              </w:rPr>
              <w:t>ǂ</w:t>
            </w:r>
          </w:p>
        </w:tc>
        <w:tc>
          <w:tcPr>
            <w:tcW w:w="2340" w:type="dxa"/>
            <w:vAlign w:val="center"/>
          </w:tcPr>
          <w:p w14:paraId="67BE987A" w14:textId="77777777" w:rsidR="002D58E4" w:rsidRDefault="00F721D4">
            <w:pPr>
              <w:rPr>
                <w:sz w:val="20"/>
                <w:szCs w:val="20"/>
              </w:rPr>
            </w:pPr>
            <w:r>
              <w:rPr>
                <w:sz w:val="20"/>
                <w:szCs w:val="20"/>
              </w:rPr>
              <w:t>98–99</w:t>
            </w:r>
            <w:r>
              <w:rPr>
                <w:sz w:val="20"/>
                <w:szCs w:val="20"/>
                <w:vertAlign w:val="superscript"/>
              </w:rPr>
              <w:t>ǂ</w:t>
            </w:r>
          </w:p>
        </w:tc>
      </w:tr>
      <w:tr w:rsidR="002D58E4" w14:paraId="3BC8BCE7" w14:textId="77777777">
        <w:tc>
          <w:tcPr>
            <w:tcW w:w="5355" w:type="dxa"/>
            <w:shd w:val="clear" w:color="auto" w:fill="D3DFEE"/>
            <w:vAlign w:val="center"/>
          </w:tcPr>
          <w:p w14:paraId="28DB3698" w14:textId="77777777" w:rsidR="002D58E4" w:rsidRDefault="00F721D4">
            <w:pPr>
              <w:jc w:val="right"/>
              <w:rPr>
                <w:sz w:val="20"/>
                <w:szCs w:val="20"/>
              </w:rPr>
            </w:pPr>
            <w:r>
              <w:rPr>
                <w:sz w:val="20"/>
                <w:szCs w:val="20"/>
              </w:rPr>
              <w:t>BAT (B297 or 50772) in house</w:t>
            </w:r>
          </w:p>
        </w:tc>
        <w:tc>
          <w:tcPr>
            <w:tcW w:w="1350" w:type="dxa"/>
            <w:shd w:val="clear" w:color="auto" w:fill="D3DFEE"/>
            <w:vAlign w:val="center"/>
          </w:tcPr>
          <w:p w14:paraId="7CCA1ADD" w14:textId="77777777" w:rsidR="002D58E4" w:rsidRDefault="00F721D4">
            <w:pPr>
              <w:rPr>
                <w:sz w:val="20"/>
                <w:szCs w:val="20"/>
              </w:rPr>
            </w:pPr>
            <w:r>
              <w:rPr>
                <w:sz w:val="20"/>
                <w:szCs w:val="20"/>
              </w:rPr>
              <w:t>1 (1)</w:t>
            </w:r>
          </w:p>
        </w:tc>
        <w:tc>
          <w:tcPr>
            <w:tcW w:w="2160" w:type="dxa"/>
            <w:shd w:val="clear" w:color="auto" w:fill="D3DFEE"/>
            <w:vAlign w:val="center"/>
          </w:tcPr>
          <w:p w14:paraId="70759295" w14:textId="77777777" w:rsidR="002D58E4" w:rsidRDefault="00F721D4">
            <w:pPr>
              <w:rPr>
                <w:sz w:val="20"/>
                <w:szCs w:val="20"/>
              </w:rPr>
            </w:pPr>
            <w:r>
              <w:rPr>
                <w:sz w:val="20"/>
                <w:szCs w:val="20"/>
              </w:rPr>
              <w:t>72</w:t>
            </w:r>
            <w:r>
              <w:rPr>
                <w:sz w:val="20"/>
                <w:szCs w:val="20"/>
                <w:vertAlign w:val="superscript"/>
              </w:rPr>
              <w:t>ǂ</w:t>
            </w:r>
          </w:p>
        </w:tc>
        <w:tc>
          <w:tcPr>
            <w:tcW w:w="2340" w:type="dxa"/>
            <w:shd w:val="clear" w:color="auto" w:fill="D3DFEE"/>
            <w:vAlign w:val="center"/>
          </w:tcPr>
          <w:p w14:paraId="69855989" w14:textId="77777777" w:rsidR="002D58E4" w:rsidRDefault="00F721D4">
            <w:pPr>
              <w:rPr>
                <w:sz w:val="20"/>
                <w:szCs w:val="20"/>
              </w:rPr>
            </w:pPr>
            <w:r>
              <w:rPr>
                <w:sz w:val="20"/>
                <w:szCs w:val="20"/>
              </w:rPr>
              <w:t>99</w:t>
            </w:r>
            <w:r>
              <w:rPr>
                <w:sz w:val="20"/>
                <w:szCs w:val="20"/>
                <w:vertAlign w:val="superscript"/>
              </w:rPr>
              <w:t>ǂ</w:t>
            </w:r>
          </w:p>
        </w:tc>
      </w:tr>
      <w:tr w:rsidR="002D58E4" w14:paraId="17DD8792" w14:textId="77777777">
        <w:trPr>
          <w:trHeight w:val="240"/>
        </w:trPr>
        <w:tc>
          <w:tcPr>
            <w:tcW w:w="5355" w:type="dxa"/>
            <w:shd w:val="clear" w:color="auto" w:fill="A6A6A6"/>
            <w:vAlign w:val="center"/>
          </w:tcPr>
          <w:p w14:paraId="1F03C57C" w14:textId="77777777" w:rsidR="002D58E4" w:rsidRDefault="00F721D4">
            <w:pPr>
              <w:rPr>
                <w:sz w:val="20"/>
                <w:szCs w:val="20"/>
              </w:rPr>
            </w:pPr>
            <w:r>
              <w:rPr>
                <w:b/>
                <w:sz w:val="20"/>
                <w:szCs w:val="20"/>
              </w:rPr>
              <w:t>Western blots (Marblot/ GenBio)</w:t>
            </w:r>
            <w:hyperlink r:id="rId24" w:anchor="t008fn002">
              <w:r>
                <w:rPr>
                  <w:b/>
                  <w:color w:val="0000FF"/>
                  <w:sz w:val="20"/>
                  <w:szCs w:val="20"/>
                  <w:u w:val="single"/>
                  <w:vertAlign w:val="superscript"/>
                </w:rPr>
                <w:t>*</w:t>
              </w:r>
            </w:hyperlink>
          </w:p>
        </w:tc>
        <w:tc>
          <w:tcPr>
            <w:tcW w:w="1350" w:type="dxa"/>
            <w:shd w:val="clear" w:color="auto" w:fill="A6A6A6"/>
            <w:vAlign w:val="center"/>
          </w:tcPr>
          <w:p w14:paraId="6EBBD82C" w14:textId="77777777" w:rsidR="002D58E4" w:rsidRDefault="00F721D4">
            <w:pPr>
              <w:rPr>
                <w:sz w:val="20"/>
                <w:szCs w:val="20"/>
              </w:rPr>
            </w:pPr>
            <w:r>
              <w:rPr>
                <w:b/>
                <w:sz w:val="20"/>
                <w:szCs w:val="20"/>
              </w:rPr>
              <w:t>4 (8)</w:t>
            </w:r>
          </w:p>
        </w:tc>
        <w:tc>
          <w:tcPr>
            <w:tcW w:w="2160" w:type="dxa"/>
            <w:shd w:val="clear" w:color="auto" w:fill="A6A6A6"/>
            <w:vAlign w:val="center"/>
          </w:tcPr>
          <w:p w14:paraId="3760FDAE" w14:textId="77777777" w:rsidR="002D58E4" w:rsidRDefault="00F721D4">
            <w:pPr>
              <w:rPr>
                <w:sz w:val="20"/>
                <w:szCs w:val="20"/>
              </w:rPr>
            </w:pPr>
            <w:r>
              <w:rPr>
                <w:b/>
                <w:sz w:val="20"/>
                <w:szCs w:val="20"/>
              </w:rPr>
              <w:t>60.6 (42.7, 76.0)</w:t>
            </w:r>
          </w:p>
        </w:tc>
        <w:tc>
          <w:tcPr>
            <w:tcW w:w="2340" w:type="dxa"/>
            <w:shd w:val="clear" w:color="auto" w:fill="A6A6A6"/>
            <w:vAlign w:val="center"/>
          </w:tcPr>
          <w:p w14:paraId="1EF0D30E" w14:textId="77777777" w:rsidR="002D58E4" w:rsidRDefault="00F721D4">
            <w:pPr>
              <w:rPr>
                <w:sz w:val="20"/>
                <w:szCs w:val="20"/>
              </w:rPr>
            </w:pPr>
            <w:r>
              <w:rPr>
                <w:b/>
                <w:sz w:val="20"/>
                <w:szCs w:val="20"/>
              </w:rPr>
              <w:t>96.8 (91.9, 98.7)</w:t>
            </w:r>
          </w:p>
        </w:tc>
      </w:tr>
      <w:tr w:rsidR="002D58E4" w14:paraId="34C57956" w14:textId="77777777">
        <w:trPr>
          <w:trHeight w:val="200"/>
        </w:trPr>
        <w:tc>
          <w:tcPr>
            <w:tcW w:w="5355" w:type="dxa"/>
            <w:shd w:val="clear" w:color="auto" w:fill="BFBFBF"/>
            <w:vAlign w:val="center"/>
          </w:tcPr>
          <w:p w14:paraId="28A6AA75" w14:textId="77777777" w:rsidR="002D58E4" w:rsidRDefault="00F721D4">
            <w:pPr>
              <w:rPr>
                <w:sz w:val="20"/>
                <w:szCs w:val="20"/>
              </w:rPr>
            </w:pPr>
            <w:r>
              <w:rPr>
                <w:b/>
                <w:sz w:val="20"/>
                <w:szCs w:val="20"/>
              </w:rPr>
              <w:t>Direct Detection</w:t>
            </w:r>
          </w:p>
        </w:tc>
        <w:tc>
          <w:tcPr>
            <w:tcW w:w="1350" w:type="dxa"/>
            <w:shd w:val="clear" w:color="auto" w:fill="BFBFBF"/>
            <w:vAlign w:val="center"/>
          </w:tcPr>
          <w:p w14:paraId="1CE609BF" w14:textId="77777777" w:rsidR="002D58E4" w:rsidRDefault="002D58E4">
            <w:pPr>
              <w:rPr>
                <w:sz w:val="20"/>
                <w:szCs w:val="20"/>
              </w:rPr>
            </w:pPr>
          </w:p>
        </w:tc>
        <w:tc>
          <w:tcPr>
            <w:tcW w:w="2160" w:type="dxa"/>
            <w:shd w:val="clear" w:color="auto" w:fill="BFBFBF"/>
            <w:vAlign w:val="center"/>
          </w:tcPr>
          <w:p w14:paraId="4010A38D" w14:textId="77777777" w:rsidR="002D58E4" w:rsidRDefault="002D58E4">
            <w:pPr>
              <w:rPr>
                <w:sz w:val="20"/>
                <w:szCs w:val="20"/>
              </w:rPr>
            </w:pPr>
          </w:p>
        </w:tc>
        <w:tc>
          <w:tcPr>
            <w:tcW w:w="2340" w:type="dxa"/>
            <w:shd w:val="clear" w:color="auto" w:fill="BFBFBF"/>
            <w:vAlign w:val="center"/>
          </w:tcPr>
          <w:p w14:paraId="595F36C8" w14:textId="77777777" w:rsidR="002D58E4" w:rsidRDefault="002D58E4">
            <w:pPr>
              <w:rPr>
                <w:sz w:val="20"/>
                <w:szCs w:val="20"/>
              </w:rPr>
            </w:pPr>
          </w:p>
        </w:tc>
      </w:tr>
      <w:tr w:rsidR="002D58E4" w14:paraId="4B37358A" w14:textId="77777777">
        <w:trPr>
          <w:trHeight w:val="80"/>
        </w:trPr>
        <w:tc>
          <w:tcPr>
            <w:tcW w:w="5355" w:type="dxa"/>
            <w:vAlign w:val="center"/>
          </w:tcPr>
          <w:p w14:paraId="16CCBA8D" w14:textId="77777777" w:rsidR="002D58E4" w:rsidRDefault="00F721D4">
            <w:pPr>
              <w:rPr>
                <w:sz w:val="20"/>
                <w:szCs w:val="20"/>
              </w:rPr>
            </w:pPr>
            <w:r>
              <w:rPr>
                <w:sz w:val="20"/>
                <w:szCs w:val="20"/>
              </w:rPr>
              <w:t>Culture biopsies</w:t>
            </w:r>
          </w:p>
        </w:tc>
        <w:tc>
          <w:tcPr>
            <w:tcW w:w="1350" w:type="dxa"/>
            <w:vAlign w:val="center"/>
          </w:tcPr>
          <w:p w14:paraId="471D72B0" w14:textId="77777777" w:rsidR="002D58E4" w:rsidRDefault="00F721D4">
            <w:pPr>
              <w:rPr>
                <w:sz w:val="20"/>
                <w:szCs w:val="20"/>
              </w:rPr>
            </w:pPr>
            <w:r>
              <w:rPr>
                <w:sz w:val="20"/>
                <w:szCs w:val="20"/>
              </w:rPr>
              <w:t>2 (2)</w:t>
            </w:r>
          </w:p>
        </w:tc>
        <w:tc>
          <w:tcPr>
            <w:tcW w:w="2160" w:type="dxa"/>
            <w:vAlign w:val="center"/>
          </w:tcPr>
          <w:p w14:paraId="4FC59E02" w14:textId="77777777" w:rsidR="002D58E4" w:rsidRDefault="00F721D4">
            <w:pPr>
              <w:rPr>
                <w:sz w:val="20"/>
                <w:szCs w:val="20"/>
              </w:rPr>
            </w:pPr>
            <w:r>
              <w:rPr>
                <w:sz w:val="20"/>
                <w:szCs w:val="20"/>
              </w:rPr>
              <w:t>61.8–80.8</w:t>
            </w:r>
            <w:r>
              <w:rPr>
                <w:sz w:val="20"/>
                <w:szCs w:val="20"/>
                <w:vertAlign w:val="superscript"/>
              </w:rPr>
              <w:t>ǂ</w:t>
            </w:r>
          </w:p>
        </w:tc>
        <w:tc>
          <w:tcPr>
            <w:tcW w:w="2340" w:type="dxa"/>
            <w:vAlign w:val="center"/>
          </w:tcPr>
          <w:p w14:paraId="6B4B84EC" w14:textId="77777777" w:rsidR="002D58E4" w:rsidRDefault="00F721D4">
            <w:pPr>
              <w:rPr>
                <w:sz w:val="20"/>
                <w:szCs w:val="20"/>
              </w:rPr>
            </w:pPr>
            <w:r>
              <w:rPr>
                <w:sz w:val="20"/>
                <w:szCs w:val="20"/>
              </w:rPr>
              <w:t>NA</w:t>
            </w:r>
          </w:p>
        </w:tc>
      </w:tr>
      <w:tr w:rsidR="002D58E4" w14:paraId="117A02A7" w14:textId="77777777">
        <w:tc>
          <w:tcPr>
            <w:tcW w:w="5355" w:type="dxa"/>
            <w:shd w:val="clear" w:color="auto" w:fill="D3DFEE"/>
            <w:vAlign w:val="center"/>
          </w:tcPr>
          <w:p w14:paraId="200DC6E0" w14:textId="77777777" w:rsidR="002D58E4" w:rsidRDefault="00F721D4">
            <w:pPr>
              <w:rPr>
                <w:sz w:val="20"/>
                <w:szCs w:val="20"/>
              </w:rPr>
            </w:pPr>
            <w:r>
              <w:rPr>
                <w:sz w:val="20"/>
                <w:szCs w:val="20"/>
              </w:rPr>
              <w:t>Culture blood</w:t>
            </w:r>
          </w:p>
        </w:tc>
        <w:tc>
          <w:tcPr>
            <w:tcW w:w="1350" w:type="dxa"/>
            <w:shd w:val="clear" w:color="auto" w:fill="D3DFEE"/>
            <w:vAlign w:val="center"/>
          </w:tcPr>
          <w:p w14:paraId="4B934DC0" w14:textId="77777777" w:rsidR="002D58E4" w:rsidRDefault="00F721D4">
            <w:pPr>
              <w:rPr>
                <w:sz w:val="20"/>
                <w:szCs w:val="20"/>
              </w:rPr>
            </w:pPr>
            <w:r>
              <w:rPr>
                <w:sz w:val="20"/>
                <w:szCs w:val="20"/>
              </w:rPr>
              <w:t>3 (3)</w:t>
            </w:r>
          </w:p>
        </w:tc>
        <w:tc>
          <w:tcPr>
            <w:tcW w:w="2160" w:type="dxa"/>
            <w:shd w:val="clear" w:color="auto" w:fill="D3DFEE"/>
            <w:vAlign w:val="center"/>
          </w:tcPr>
          <w:p w14:paraId="6D1A9870" w14:textId="77777777" w:rsidR="002D58E4" w:rsidRDefault="00F721D4">
            <w:pPr>
              <w:rPr>
                <w:sz w:val="20"/>
                <w:szCs w:val="20"/>
              </w:rPr>
            </w:pPr>
            <w:r>
              <w:rPr>
                <w:sz w:val="20"/>
                <w:szCs w:val="20"/>
              </w:rPr>
              <w:t>26.9–94</w:t>
            </w:r>
            <w:r>
              <w:rPr>
                <w:sz w:val="20"/>
                <w:szCs w:val="20"/>
                <w:vertAlign w:val="superscript"/>
              </w:rPr>
              <w:t>ǂ</w:t>
            </w:r>
          </w:p>
        </w:tc>
        <w:tc>
          <w:tcPr>
            <w:tcW w:w="2340" w:type="dxa"/>
            <w:shd w:val="clear" w:color="auto" w:fill="D3DFEE"/>
            <w:vAlign w:val="center"/>
          </w:tcPr>
          <w:p w14:paraId="3056EACA" w14:textId="77777777" w:rsidR="002D58E4" w:rsidRDefault="00F721D4">
            <w:pPr>
              <w:rPr>
                <w:sz w:val="20"/>
                <w:szCs w:val="20"/>
              </w:rPr>
            </w:pPr>
            <w:r>
              <w:rPr>
                <w:sz w:val="20"/>
                <w:szCs w:val="20"/>
              </w:rPr>
              <w:t>NA</w:t>
            </w:r>
          </w:p>
        </w:tc>
      </w:tr>
      <w:tr w:rsidR="002D58E4" w14:paraId="6695F0F2" w14:textId="77777777">
        <w:tc>
          <w:tcPr>
            <w:tcW w:w="5355" w:type="dxa"/>
            <w:vAlign w:val="center"/>
          </w:tcPr>
          <w:p w14:paraId="10C48E26" w14:textId="77777777" w:rsidR="002D58E4" w:rsidRDefault="00F721D4">
            <w:pPr>
              <w:rPr>
                <w:sz w:val="20"/>
                <w:szCs w:val="20"/>
              </w:rPr>
            </w:pPr>
            <w:r>
              <w:rPr>
                <w:sz w:val="20"/>
                <w:szCs w:val="20"/>
              </w:rPr>
              <w:t>PCR biopsies</w:t>
            </w:r>
          </w:p>
        </w:tc>
        <w:tc>
          <w:tcPr>
            <w:tcW w:w="1350" w:type="dxa"/>
            <w:vAlign w:val="center"/>
          </w:tcPr>
          <w:p w14:paraId="5F8DF43C" w14:textId="77777777" w:rsidR="002D58E4" w:rsidRDefault="00F721D4">
            <w:pPr>
              <w:rPr>
                <w:sz w:val="20"/>
                <w:szCs w:val="20"/>
              </w:rPr>
            </w:pPr>
            <w:r>
              <w:rPr>
                <w:sz w:val="20"/>
                <w:szCs w:val="20"/>
              </w:rPr>
              <w:t>1 (1)</w:t>
            </w:r>
          </w:p>
        </w:tc>
        <w:tc>
          <w:tcPr>
            <w:tcW w:w="2160" w:type="dxa"/>
            <w:vAlign w:val="center"/>
          </w:tcPr>
          <w:p w14:paraId="63DF96FC" w14:textId="77777777" w:rsidR="002D58E4" w:rsidRDefault="00F721D4">
            <w:pPr>
              <w:rPr>
                <w:sz w:val="20"/>
                <w:szCs w:val="20"/>
              </w:rPr>
            </w:pPr>
            <w:r>
              <w:rPr>
                <w:sz w:val="20"/>
                <w:szCs w:val="20"/>
              </w:rPr>
              <w:t>42.6</w:t>
            </w:r>
            <w:r>
              <w:rPr>
                <w:sz w:val="20"/>
                <w:szCs w:val="20"/>
                <w:vertAlign w:val="superscript"/>
              </w:rPr>
              <w:t>ǂ</w:t>
            </w:r>
          </w:p>
        </w:tc>
        <w:tc>
          <w:tcPr>
            <w:tcW w:w="2340" w:type="dxa"/>
            <w:vAlign w:val="center"/>
          </w:tcPr>
          <w:p w14:paraId="13B01EB0" w14:textId="77777777" w:rsidR="002D58E4" w:rsidRDefault="00F721D4">
            <w:pPr>
              <w:rPr>
                <w:sz w:val="20"/>
                <w:szCs w:val="20"/>
              </w:rPr>
            </w:pPr>
            <w:r>
              <w:rPr>
                <w:sz w:val="20"/>
                <w:szCs w:val="20"/>
              </w:rPr>
              <w:t>NA</w:t>
            </w:r>
          </w:p>
        </w:tc>
      </w:tr>
      <w:tr w:rsidR="002D58E4" w14:paraId="74462BB5" w14:textId="77777777">
        <w:tc>
          <w:tcPr>
            <w:tcW w:w="5355" w:type="dxa"/>
            <w:shd w:val="clear" w:color="auto" w:fill="D3DFEE"/>
            <w:vAlign w:val="center"/>
          </w:tcPr>
          <w:p w14:paraId="214957CC" w14:textId="77777777" w:rsidR="002D58E4" w:rsidRDefault="00F721D4">
            <w:pPr>
              <w:rPr>
                <w:sz w:val="20"/>
                <w:szCs w:val="20"/>
              </w:rPr>
            </w:pPr>
            <w:r>
              <w:rPr>
                <w:sz w:val="20"/>
                <w:szCs w:val="20"/>
              </w:rPr>
              <w:t>PCR blood (serum/plasma)</w:t>
            </w:r>
          </w:p>
        </w:tc>
        <w:tc>
          <w:tcPr>
            <w:tcW w:w="1350" w:type="dxa"/>
            <w:shd w:val="clear" w:color="auto" w:fill="D3DFEE"/>
            <w:vAlign w:val="center"/>
          </w:tcPr>
          <w:p w14:paraId="15B9E575" w14:textId="77777777" w:rsidR="002D58E4" w:rsidRDefault="00F721D4">
            <w:pPr>
              <w:rPr>
                <w:sz w:val="20"/>
                <w:szCs w:val="20"/>
              </w:rPr>
            </w:pPr>
            <w:r>
              <w:rPr>
                <w:sz w:val="20"/>
                <w:szCs w:val="20"/>
              </w:rPr>
              <w:t>2 (3)</w:t>
            </w:r>
          </w:p>
        </w:tc>
        <w:tc>
          <w:tcPr>
            <w:tcW w:w="2160" w:type="dxa"/>
            <w:shd w:val="clear" w:color="auto" w:fill="D3DFEE"/>
            <w:vAlign w:val="center"/>
          </w:tcPr>
          <w:p w14:paraId="17A483C3" w14:textId="77777777" w:rsidR="002D58E4" w:rsidRDefault="00F721D4">
            <w:pPr>
              <w:rPr>
                <w:sz w:val="20"/>
                <w:szCs w:val="20"/>
              </w:rPr>
            </w:pPr>
            <w:r>
              <w:rPr>
                <w:sz w:val="20"/>
                <w:szCs w:val="20"/>
              </w:rPr>
              <w:t>33.8–62</w:t>
            </w:r>
            <w:r>
              <w:rPr>
                <w:sz w:val="20"/>
                <w:szCs w:val="20"/>
                <w:vertAlign w:val="superscript"/>
              </w:rPr>
              <w:t>ǂ</w:t>
            </w:r>
          </w:p>
        </w:tc>
        <w:tc>
          <w:tcPr>
            <w:tcW w:w="2340" w:type="dxa"/>
            <w:shd w:val="clear" w:color="auto" w:fill="D3DFEE"/>
            <w:vAlign w:val="center"/>
          </w:tcPr>
          <w:p w14:paraId="1D5F838B" w14:textId="77777777" w:rsidR="002D58E4" w:rsidRDefault="00F721D4">
            <w:pPr>
              <w:rPr>
                <w:sz w:val="20"/>
                <w:szCs w:val="20"/>
              </w:rPr>
            </w:pPr>
            <w:r>
              <w:rPr>
                <w:sz w:val="20"/>
                <w:szCs w:val="20"/>
              </w:rPr>
              <w:t>NA</w:t>
            </w:r>
          </w:p>
        </w:tc>
      </w:tr>
    </w:tbl>
    <w:p w14:paraId="4307B225" w14:textId="77777777" w:rsidR="002D58E4" w:rsidRDefault="00F721D4">
      <w:pPr>
        <w:spacing w:after="0" w:line="240" w:lineRule="auto"/>
        <w:ind w:left="144"/>
        <w:rPr>
          <w:sz w:val="18"/>
          <w:szCs w:val="18"/>
        </w:rPr>
      </w:pPr>
      <w:r>
        <w:rPr>
          <w:sz w:val="18"/>
          <w:szCs w:val="18"/>
        </w:rPr>
        <w:t>Sn estimate/ Sp estimate are from the meta-analysis bivariate model unless otherwise noted.</w:t>
      </w:r>
    </w:p>
    <w:p w14:paraId="194A04CB" w14:textId="77777777" w:rsidR="002D58E4" w:rsidRDefault="00F721D4">
      <w:pPr>
        <w:spacing w:after="0" w:line="240" w:lineRule="auto"/>
        <w:ind w:left="144"/>
        <w:rPr>
          <w:sz w:val="18"/>
          <w:szCs w:val="18"/>
        </w:rPr>
      </w:pPr>
      <w:r>
        <w:rPr>
          <w:sz w:val="18"/>
          <w:szCs w:val="18"/>
        </w:rPr>
        <w:t>* Summary sensitivity and specificity across all tests on early LD.</w:t>
      </w:r>
    </w:p>
    <w:p w14:paraId="47A6A0EF" w14:textId="77777777" w:rsidR="002D58E4" w:rsidRDefault="00F721D4">
      <w:pPr>
        <w:spacing w:after="0" w:line="240" w:lineRule="auto"/>
        <w:ind w:left="144"/>
        <w:rPr>
          <w:sz w:val="18"/>
          <w:szCs w:val="18"/>
        </w:rPr>
      </w:pPr>
      <w:r>
        <w:rPr>
          <w:sz w:val="18"/>
          <w:szCs w:val="18"/>
          <w:vertAlign w:val="superscript"/>
        </w:rPr>
        <w:t>ǂ</w:t>
      </w:r>
      <w:r>
        <w:rPr>
          <w:sz w:val="18"/>
          <w:szCs w:val="18"/>
        </w:rPr>
        <w:t xml:space="preserve"> Value or range of values for sensitivity and specificity as reported by the author.</w:t>
      </w:r>
    </w:p>
    <w:p w14:paraId="5E78CBB6" w14:textId="77777777" w:rsidR="002D58E4" w:rsidRDefault="00F721D4">
      <w:pPr>
        <w:spacing w:after="0" w:line="240" w:lineRule="auto"/>
        <w:ind w:left="144"/>
        <w:rPr>
          <w:sz w:val="18"/>
          <w:szCs w:val="18"/>
        </w:rPr>
      </w:pPr>
      <w:r>
        <w:rPr>
          <w:sz w:val="18"/>
          <w:szCs w:val="18"/>
        </w:rPr>
        <w:t>Sn = sensitivity, Sp = specificity, ELISA = enzyme-linked immunosorbent assay.</w:t>
      </w:r>
    </w:p>
    <w:p w14:paraId="5B2BEB9E" w14:textId="77777777" w:rsidR="002D58E4" w:rsidRDefault="00F721D4">
      <w:pPr>
        <w:spacing w:after="0" w:line="240" w:lineRule="auto"/>
        <w:ind w:left="144"/>
        <w:rPr>
          <w:sz w:val="18"/>
          <w:szCs w:val="18"/>
        </w:rPr>
      </w:pPr>
      <w:r>
        <w:rPr>
          <w:sz w:val="18"/>
          <w:szCs w:val="18"/>
          <w:vertAlign w:val="superscript"/>
        </w:rPr>
        <w:t>H</w:t>
      </w:r>
      <w:r>
        <w:rPr>
          <w:sz w:val="18"/>
          <w:szCs w:val="18"/>
        </w:rPr>
        <w:t xml:space="preserve"> Based on I</w:t>
      </w:r>
      <w:r>
        <w:rPr>
          <w:sz w:val="18"/>
          <w:szCs w:val="18"/>
          <w:vertAlign w:val="superscript"/>
        </w:rPr>
        <w:t>2</w:t>
      </w:r>
      <w:r>
        <w:rPr>
          <w:sz w:val="18"/>
          <w:szCs w:val="18"/>
        </w:rPr>
        <w:t>, a measure of between study heterogeneity, the heterogeneity in this group of studies was &lt;60%, thus considered to be homogenous.</w:t>
      </w:r>
    </w:p>
    <w:p w14:paraId="3EFAF8D2" w14:textId="77777777" w:rsidR="002D58E4" w:rsidRDefault="00F721D4">
      <w:pPr>
        <w:spacing w:after="0" w:line="240" w:lineRule="auto"/>
        <w:ind w:left="144"/>
        <w:rPr>
          <w:sz w:val="18"/>
          <w:szCs w:val="18"/>
        </w:rPr>
      </w:pPr>
      <w:r>
        <w:rPr>
          <w:sz w:val="18"/>
          <w:szCs w:val="18"/>
          <w:vertAlign w:val="superscript"/>
        </w:rPr>
        <w:t>FDA</w:t>
      </w:r>
      <w:r>
        <w:rPr>
          <w:sz w:val="18"/>
          <w:szCs w:val="18"/>
        </w:rPr>
        <w:t xml:space="preserve"> = Food and Drug Administration approved, </w:t>
      </w:r>
      <w:r>
        <w:rPr>
          <w:sz w:val="18"/>
          <w:szCs w:val="18"/>
          <w:vertAlign w:val="superscript"/>
        </w:rPr>
        <w:t>HC</w:t>
      </w:r>
      <w:r>
        <w:rPr>
          <w:sz w:val="18"/>
          <w:szCs w:val="18"/>
        </w:rPr>
        <w:t xml:space="preserve"> = Health Canada approved, </w:t>
      </w:r>
      <w:r>
        <w:rPr>
          <w:sz w:val="18"/>
          <w:szCs w:val="18"/>
          <w:vertAlign w:val="superscript"/>
        </w:rPr>
        <w:t>NC</w:t>
      </w:r>
      <w:r>
        <w:rPr>
          <w:sz w:val="18"/>
          <w:szCs w:val="18"/>
        </w:rPr>
        <w:t xml:space="preserve"> = non-commercial.</w:t>
      </w:r>
    </w:p>
    <w:p w14:paraId="3D2863C2" w14:textId="77777777" w:rsidR="002D58E4" w:rsidRDefault="00F721D4">
      <w:pPr>
        <w:spacing w:after="0" w:line="240" w:lineRule="auto"/>
        <w:ind w:left="144"/>
        <w:rPr>
          <w:sz w:val="18"/>
          <w:szCs w:val="18"/>
        </w:rPr>
      </w:pPr>
      <w:r>
        <w:rPr>
          <w:sz w:val="18"/>
          <w:szCs w:val="18"/>
        </w:rPr>
        <w:lastRenderedPageBreak/>
        <w:t xml:space="preserve">Vidas = Vidas Lyme Screen, Wampole = Wampole Bb (IgG/IgM) ELISA test system, Marblot = MarDx Lyme Disease (IgG and IgM) Marblot Strip Test System, Virablot = ViraMed Biotech </w:t>
      </w:r>
      <w:r>
        <w:rPr>
          <w:i/>
          <w:sz w:val="18"/>
          <w:szCs w:val="18"/>
        </w:rPr>
        <w:t>Borrelia</w:t>
      </w:r>
      <w:r>
        <w:rPr>
          <w:sz w:val="18"/>
          <w:szCs w:val="18"/>
        </w:rPr>
        <w:t xml:space="preserve"> B31 (IgG or IgM) Virablot, Immunetics C6 = Immunetics® C6 </w:t>
      </w:r>
      <w:r>
        <w:rPr>
          <w:i/>
          <w:sz w:val="18"/>
          <w:szCs w:val="18"/>
        </w:rPr>
        <w:t>B</w:t>
      </w:r>
      <w:r>
        <w:rPr>
          <w:sz w:val="18"/>
          <w:szCs w:val="18"/>
        </w:rPr>
        <w:t xml:space="preserve">. </w:t>
      </w:r>
      <w:r>
        <w:rPr>
          <w:i/>
          <w:sz w:val="18"/>
          <w:szCs w:val="18"/>
        </w:rPr>
        <w:t>burgdorferi</w:t>
      </w:r>
      <w:r>
        <w:rPr>
          <w:sz w:val="18"/>
          <w:szCs w:val="18"/>
        </w:rPr>
        <w:t xml:space="preserve"> ELISA™, Cambridge = Cambridge, Human Lyme EIA for detection of antibodies, IB = immunoblot, Zeus ELISA = Zeus Lyme IgG or IgM ELISA Test system, Zeus AtheNa = Zeus AtheNA Muti-Lyte test system, Liason = Liason </w:t>
      </w:r>
      <w:r>
        <w:rPr>
          <w:i/>
          <w:sz w:val="18"/>
          <w:szCs w:val="18"/>
        </w:rPr>
        <w:t>Borrelia</w:t>
      </w:r>
      <w:r>
        <w:rPr>
          <w:sz w:val="18"/>
          <w:szCs w:val="18"/>
        </w:rPr>
        <w:t xml:space="preserve"> IgG /IgM assay model 310870 (CLIA)</w:t>
      </w:r>
    </w:p>
    <w:p w14:paraId="5187F0A7" w14:textId="77777777" w:rsidR="002D58E4" w:rsidRDefault="00F721D4">
      <w:pPr>
        <w:spacing w:after="0" w:line="240" w:lineRule="auto"/>
        <w:ind w:left="144"/>
        <w:rPr>
          <w:sz w:val="18"/>
          <w:szCs w:val="18"/>
        </w:rPr>
      </w:pPr>
      <w:r>
        <w:rPr>
          <w:sz w:val="18"/>
          <w:szCs w:val="18"/>
        </w:rPr>
        <w:t>IHA = indirect hemagglutination antibody test, Osp = Outer surface protein.</w:t>
      </w:r>
    </w:p>
    <w:p w14:paraId="67281513" w14:textId="77777777" w:rsidR="002D58E4" w:rsidRDefault="00F721D4">
      <w:pPr>
        <w:spacing w:after="0" w:line="240" w:lineRule="auto"/>
        <w:ind w:left="144"/>
        <w:rPr>
          <w:sz w:val="18"/>
          <w:szCs w:val="18"/>
        </w:rPr>
      </w:pPr>
      <w:r>
        <w:rPr>
          <w:sz w:val="18"/>
          <w:szCs w:val="18"/>
        </w:rPr>
        <w:t>One study (1 line of data) was excluded from the analyses (Liang 1999, PMID: 10565920) because there was no specificity reported in the paper.</w:t>
      </w:r>
    </w:p>
    <w:p w14:paraId="07BD7503" w14:textId="77777777" w:rsidR="002D58E4" w:rsidRDefault="002D58E4"/>
    <w:p w14:paraId="0A3EB847" w14:textId="77777777" w:rsidR="002D58E4" w:rsidRDefault="00F721D4">
      <w:pPr>
        <w:keepNext/>
        <w:keepLines/>
        <w:spacing w:after="120"/>
        <w:rPr>
          <w:color w:val="2F5496"/>
        </w:rPr>
      </w:pPr>
      <w:r>
        <w:rPr>
          <w:color w:val="2F5496"/>
        </w:rPr>
        <w:t>Table I.2 (adapted from Table 3, Leeflang et al., 2016)</w:t>
      </w:r>
    </w:p>
    <w:p w14:paraId="23303A83" w14:textId="77777777" w:rsidR="002D58E4" w:rsidRDefault="00F721D4">
      <w:pPr>
        <w:spacing w:after="120" w:line="240" w:lineRule="auto"/>
        <w:rPr>
          <w:b/>
          <w:color w:val="C00000"/>
        </w:rPr>
      </w:pPr>
      <w:r>
        <w:rPr>
          <w:b/>
          <w:color w:val="C00000"/>
        </w:rPr>
        <w:t xml:space="preserve">Summary estimates of sensitivity and specificity for all case-definitions, derived from a hierarchical summary ROC model. </w:t>
      </w:r>
    </w:p>
    <w:tbl>
      <w:tblPr>
        <w:tblStyle w:val="ab"/>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137"/>
        <w:gridCol w:w="981"/>
        <w:gridCol w:w="2430"/>
        <w:gridCol w:w="1890"/>
        <w:gridCol w:w="1890"/>
        <w:gridCol w:w="2430"/>
        <w:gridCol w:w="1890"/>
      </w:tblGrid>
      <w:tr w:rsidR="002D58E4" w14:paraId="543CF06B" w14:textId="77777777">
        <w:trPr>
          <w:jc w:val="center"/>
        </w:trPr>
        <w:tc>
          <w:tcPr>
            <w:tcW w:w="1572" w:type="dxa"/>
            <w:shd w:val="clear" w:color="auto" w:fill="A6A6A6"/>
            <w:vAlign w:val="center"/>
          </w:tcPr>
          <w:p w14:paraId="0C416858" w14:textId="77777777" w:rsidR="002D58E4" w:rsidRDefault="00F721D4">
            <w:pPr>
              <w:jc w:val="center"/>
              <w:rPr>
                <w:b/>
                <w:sz w:val="20"/>
                <w:szCs w:val="20"/>
              </w:rPr>
            </w:pPr>
            <w:r>
              <w:rPr>
                <w:b/>
                <w:sz w:val="20"/>
                <w:szCs w:val="20"/>
              </w:rPr>
              <w:t>Case definition</w:t>
            </w:r>
          </w:p>
        </w:tc>
        <w:tc>
          <w:tcPr>
            <w:tcW w:w="1137" w:type="dxa"/>
            <w:shd w:val="clear" w:color="auto" w:fill="A6A6A6"/>
            <w:vAlign w:val="center"/>
          </w:tcPr>
          <w:p w14:paraId="444CA6A6" w14:textId="77777777" w:rsidR="002D58E4" w:rsidRDefault="00F721D4">
            <w:pPr>
              <w:jc w:val="center"/>
              <w:rPr>
                <w:b/>
                <w:sz w:val="20"/>
                <w:szCs w:val="20"/>
              </w:rPr>
            </w:pPr>
            <w:r>
              <w:rPr>
                <w:b/>
                <w:sz w:val="20"/>
                <w:szCs w:val="20"/>
              </w:rPr>
              <w:t>Assay</w:t>
            </w:r>
          </w:p>
        </w:tc>
        <w:tc>
          <w:tcPr>
            <w:tcW w:w="981" w:type="dxa"/>
            <w:shd w:val="clear" w:color="auto" w:fill="A6A6A6"/>
            <w:vAlign w:val="center"/>
          </w:tcPr>
          <w:p w14:paraId="4BA20E5D" w14:textId="77777777" w:rsidR="002D58E4" w:rsidRDefault="00F721D4">
            <w:pPr>
              <w:jc w:val="center"/>
              <w:rPr>
                <w:b/>
                <w:sz w:val="20"/>
                <w:szCs w:val="20"/>
              </w:rPr>
            </w:pPr>
            <w:r>
              <w:rPr>
                <w:b/>
                <w:sz w:val="20"/>
                <w:szCs w:val="20"/>
              </w:rPr>
              <w:t>Design</w:t>
            </w:r>
          </w:p>
        </w:tc>
        <w:tc>
          <w:tcPr>
            <w:tcW w:w="2430" w:type="dxa"/>
            <w:shd w:val="clear" w:color="auto" w:fill="A6A6A6"/>
            <w:vAlign w:val="center"/>
          </w:tcPr>
          <w:p w14:paraId="230DDA62" w14:textId="77777777" w:rsidR="002D58E4" w:rsidRDefault="00F721D4">
            <w:pPr>
              <w:jc w:val="center"/>
              <w:rPr>
                <w:b/>
                <w:sz w:val="20"/>
                <w:szCs w:val="20"/>
              </w:rPr>
            </w:pPr>
            <w:r>
              <w:rPr>
                <w:b/>
                <w:sz w:val="20"/>
                <w:szCs w:val="20"/>
              </w:rPr>
              <w:t>N (studies); N(2×2 tables); N(cases); N(controls)</w:t>
            </w:r>
          </w:p>
        </w:tc>
        <w:tc>
          <w:tcPr>
            <w:tcW w:w="1890" w:type="dxa"/>
            <w:shd w:val="clear" w:color="auto" w:fill="A6A6A6"/>
            <w:vAlign w:val="center"/>
          </w:tcPr>
          <w:p w14:paraId="657F97D9" w14:textId="77777777" w:rsidR="002D58E4" w:rsidRDefault="00F721D4">
            <w:pPr>
              <w:jc w:val="center"/>
              <w:rPr>
                <w:b/>
                <w:sz w:val="20"/>
                <w:szCs w:val="20"/>
              </w:rPr>
            </w:pPr>
            <w:r>
              <w:rPr>
                <w:b/>
                <w:sz w:val="20"/>
                <w:szCs w:val="20"/>
              </w:rPr>
              <w:t>Sensitivity (95 % CI)</w:t>
            </w:r>
          </w:p>
        </w:tc>
        <w:tc>
          <w:tcPr>
            <w:tcW w:w="1890" w:type="dxa"/>
            <w:shd w:val="clear" w:color="auto" w:fill="A6A6A6"/>
            <w:vAlign w:val="center"/>
          </w:tcPr>
          <w:p w14:paraId="6AF14D26" w14:textId="77777777" w:rsidR="002D58E4" w:rsidRDefault="00F721D4">
            <w:pPr>
              <w:jc w:val="center"/>
              <w:rPr>
                <w:b/>
                <w:sz w:val="20"/>
                <w:szCs w:val="20"/>
              </w:rPr>
            </w:pPr>
            <w:r>
              <w:rPr>
                <w:b/>
                <w:sz w:val="20"/>
                <w:szCs w:val="20"/>
              </w:rPr>
              <w:t>Specificity (95 % CI)</w:t>
            </w:r>
          </w:p>
        </w:tc>
        <w:tc>
          <w:tcPr>
            <w:tcW w:w="2430" w:type="dxa"/>
            <w:shd w:val="clear" w:color="auto" w:fill="A6A6A6"/>
            <w:vAlign w:val="center"/>
          </w:tcPr>
          <w:p w14:paraId="4629AB88" w14:textId="77777777" w:rsidR="002D58E4" w:rsidRDefault="00F721D4">
            <w:pPr>
              <w:jc w:val="center"/>
              <w:rPr>
                <w:b/>
                <w:sz w:val="20"/>
                <w:szCs w:val="20"/>
              </w:rPr>
            </w:pPr>
            <w:r>
              <w:rPr>
                <w:b/>
                <w:sz w:val="20"/>
                <w:szCs w:val="20"/>
              </w:rPr>
              <w:t>Heterogeneity</w:t>
            </w:r>
          </w:p>
        </w:tc>
        <w:tc>
          <w:tcPr>
            <w:tcW w:w="1890" w:type="dxa"/>
            <w:shd w:val="clear" w:color="auto" w:fill="A6A6A6"/>
            <w:vAlign w:val="center"/>
          </w:tcPr>
          <w:p w14:paraId="47A65CA5" w14:textId="77777777" w:rsidR="002D58E4" w:rsidRDefault="00F721D4">
            <w:pPr>
              <w:jc w:val="center"/>
              <w:rPr>
                <w:b/>
                <w:sz w:val="20"/>
                <w:szCs w:val="20"/>
              </w:rPr>
            </w:pPr>
            <w:r>
              <w:rPr>
                <w:b/>
                <w:sz w:val="20"/>
                <w:szCs w:val="20"/>
              </w:rPr>
              <w:t>Quality and Study Design</w:t>
            </w:r>
          </w:p>
        </w:tc>
      </w:tr>
      <w:tr w:rsidR="002D58E4" w14:paraId="74C17EC7" w14:textId="77777777">
        <w:trPr>
          <w:trHeight w:val="280"/>
          <w:jc w:val="center"/>
        </w:trPr>
        <w:tc>
          <w:tcPr>
            <w:tcW w:w="1572" w:type="dxa"/>
            <w:vMerge w:val="restart"/>
            <w:vAlign w:val="center"/>
          </w:tcPr>
          <w:p w14:paraId="40E027D7" w14:textId="77777777" w:rsidR="002D58E4" w:rsidRDefault="00F721D4">
            <w:pPr>
              <w:rPr>
                <w:b/>
                <w:i/>
                <w:sz w:val="20"/>
                <w:szCs w:val="20"/>
              </w:rPr>
            </w:pPr>
            <w:r>
              <w:rPr>
                <w:b/>
                <w:i/>
                <w:sz w:val="20"/>
                <w:szCs w:val="20"/>
              </w:rPr>
              <w:t>Erythema migrans</w:t>
            </w:r>
          </w:p>
        </w:tc>
        <w:tc>
          <w:tcPr>
            <w:tcW w:w="1137" w:type="dxa"/>
            <w:vAlign w:val="center"/>
          </w:tcPr>
          <w:p w14:paraId="72653D51" w14:textId="77777777" w:rsidR="002D58E4" w:rsidRDefault="00F721D4">
            <w:pPr>
              <w:rPr>
                <w:sz w:val="20"/>
                <w:szCs w:val="20"/>
              </w:rPr>
            </w:pPr>
            <w:r>
              <w:rPr>
                <w:sz w:val="20"/>
                <w:szCs w:val="20"/>
              </w:rPr>
              <w:t>In-house ELISA</w:t>
            </w:r>
          </w:p>
        </w:tc>
        <w:tc>
          <w:tcPr>
            <w:tcW w:w="981" w:type="dxa"/>
            <w:vMerge w:val="restart"/>
            <w:vAlign w:val="center"/>
          </w:tcPr>
          <w:p w14:paraId="30EE40F1" w14:textId="77777777" w:rsidR="002D58E4" w:rsidRDefault="00F721D4">
            <w:pPr>
              <w:rPr>
                <w:sz w:val="20"/>
                <w:szCs w:val="20"/>
              </w:rPr>
            </w:pPr>
            <w:r>
              <w:rPr>
                <w:sz w:val="20"/>
                <w:szCs w:val="20"/>
              </w:rPr>
              <w:t>Case-control, Healthy controls</w:t>
            </w:r>
          </w:p>
        </w:tc>
        <w:tc>
          <w:tcPr>
            <w:tcW w:w="2430" w:type="dxa"/>
            <w:vAlign w:val="center"/>
          </w:tcPr>
          <w:p w14:paraId="3F3E2269" w14:textId="77777777" w:rsidR="002D58E4" w:rsidRDefault="00F721D4">
            <w:pPr>
              <w:rPr>
                <w:sz w:val="20"/>
                <w:szCs w:val="20"/>
              </w:rPr>
            </w:pPr>
            <w:r>
              <w:rPr>
                <w:sz w:val="20"/>
                <w:szCs w:val="20"/>
              </w:rPr>
              <w:t>6, 10, 451, 658</w:t>
            </w:r>
          </w:p>
        </w:tc>
        <w:tc>
          <w:tcPr>
            <w:tcW w:w="1890" w:type="dxa"/>
            <w:vAlign w:val="center"/>
          </w:tcPr>
          <w:p w14:paraId="4DBAED36" w14:textId="77777777" w:rsidR="002D58E4" w:rsidRDefault="00F721D4">
            <w:pPr>
              <w:rPr>
                <w:sz w:val="20"/>
                <w:szCs w:val="20"/>
              </w:rPr>
            </w:pPr>
            <w:r>
              <w:rPr>
                <w:sz w:val="20"/>
                <w:szCs w:val="20"/>
              </w:rPr>
              <w:t>0•41 (0•25 to 0•60)</w:t>
            </w:r>
          </w:p>
        </w:tc>
        <w:tc>
          <w:tcPr>
            <w:tcW w:w="1890" w:type="dxa"/>
            <w:vAlign w:val="center"/>
          </w:tcPr>
          <w:p w14:paraId="172B0D02" w14:textId="77777777" w:rsidR="002D58E4" w:rsidRDefault="00F721D4">
            <w:pPr>
              <w:rPr>
                <w:sz w:val="20"/>
                <w:szCs w:val="20"/>
              </w:rPr>
            </w:pPr>
            <w:r>
              <w:rPr>
                <w:sz w:val="20"/>
                <w:szCs w:val="20"/>
              </w:rPr>
              <w:t>0•97 (0•95 to 0•98)</w:t>
            </w:r>
          </w:p>
        </w:tc>
        <w:tc>
          <w:tcPr>
            <w:tcW w:w="2430" w:type="dxa"/>
            <w:vMerge w:val="restart"/>
            <w:vAlign w:val="center"/>
          </w:tcPr>
          <w:p w14:paraId="699EB7C7" w14:textId="77777777" w:rsidR="002D58E4" w:rsidRDefault="00F721D4">
            <w:pPr>
              <w:rPr>
                <w:sz w:val="20"/>
                <w:szCs w:val="20"/>
              </w:rPr>
            </w:pPr>
            <w:r>
              <w:rPr>
                <w:sz w:val="20"/>
                <w:szCs w:val="20"/>
              </w:rPr>
              <w:t>IgG lower sensitivity than IgM. Other sources of heterogeneity were not found.</w:t>
            </w:r>
          </w:p>
        </w:tc>
        <w:tc>
          <w:tcPr>
            <w:tcW w:w="1890" w:type="dxa"/>
            <w:vMerge w:val="restart"/>
            <w:vAlign w:val="center"/>
          </w:tcPr>
          <w:p w14:paraId="08FD3406" w14:textId="77777777" w:rsidR="002D58E4" w:rsidRDefault="00F721D4">
            <w:pPr>
              <w:rPr>
                <w:sz w:val="20"/>
                <w:szCs w:val="20"/>
              </w:rPr>
            </w:pPr>
            <w:r>
              <w:rPr>
                <w:sz w:val="20"/>
                <w:szCs w:val="20"/>
              </w:rPr>
              <w:t>Study quality did not influence the accuracy</w:t>
            </w:r>
          </w:p>
        </w:tc>
      </w:tr>
      <w:tr w:rsidR="002D58E4" w14:paraId="0AFDEF22" w14:textId="77777777">
        <w:trPr>
          <w:trHeight w:val="280"/>
          <w:jc w:val="center"/>
        </w:trPr>
        <w:tc>
          <w:tcPr>
            <w:tcW w:w="1572" w:type="dxa"/>
            <w:vMerge/>
            <w:vAlign w:val="center"/>
          </w:tcPr>
          <w:p w14:paraId="3E2985C3" w14:textId="77777777" w:rsidR="002D58E4" w:rsidRDefault="002D58E4">
            <w:pPr>
              <w:widowControl w:val="0"/>
              <w:pBdr>
                <w:top w:val="nil"/>
                <w:left w:val="nil"/>
                <w:bottom w:val="nil"/>
                <w:right w:val="nil"/>
                <w:between w:val="nil"/>
              </w:pBdr>
              <w:spacing w:line="276" w:lineRule="auto"/>
              <w:rPr>
                <w:sz w:val="20"/>
                <w:szCs w:val="20"/>
              </w:rPr>
            </w:pPr>
          </w:p>
        </w:tc>
        <w:tc>
          <w:tcPr>
            <w:tcW w:w="1137" w:type="dxa"/>
            <w:vAlign w:val="center"/>
          </w:tcPr>
          <w:p w14:paraId="59FD7237" w14:textId="77777777" w:rsidR="002D58E4" w:rsidRDefault="00F721D4">
            <w:pPr>
              <w:rPr>
                <w:sz w:val="20"/>
                <w:szCs w:val="20"/>
              </w:rPr>
            </w:pPr>
            <w:r>
              <w:rPr>
                <w:sz w:val="20"/>
                <w:szCs w:val="20"/>
              </w:rPr>
              <w:t>In-house IB</w:t>
            </w:r>
          </w:p>
        </w:tc>
        <w:tc>
          <w:tcPr>
            <w:tcW w:w="981" w:type="dxa"/>
            <w:vMerge/>
            <w:vAlign w:val="center"/>
          </w:tcPr>
          <w:p w14:paraId="6B1382CB" w14:textId="77777777" w:rsidR="002D58E4" w:rsidRDefault="002D58E4">
            <w:pPr>
              <w:widowControl w:val="0"/>
              <w:pBdr>
                <w:top w:val="nil"/>
                <w:left w:val="nil"/>
                <w:bottom w:val="nil"/>
                <w:right w:val="nil"/>
                <w:between w:val="nil"/>
              </w:pBdr>
              <w:spacing w:line="276" w:lineRule="auto"/>
              <w:rPr>
                <w:sz w:val="20"/>
                <w:szCs w:val="20"/>
              </w:rPr>
            </w:pPr>
          </w:p>
        </w:tc>
        <w:tc>
          <w:tcPr>
            <w:tcW w:w="2430" w:type="dxa"/>
            <w:vAlign w:val="center"/>
          </w:tcPr>
          <w:p w14:paraId="668D8547" w14:textId="77777777" w:rsidR="002D58E4" w:rsidRDefault="00F721D4">
            <w:pPr>
              <w:rPr>
                <w:sz w:val="20"/>
                <w:szCs w:val="20"/>
              </w:rPr>
            </w:pPr>
            <w:r>
              <w:rPr>
                <w:sz w:val="20"/>
                <w:szCs w:val="20"/>
              </w:rPr>
              <w:t>3, 3, 182, 380</w:t>
            </w:r>
          </w:p>
        </w:tc>
        <w:tc>
          <w:tcPr>
            <w:tcW w:w="1890" w:type="dxa"/>
            <w:vAlign w:val="center"/>
          </w:tcPr>
          <w:p w14:paraId="5E3EE569" w14:textId="77777777" w:rsidR="002D58E4" w:rsidRDefault="00F721D4">
            <w:pPr>
              <w:rPr>
                <w:sz w:val="20"/>
                <w:szCs w:val="20"/>
              </w:rPr>
            </w:pPr>
            <w:r>
              <w:rPr>
                <w:sz w:val="20"/>
                <w:szCs w:val="20"/>
              </w:rPr>
              <w:t>0•52 (0•38 to 0•65)</w:t>
            </w:r>
          </w:p>
        </w:tc>
        <w:tc>
          <w:tcPr>
            <w:tcW w:w="1890" w:type="dxa"/>
            <w:vAlign w:val="center"/>
          </w:tcPr>
          <w:p w14:paraId="2DF3C736" w14:textId="77777777" w:rsidR="002D58E4" w:rsidRDefault="00F721D4">
            <w:pPr>
              <w:rPr>
                <w:sz w:val="20"/>
                <w:szCs w:val="20"/>
              </w:rPr>
            </w:pPr>
            <w:r>
              <w:rPr>
                <w:sz w:val="20"/>
                <w:szCs w:val="20"/>
              </w:rPr>
              <w:t>0•98 (0•94 to 0•99)</w:t>
            </w:r>
          </w:p>
        </w:tc>
        <w:tc>
          <w:tcPr>
            <w:tcW w:w="2430" w:type="dxa"/>
            <w:vMerge/>
            <w:vAlign w:val="center"/>
          </w:tcPr>
          <w:p w14:paraId="7C2E22D4" w14:textId="77777777" w:rsidR="002D58E4" w:rsidRDefault="002D58E4">
            <w:pPr>
              <w:widowControl w:val="0"/>
              <w:pBdr>
                <w:top w:val="nil"/>
                <w:left w:val="nil"/>
                <w:bottom w:val="nil"/>
                <w:right w:val="nil"/>
                <w:between w:val="nil"/>
              </w:pBdr>
              <w:spacing w:line="276" w:lineRule="auto"/>
              <w:rPr>
                <w:sz w:val="20"/>
                <w:szCs w:val="20"/>
              </w:rPr>
            </w:pPr>
          </w:p>
        </w:tc>
        <w:tc>
          <w:tcPr>
            <w:tcW w:w="1890" w:type="dxa"/>
            <w:vMerge/>
            <w:vAlign w:val="center"/>
          </w:tcPr>
          <w:p w14:paraId="10FB1269" w14:textId="77777777" w:rsidR="002D58E4" w:rsidRDefault="002D58E4">
            <w:pPr>
              <w:widowControl w:val="0"/>
              <w:pBdr>
                <w:top w:val="nil"/>
                <w:left w:val="nil"/>
                <w:bottom w:val="nil"/>
                <w:right w:val="nil"/>
                <w:between w:val="nil"/>
              </w:pBdr>
              <w:spacing w:line="276" w:lineRule="auto"/>
              <w:rPr>
                <w:sz w:val="20"/>
                <w:szCs w:val="20"/>
              </w:rPr>
            </w:pPr>
          </w:p>
        </w:tc>
      </w:tr>
      <w:tr w:rsidR="002D58E4" w14:paraId="071B130A" w14:textId="77777777">
        <w:trPr>
          <w:trHeight w:val="280"/>
          <w:jc w:val="center"/>
        </w:trPr>
        <w:tc>
          <w:tcPr>
            <w:tcW w:w="1572" w:type="dxa"/>
            <w:vMerge/>
            <w:vAlign w:val="center"/>
          </w:tcPr>
          <w:p w14:paraId="4ACBAC8A" w14:textId="77777777" w:rsidR="002D58E4" w:rsidRDefault="002D58E4">
            <w:pPr>
              <w:widowControl w:val="0"/>
              <w:pBdr>
                <w:top w:val="nil"/>
                <w:left w:val="nil"/>
                <w:bottom w:val="nil"/>
                <w:right w:val="nil"/>
                <w:between w:val="nil"/>
              </w:pBdr>
              <w:spacing w:line="276" w:lineRule="auto"/>
              <w:rPr>
                <w:sz w:val="20"/>
                <w:szCs w:val="20"/>
              </w:rPr>
            </w:pPr>
          </w:p>
        </w:tc>
        <w:tc>
          <w:tcPr>
            <w:tcW w:w="1137" w:type="dxa"/>
            <w:vAlign w:val="center"/>
          </w:tcPr>
          <w:p w14:paraId="02A70506" w14:textId="77777777" w:rsidR="002D58E4" w:rsidRDefault="00F721D4">
            <w:pPr>
              <w:rPr>
                <w:sz w:val="20"/>
                <w:szCs w:val="20"/>
              </w:rPr>
            </w:pPr>
            <w:r>
              <w:rPr>
                <w:sz w:val="20"/>
                <w:szCs w:val="20"/>
              </w:rPr>
              <w:t>Commercial ELISA</w:t>
            </w:r>
          </w:p>
        </w:tc>
        <w:tc>
          <w:tcPr>
            <w:tcW w:w="981" w:type="dxa"/>
            <w:vMerge/>
            <w:vAlign w:val="center"/>
          </w:tcPr>
          <w:p w14:paraId="5C787751" w14:textId="77777777" w:rsidR="002D58E4" w:rsidRDefault="002D58E4">
            <w:pPr>
              <w:widowControl w:val="0"/>
              <w:pBdr>
                <w:top w:val="nil"/>
                <w:left w:val="nil"/>
                <w:bottom w:val="nil"/>
                <w:right w:val="nil"/>
                <w:between w:val="nil"/>
              </w:pBdr>
              <w:spacing w:line="276" w:lineRule="auto"/>
              <w:rPr>
                <w:sz w:val="20"/>
                <w:szCs w:val="20"/>
              </w:rPr>
            </w:pPr>
          </w:p>
        </w:tc>
        <w:tc>
          <w:tcPr>
            <w:tcW w:w="2430" w:type="dxa"/>
            <w:vAlign w:val="center"/>
          </w:tcPr>
          <w:p w14:paraId="14864ADA" w14:textId="77777777" w:rsidR="002D58E4" w:rsidRDefault="00F721D4">
            <w:pPr>
              <w:rPr>
                <w:sz w:val="20"/>
                <w:szCs w:val="20"/>
              </w:rPr>
            </w:pPr>
            <w:r>
              <w:rPr>
                <w:sz w:val="20"/>
                <w:szCs w:val="20"/>
              </w:rPr>
              <w:t>13, 32, 874, 2509</w:t>
            </w:r>
          </w:p>
        </w:tc>
        <w:tc>
          <w:tcPr>
            <w:tcW w:w="1890" w:type="dxa"/>
            <w:vAlign w:val="center"/>
          </w:tcPr>
          <w:p w14:paraId="7EF2514D" w14:textId="77777777" w:rsidR="002D58E4" w:rsidRDefault="00F721D4">
            <w:pPr>
              <w:rPr>
                <w:sz w:val="20"/>
                <w:szCs w:val="20"/>
              </w:rPr>
            </w:pPr>
            <w:r>
              <w:rPr>
                <w:sz w:val="20"/>
                <w:szCs w:val="20"/>
              </w:rPr>
              <w:t>0•54 (0•44 to 0•65)</w:t>
            </w:r>
          </w:p>
        </w:tc>
        <w:tc>
          <w:tcPr>
            <w:tcW w:w="1890" w:type="dxa"/>
            <w:vAlign w:val="center"/>
          </w:tcPr>
          <w:p w14:paraId="3125FB72" w14:textId="77777777" w:rsidR="002D58E4" w:rsidRDefault="00F721D4">
            <w:pPr>
              <w:rPr>
                <w:sz w:val="20"/>
                <w:szCs w:val="20"/>
              </w:rPr>
            </w:pPr>
            <w:r>
              <w:rPr>
                <w:sz w:val="20"/>
                <w:szCs w:val="20"/>
              </w:rPr>
              <w:t>0•93 (0•90 to 0•95)</w:t>
            </w:r>
          </w:p>
        </w:tc>
        <w:tc>
          <w:tcPr>
            <w:tcW w:w="2430" w:type="dxa"/>
            <w:vMerge/>
            <w:vAlign w:val="center"/>
          </w:tcPr>
          <w:p w14:paraId="192C23A7" w14:textId="77777777" w:rsidR="002D58E4" w:rsidRDefault="002D58E4">
            <w:pPr>
              <w:widowControl w:val="0"/>
              <w:pBdr>
                <w:top w:val="nil"/>
                <w:left w:val="nil"/>
                <w:bottom w:val="nil"/>
                <w:right w:val="nil"/>
                <w:between w:val="nil"/>
              </w:pBdr>
              <w:spacing w:line="276" w:lineRule="auto"/>
              <w:rPr>
                <w:sz w:val="20"/>
                <w:szCs w:val="20"/>
              </w:rPr>
            </w:pPr>
          </w:p>
        </w:tc>
        <w:tc>
          <w:tcPr>
            <w:tcW w:w="1890" w:type="dxa"/>
            <w:vMerge/>
            <w:vAlign w:val="center"/>
          </w:tcPr>
          <w:p w14:paraId="4D606BF9" w14:textId="77777777" w:rsidR="002D58E4" w:rsidRDefault="002D58E4">
            <w:pPr>
              <w:widowControl w:val="0"/>
              <w:pBdr>
                <w:top w:val="nil"/>
                <w:left w:val="nil"/>
                <w:bottom w:val="nil"/>
                <w:right w:val="nil"/>
                <w:between w:val="nil"/>
              </w:pBdr>
              <w:spacing w:line="276" w:lineRule="auto"/>
              <w:rPr>
                <w:sz w:val="20"/>
                <w:szCs w:val="20"/>
              </w:rPr>
            </w:pPr>
          </w:p>
        </w:tc>
      </w:tr>
      <w:tr w:rsidR="002D58E4" w14:paraId="3B59ABF5" w14:textId="77777777">
        <w:trPr>
          <w:trHeight w:val="280"/>
          <w:jc w:val="center"/>
        </w:trPr>
        <w:tc>
          <w:tcPr>
            <w:tcW w:w="1572" w:type="dxa"/>
            <w:vMerge/>
            <w:vAlign w:val="center"/>
          </w:tcPr>
          <w:p w14:paraId="34B62978" w14:textId="77777777" w:rsidR="002D58E4" w:rsidRDefault="002D58E4">
            <w:pPr>
              <w:widowControl w:val="0"/>
              <w:pBdr>
                <w:top w:val="nil"/>
                <w:left w:val="nil"/>
                <w:bottom w:val="nil"/>
                <w:right w:val="nil"/>
                <w:between w:val="nil"/>
              </w:pBdr>
              <w:spacing w:line="276" w:lineRule="auto"/>
              <w:rPr>
                <w:sz w:val="20"/>
                <w:szCs w:val="20"/>
              </w:rPr>
            </w:pPr>
          </w:p>
        </w:tc>
        <w:tc>
          <w:tcPr>
            <w:tcW w:w="1137" w:type="dxa"/>
            <w:vAlign w:val="center"/>
          </w:tcPr>
          <w:p w14:paraId="4B61BB55" w14:textId="77777777" w:rsidR="002D58E4" w:rsidRDefault="00F721D4">
            <w:pPr>
              <w:rPr>
                <w:sz w:val="20"/>
                <w:szCs w:val="20"/>
              </w:rPr>
            </w:pPr>
            <w:r>
              <w:rPr>
                <w:sz w:val="20"/>
                <w:szCs w:val="20"/>
              </w:rPr>
              <w:t>Commercial IB</w:t>
            </w:r>
          </w:p>
        </w:tc>
        <w:tc>
          <w:tcPr>
            <w:tcW w:w="981" w:type="dxa"/>
            <w:vMerge/>
            <w:vAlign w:val="center"/>
          </w:tcPr>
          <w:p w14:paraId="7F5C8471" w14:textId="77777777" w:rsidR="002D58E4" w:rsidRDefault="002D58E4">
            <w:pPr>
              <w:widowControl w:val="0"/>
              <w:pBdr>
                <w:top w:val="nil"/>
                <w:left w:val="nil"/>
                <w:bottom w:val="nil"/>
                <w:right w:val="nil"/>
                <w:between w:val="nil"/>
              </w:pBdr>
              <w:spacing w:line="276" w:lineRule="auto"/>
              <w:rPr>
                <w:sz w:val="20"/>
                <w:szCs w:val="20"/>
              </w:rPr>
            </w:pPr>
          </w:p>
        </w:tc>
        <w:tc>
          <w:tcPr>
            <w:tcW w:w="2430" w:type="dxa"/>
            <w:vAlign w:val="center"/>
          </w:tcPr>
          <w:p w14:paraId="1B51D7B7" w14:textId="77777777" w:rsidR="002D58E4" w:rsidRDefault="00F721D4">
            <w:pPr>
              <w:rPr>
                <w:sz w:val="20"/>
                <w:szCs w:val="20"/>
              </w:rPr>
            </w:pPr>
            <w:r>
              <w:rPr>
                <w:sz w:val="20"/>
                <w:szCs w:val="20"/>
              </w:rPr>
              <w:t>3, 5, 161, 289</w:t>
            </w:r>
          </w:p>
        </w:tc>
        <w:tc>
          <w:tcPr>
            <w:tcW w:w="1890" w:type="dxa"/>
            <w:vAlign w:val="center"/>
          </w:tcPr>
          <w:p w14:paraId="2DCD5A47" w14:textId="77777777" w:rsidR="002D58E4" w:rsidRDefault="00F721D4">
            <w:pPr>
              <w:rPr>
                <w:sz w:val="20"/>
                <w:szCs w:val="20"/>
              </w:rPr>
            </w:pPr>
            <w:r>
              <w:rPr>
                <w:sz w:val="20"/>
                <w:szCs w:val="20"/>
              </w:rPr>
              <w:t>0•58 (0•49 to 0•67)</w:t>
            </w:r>
          </w:p>
        </w:tc>
        <w:tc>
          <w:tcPr>
            <w:tcW w:w="1890" w:type="dxa"/>
            <w:vAlign w:val="center"/>
          </w:tcPr>
          <w:p w14:paraId="3A0D249E" w14:textId="77777777" w:rsidR="002D58E4" w:rsidRDefault="00F721D4">
            <w:pPr>
              <w:rPr>
                <w:sz w:val="20"/>
                <w:szCs w:val="20"/>
              </w:rPr>
            </w:pPr>
            <w:r>
              <w:rPr>
                <w:sz w:val="20"/>
                <w:szCs w:val="20"/>
              </w:rPr>
              <w:t>0•86 (0•75 to 0•93)</w:t>
            </w:r>
          </w:p>
        </w:tc>
        <w:tc>
          <w:tcPr>
            <w:tcW w:w="2430" w:type="dxa"/>
            <w:vMerge/>
            <w:vAlign w:val="center"/>
          </w:tcPr>
          <w:p w14:paraId="25429E89" w14:textId="77777777" w:rsidR="002D58E4" w:rsidRDefault="002D58E4">
            <w:pPr>
              <w:widowControl w:val="0"/>
              <w:pBdr>
                <w:top w:val="nil"/>
                <w:left w:val="nil"/>
                <w:bottom w:val="nil"/>
                <w:right w:val="nil"/>
                <w:between w:val="nil"/>
              </w:pBdr>
              <w:spacing w:line="276" w:lineRule="auto"/>
              <w:rPr>
                <w:sz w:val="20"/>
                <w:szCs w:val="20"/>
              </w:rPr>
            </w:pPr>
          </w:p>
        </w:tc>
        <w:tc>
          <w:tcPr>
            <w:tcW w:w="1890" w:type="dxa"/>
            <w:vMerge/>
            <w:vAlign w:val="center"/>
          </w:tcPr>
          <w:p w14:paraId="07C8BF25" w14:textId="77777777" w:rsidR="002D58E4" w:rsidRDefault="002D58E4">
            <w:pPr>
              <w:widowControl w:val="0"/>
              <w:pBdr>
                <w:top w:val="nil"/>
                <w:left w:val="nil"/>
                <w:bottom w:val="nil"/>
                <w:right w:val="nil"/>
                <w:between w:val="nil"/>
              </w:pBdr>
              <w:spacing w:line="276" w:lineRule="auto"/>
              <w:rPr>
                <w:sz w:val="20"/>
                <w:szCs w:val="20"/>
              </w:rPr>
            </w:pPr>
          </w:p>
        </w:tc>
      </w:tr>
      <w:tr w:rsidR="002D58E4" w14:paraId="5980B448" w14:textId="77777777">
        <w:trPr>
          <w:trHeight w:val="280"/>
          <w:jc w:val="center"/>
        </w:trPr>
        <w:tc>
          <w:tcPr>
            <w:tcW w:w="1572" w:type="dxa"/>
            <w:vMerge/>
            <w:vAlign w:val="center"/>
          </w:tcPr>
          <w:p w14:paraId="7A26B4B6" w14:textId="77777777" w:rsidR="002D58E4" w:rsidRDefault="002D58E4">
            <w:pPr>
              <w:widowControl w:val="0"/>
              <w:pBdr>
                <w:top w:val="nil"/>
                <w:left w:val="nil"/>
                <w:bottom w:val="nil"/>
                <w:right w:val="nil"/>
                <w:between w:val="nil"/>
              </w:pBdr>
              <w:spacing w:line="276" w:lineRule="auto"/>
              <w:rPr>
                <w:sz w:val="20"/>
                <w:szCs w:val="20"/>
              </w:rPr>
            </w:pPr>
          </w:p>
        </w:tc>
        <w:tc>
          <w:tcPr>
            <w:tcW w:w="1137" w:type="dxa"/>
            <w:vAlign w:val="center"/>
          </w:tcPr>
          <w:p w14:paraId="39EF9ABC" w14:textId="77777777" w:rsidR="002D58E4" w:rsidRDefault="00F721D4">
            <w:pPr>
              <w:rPr>
                <w:sz w:val="20"/>
                <w:szCs w:val="20"/>
              </w:rPr>
            </w:pPr>
            <w:r>
              <w:rPr>
                <w:sz w:val="20"/>
                <w:szCs w:val="20"/>
              </w:rPr>
              <w:t>Two-tiered tests</w:t>
            </w:r>
          </w:p>
        </w:tc>
        <w:tc>
          <w:tcPr>
            <w:tcW w:w="981" w:type="dxa"/>
            <w:vMerge/>
            <w:vAlign w:val="center"/>
          </w:tcPr>
          <w:p w14:paraId="380FF870" w14:textId="77777777" w:rsidR="002D58E4" w:rsidRDefault="002D58E4">
            <w:pPr>
              <w:widowControl w:val="0"/>
              <w:pBdr>
                <w:top w:val="nil"/>
                <w:left w:val="nil"/>
                <w:bottom w:val="nil"/>
                <w:right w:val="nil"/>
                <w:between w:val="nil"/>
              </w:pBdr>
              <w:spacing w:line="276" w:lineRule="auto"/>
              <w:rPr>
                <w:sz w:val="20"/>
                <w:szCs w:val="20"/>
              </w:rPr>
            </w:pPr>
          </w:p>
        </w:tc>
        <w:tc>
          <w:tcPr>
            <w:tcW w:w="2430" w:type="dxa"/>
            <w:vAlign w:val="center"/>
          </w:tcPr>
          <w:p w14:paraId="57BAA7DE" w14:textId="77777777" w:rsidR="002D58E4" w:rsidRDefault="00F721D4">
            <w:pPr>
              <w:rPr>
                <w:sz w:val="20"/>
                <w:szCs w:val="20"/>
              </w:rPr>
            </w:pPr>
            <w:r>
              <w:rPr>
                <w:sz w:val="20"/>
                <w:szCs w:val="20"/>
              </w:rPr>
              <w:t>2, 7, 125, 190</w:t>
            </w:r>
          </w:p>
        </w:tc>
        <w:tc>
          <w:tcPr>
            <w:tcW w:w="1890" w:type="dxa"/>
            <w:vAlign w:val="center"/>
          </w:tcPr>
          <w:p w14:paraId="2EC6DEEB" w14:textId="77777777" w:rsidR="002D58E4" w:rsidRDefault="00F721D4">
            <w:pPr>
              <w:rPr>
                <w:sz w:val="20"/>
                <w:szCs w:val="20"/>
              </w:rPr>
            </w:pPr>
            <w:r>
              <w:rPr>
                <w:sz w:val="20"/>
                <w:szCs w:val="20"/>
              </w:rPr>
              <w:t>range 0•12 to 0•64</w:t>
            </w:r>
          </w:p>
        </w:tc>
        <w:tc>
          <w:tcPr>
            <w:tcW w:w="1890" w:type="dxa"/>
            <w:vAlign w:val="center"/>
          </w:tcPr>
          <w:p w14:paraId="1E62AD19" w14:textId="77777777" w:rsidR="002D58E4" w:rsidRDefault="00F721D4">
            <w:pPr>
              <w:rPr>
                <w:sz w:val="20"/>
                <w:szCs w:val="20"/>
              </w:rPr>
            </w:pPr>
            <w:r>
              <w:rPr>
                <w:sz w:val="20"/>
                <w:szCs w:val="20"/>
              </w:rPr>
              <w:t>range 0•67 to 0•96</w:t>
            </w:r>
          </w:p>
        </w:tc>
        <w:tc>
          <w:tcPr>
            <w:tcW w:w="2430" w:type="dxa"/>
            <w:vMerge/>
            <w:vAlign w:val="center"/>
          </w:tcPr>
          <w:p w14:paraId="4A9755BF" w14:textId="77777777" w:rsidR="002D58E4" w:rsidRDefault="002D58E4">
            <w:pPr>
              <w:widowControl w:val="0"/>
              <w:pBdr>
                <w:top w:val="nil"/>
                <w:left w:val="nil"/>
                <w:bottom w:val="nil"/>
                <w:right w:val="nil"/>
                <w:between w:val="nil"/>
              </w:pBdr>
              <w:spacing w:line="276" w:lineRule="auto"/>
              <w:rPr>
                <w:sz w:val="20"/>
                <w:szCs w:val="20"/>
              </w:rPr>
            </w:pPr>
          </w:p>
        </w:tc>
        <w:tc>
          <w:tcPr>
            <w:tcW w:w="1890" w:type="dxa"/>
            <w:vMerge/>
            <w:vAlign w:val="center"/>
          </w:tcPr>
          <w:p w14:paraId="2AC16D09" w14:textId="77777777" w:rsidR="002D58E4" w:rsidRDefault="002D58E4">
            <w:pPr>
              <w:widowControl w:val="0"/>
              <w:pBdr>
                <w:top w:val="nil"/>
                <w:left w:val="nil"/>
                <w:bottom w:val="nil"/>
                <w:right w:val="nil"/>
                <w:between w:val="nil"/>
              </w:pBdr>
              <w:spacing w:line="276" w:lineRule="auto"/>
              <w:rPr>
                <w:sz w:val="20"/>
                <w:szCs w:val="20"/>
              </w:rPr>
            </w:pPr>
          </w:p>
        </w:tc>
      </w:tr>
    </w:tbl>
    <w:p w14:paraId="399108F8" w14:textId="77777777" w:rsidR="002D58E4" w:rsidRDefault="00F721D4">
      <w:pPr>
        <w:spacing w:after="0" w:line="240" w:lineRule="auto"/>
        <w:rPr>
          <w:sz w:val="18"/>
          <w:szCs w:val="18"/>
        </w:rPr>
      </w:pPr>
      <w:r>
        <w:rPr>
          <w:i/>
          <w:sz w:val="18"/>
          <w:szCs w:val="18"/>
        </w:rPr>
        <w:t>ELISA =</w:t>
      </w:r>
      <w:r>
        <w:rPr>
          <w:sz w:val="18"/>
          <w:szCs w:val="18"/>
        </w:rPr>
        <w:t xml:space="preserve"> Enzyme Immuno Assay, </w:t>
      </w:r>
      <w:r>
        <w:rPr>
          <w:i/>
          <w:sz w:val="18"/>
          <w:szCs w:val="18"/>
        </w:rPr>
        <w:t>IB =</w:t>
      </w:r>
      <w:r>
        <w:rPr>
          <w:sz w:val="18"/>
          <w:szCs w:val="18"/>
        </w:rPr>
        <w:t xml:space="preserve"> Immunoblot, </w:t>
      </w:r>
      <w:r>
        <w:rPr>
          <w:i/>
          <w:sz w:val="18"/>
          <w:szCs w:val="18"/>
        </w:rPr>
        <w:t>AI =</w:t>
      </w:r>
      <w:r>
        <w:rPr>
          <w:sz w:val="18"/>
          <w:szCs w:val="18"/>
        </w:rPr>
        <w:t xml:space="preserve"> Antibody Index, </w:t>
      </w:r>
      <w:r>
        <w:rPr>
          <w:i/>
          <w:sz w:val="18"/>
          <w:szCs w:val="18"/>
        </w:rPr>
        <w:t>CSF =</w:t>
      </w:r>
      <w:r>
        <w:rPr>
          <w:sz w:val="18"/>
          <w:szCs w:val="18"/>
        </w:rPr>
        <w:t xml:space="preserve"> Cerebrospinal Fluid</w:t>
      </w:r>
    </w:p>
    <w:p w14:paraId="0C11F1A1" w14:textId="77777777" w:rsidR="002D58E4" w:rsidRDefault="00F721D4">
      <w:pPr>
        <w:keepNext/>
        <w:keepLines/>
        <w:tabs>
          <w:tab w:val="left" w:pos="2309"/>
        </w:tabs>
        <w:spacing w:after="120"/>
        <w:rPr>
          <w:color w:val="2F5496"/>
          <w:sz w:val="24"/>
          <w:szCs w:val="24"/>
        </w:rPr>
      </w:pPr>
      <w:r>
        <w:rPr>
          <w:color w:val="2F5496"/>
          <w:sz w:val="24"/>
          <w:szCs w:val="24"/>
        </w:rPr>
        <w:tab/>
      </w:r>
    </w:p>
    <w:p w14:paraId="276F77AB" w14:textId="77777777" w:rsidR="002D58E4" w:rsidRDefault="00F721D4">
      <w:pPr>
        <w:keepNext/>
        <w:keepLines/>
        <w:spacing w:after="120"/>
        <w:rPr>
          <w:color w:val="2F5496"/>
        </w:rPr>
      </w:pPr>
      <w:r>
        <w:rPr>
          <w:color w:val="2F5496"/>
        </w:rPr>
        <w:t>Table I.3 (adapted from Table 5, Leeflang et al., 2016)</w:t>
      </w:r>
    </w:p>
    <w:p w14:paraId="7A4EAE37" w14:textId="77777777" w:rsidR="002D58E4" w:rsidRDefault="00F721D4">
      <w:pPr>
        <w:spacing w:after="120" w:line="240" w:lineRule="auto"/>
        <w:rPr>
          <w:b/>
          <w:color w:val="C00000"/>
        </w:rPr>
      </w:pPr>
      <w:r>
        <w:rPr>
          <w:b/>
          <w:color w:val="C00000"/>
        </w:rPr>
        <w:t>Generation of antigens</w:t>
      </w:r>
    </w:p>
    <w:tbl>
      <w:tblPr>
        <w:tblStyle w:val="ac"/>
        <w:tblW w:w="918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6"/>
        <w:gridCol w:w="2483"/>
        <w:gridCol w:w="2430"/>
        <w:gridCol w:w="2880"/>
      </w:tblGrid>
      <w:tr w:rsidR="002D58E4" w14:paraId="665E9F2A" w14:textId="77777777">
        <w:trPr>
          <w:trHeight w:val="280"/>
        </w:trPr>
        <w:tc>
          <w:tcPr>
            <w:tcW w:w="1396" w:type="dxa"/>
            <w:vAlign w:val="center"/>
          </w:tcPr>
          <w:p w14:paraId="377E5EAE" w14:textId="77777777" w:rsidR="002D58E4" w:rsidRDefault="002D58E4">
            <w:pPr>
              <w:jc w:val="center"/>
              <w:rPr>
                <w:b/>
                <w:sz w:val="20"/>
                <w:szCs w:val="20"/>
              </w:rPr>
            </w:pPr>
          </w:p>
        </w:tc>
        <w:tc>
          <w:tcPr>
            <w:tcW w:w="2483" w:type="dxa"/>
            <w:vAlign w:val="center"/>
          </w:tcPr>
          <w:p w14:paraId="060305DE" w14:textId="77777777" w:rsidR="002D58E4" w:rsidRDefault="00F721D4">
            <w:pPr>
              <w:jc w:val="center"/>
              <w:rPr>
                <w:b/>
                <w:sz w:val="20"/>
                <w:szCs w:val="20"/>
              </w:rPr>
            </w:pPr>
            <w:r>
              <w:rPr>
                <w:b/>
                <w:sz w:val="20"/>
                <w:szCs w:val="20"/>
              </w:rPr>
              <w:t>Antigen</w:t>
            </w:r>
          </w:p>
        </w:tc>
        <w:tc>
          <w:tcPr>
            <w:tcW w:w="2430" w:type="dxa"/>
            <w:vAlign w:val="center"/>
          </w:tcPr>
          <w:p w14:paraId="3D04C228" w14:textId="77777777" w:rsidR="002D58E4" w:rsidRDefault="00F721D4">
            <w:pPr>
              <w:jc w:val="center"/>
              <w:rPr>
                <w:b/>
                <w:sz w:val="20"/>
                <w:szCs w:val="20"/>
              </w:rPr>
            </w:pPr>
            <w:r>
              <w:rPr>
                <w:b/>
                <w:sz w:val="20"/>
                <w:szCs w:val="20"/>
              </w:rPr>
              <w:t>Sensitivity (95 % CI)</w:t>
            </w:r>
          </w:p>
        </w:tc>
        <w:tc>
          <w:tcPr>
            <w:tcW w:w="2880" w:type="dxa"/>
            <w:vAlign w:val="center"/>
          </w:tcPr>
          <w:p w14:paraId="7A994E52" w14:textId="77777777" w:rsidR="002D58E4" w:rsidRDefault="00F721D4">
            <w:pPr>
              <w:jc w:val="center"/>
              <w:rPr>
                <w:b/>
                <w:sz w:val="20"/>
                <w:szCs w:val="20"/>
              </w:rPr>
            </w:pPr>
            <w:r>
              <w:rPr>
                <w:b/>
                <w:sz w:val="20"/>
                <w:szCs w:val="20"/>
              </w:rPr>
              <w:t>Specificity (95 % CI)</w:t>
            </w:r>
          </w:p>
        </w:tc>
      </w:tr>
      <w:tr w:rsidR="002D58E4" w14:paraId="40B3BB2F" w14:textId="77777777">
        <w:trPr>
          <w:trHeight w:val="280"/>
        </w:trPr>
        <w:tc>
          <w:tcPr>
            <w:tcW w:w="1396" w:type="dxa"/>
            <w:vMerge w:val="restart"/>
            <w:vAlign w:val="center"/>
          </w:tcPr>
          <w:p w14:paraId="570D065E" w14:textId="77777777" w:rsidR="002D58E4" w:rsidRDefault="00F721D4">
            <w:pPr>
              <w:rPr>
                <w:sz w:val="20"/>
                <w:szCs w:val="20"/>
              </w:rPr>
            </w:pPr>
            <w:r>
              <w:rPr>
                <w:sz w:val="20"/>
                <w:szCs w:val="20"/>
              </w:rPr>
              <w:t>Erythema migrans</w:t>
            </w:r>
          </w:p>
        </w:tc>
        <w:tc>
          <w:tcPr>
            <w:tcW w:w="2483" w:type="dxa"/>
            <w:vAlign w:val="center"/>
          </w:tcPr>
          <w:p w14:paraId="29BA2482" w14:textId="77777777" w:rsidR="002D58E4" w:rsidRDefault="00F721D4">
            <w:pPr>
              <w:rPr>
                <w:sz w:val="20"/>
                <w:szCs w:val="20"/>
              </w:rPr>
            </w:pPr>
            <w:r>
              <w:rPr>
                <w:sz w:val="20"/>
                <w:szCs w:val="20"/>
              </w:rPr>
              <w:t>Whole cell</w:t>
            </w:r>
          </w:p>
        </w:tc>
        <w:tc>
          <w:tcPr>
            <w:tcW w:w="2430" w:type="dxa"/>
            <w:vAlign w:val="center"/>
          </w:tcPr>
          <w:p w14:paraId="65175954" w14:textId="77777777" w:rsidR="002D58E4" w:rsidRDefault="00F721D4">
            <w:pPr>
              <w:rPr>
                <w:sz w:val="20"/>
                <w:szCs w:val="20"/>
              </w:rPr>
            </w:pPr>
            <w:r>
              <w:rPr>
                <w:sz w:val="20"/>
                <w:szCs w:val="20"/>
              </w:rPr>
              <w:t>0.515 (0.328 to 0.699)</w:t>
            </w:r>
          </w:p>
        </w:tc>
        <w:tc>
          <w:tcPr>
            <w:tcW w:w="2880" w:type="dxa"/>
            <w:vAlign w:val="center"/>
          </w:tcPr>
          <w:p w14:paraId="4BCADE01" w14:textId="77777777" w:rsidR="002D58E4" w:rsidRDefault="00F721D4">
            <w:pPr>
              <w:rPr>
                <w:sz w:val="20"/>
                <w:szCs w:val="20"/>
              </w:rPr>
            </w:pPr>
            <w:r>
              <w:rPr>
                <w:sz w:val="20"/>
                <w:szCs w:val="20"/>
              </w:rPr>
              <w:t>0.957 (0.899 to 0.983)</w:t>
            </w:r>
          </w:p>
        </w:tc>
      </w:tr>
      <w:tr w:rsidR="002D58E4" w14:paraId="0CEC3107" w14:textId="77777777">
        <w:trPr>
          <w:trHeight w:val="280"/>
        </w:trPr>
        <w:tc>
          <w:tcPr>
            <w:tcW w:w="1396" w:type="dxa"/>
            <w:vMerge/>
            <w:vAlign w:val="center"/>
          </w:tcPr>
          <w:p w14:paraId="4A20C65A" w14:textId="77777777" w:rsidR="002D58E4" w:rsidRDefault="002D58E4">
            <w:pPr>
              <w:widowControl w:val="0"/>
              <w:pBdr>
                <w:top w:val="nil"/>
                <w:left w:val="nil"/>
                <w:bottom w:val="nil"/>
                <w:right w:val="nil"/>
                <w:between w:val="nil"/>
              </w:pBdr>
              <w:spacing w:line="276" w:lineRule="auto"/>
              <w:rPr>
                <w:sz w:val="20"/>
                <w:szCs w:val="20"/>
              </w:rPr>
            </w:pPr>
          </w:p>
        </w:tc>
        <w:tc>
          <w:tcPr>
            <w:tcW w:w="2483" w:type="dxa"/>
            <w:vAlign w:val="center"/>
          </w:tcPr>
          <w:p w14:paraId="66664116" w14:textId="77777777" w:rsidR="002D58E4" w:rsidRDefault="00F721D4">
            <w:pPr>
              <w:rPr>
                <w:sz w:val="20"/>
                <w:szCs w:val="20"/>
              </w:rPr>
            </w:pPr>
            <w:r>
              <w:rPr>
                <w:sz w:val="20"/>
                <w:szCs w:val="20"/>
              </w:rPr>
              <w:t>Purified</w:t>
            </w:r>
          </w:p>
        </w:tc>
        <w:tc>
          <w:tcPr>
            <w:tcW w:w="2430" w:type="dxa"/>
            <w:vAlign w:val="center"/>
          </w:tcPr>
          <w:p w14:paraId="7BDBD363" w14:textId="77777777" w:rsidR="002D58E4" w:rsidRDefault="00F721D4">
            <w:pPr>
              <w:rPr>
                <w:sz w:val="20"/>
                <w:szCs w:val="20"/>
              </w:rPr>
            </w:pPr>
            <w:r>
              <w:rPr>
                <w:sz w:val="20"/>
                <w:szCs w:val="20"/>
              </w:rPr>
              <w:t>0.579 (0.466 to 0.685)</w:t>
            </w:r>
          </w:p>
        </w:tc>
        <w:tc>
          <w:tcPr>
            <w:tcW w:w="2880" w:type="dxa"/>
            <w:vAlign w:val="center"/>
          </w:tcPr>
          <w:p w14:paraId="3B497A78" w14:textId="77777777" w:rsidR="002D58E4" w:rsidRDefault="00F721D4">
            <w:pPr>
              <w:rPr>
                <w:sz w:val="20"/>
                <w:szCs w:val="20"/>
              </w:rPr>
            </w:pPr>
            <w:r>
              <w:rPr>
                <w:sz w:val="20"/>
                <w:szCs w:val="20"/>
              </w:rPr>
              <w:t>0.950 (0.895 to 0.977)</w:t>
            </w:r>
          </w:p>
        </w:tc>
      </w:tr>
      <w:tr w:rsidR="002D58E4" w14:paraId="70856EDD" w14:textId="77777777">
        <w:trPr>
          <w:trHeight w:val="280"/>
        </w:trPr>
        <w:tc>
          <w:tcPr>
            <w:tcW w:w="1396" w:type="dxa"/>
            <w:vMerge/>
            <w:vAlign w:val="center"/>
          </w:tcPr>
          <w:p w14:paraId="5C218E71" w14:textId="77777777" w:rsidR="002D58E4" w:rsidRDefault="002D58E4">
            <w:pPr>
              <w:widowControl w:val="0"/>
              <w:pBdr>
                <w:top w:val="nil"/>
                <w:left w:val="nil"/>
                <w:bottom w:val="nil"/>
                <w:right w:val="nil"/>
                <w:between w:val="nil"/>
              </w:pBdr>
              <w:spacing w:line="276" w:lineRule="auto"/>
              <w:rPr>
                <w:sz w:val="20"/>
                <w:szCs w:val="20"/>
              </w:rPr>
            </w:pPr>
          </w:p>
        </w:tc>
        <w:tc>
          <w:tcPr>
            <w:tcW w:w="2483" w:type="dxa"/>
            <w:vAlign w:val="center"/>
          </w:tcPr>
          <w:p w14:paraId="0E626809" w14:textId="77777777" w:rsidR="002D58E4" w:rsidRDefault="00F721D4">
            <w:pPr>
              <w:rPr>
                <w:sz w:val="20"/>
                <w:szCs w:val="20"/>
              </w:rPr>
            </w:pPr>
            <w:r>
              <w:rPr>
                <w:sz w:val="20"/>
                <w:szCs w:val="20"/>
              </w:rPr>
              <w:t>Recombinant</w:t>
            </w:r>
          </w:p>
        </w:tc>
        <w:tc>
          <w:tcPr>
            <w:tcW w:w="2430" w:type="dxa"/>
            <w:vAlign w:val="center"/>
          </w:tcPr>
          <w:p w14:paraId="703DD2B8" w14:textId="77777777" w:rsidR="002D58E4" w:rsidRDefault="00F721D4">
            <w:pPr>
              <w:rPr>
                <w:sz w:val="20"/>
                <w:szCs w:val="20"/>
              </w:rPr>
            </w:pPr>
            <w:r>
              <w:rPr>
                <w:sz w:val="20"/>
                <w:szCs w:val="20"/>
              </w:rPr>
              <w:t>0.551 (0.330 to 0.753)</w:t>
            </w:r>
          </w:p>
        </w:tc>
        <w:tc>
          <w:tcPr>
            <w:tcW w:w="2880" w:type="dxa"/>
            <w:vAlign w:val="center"/>
          </w:tcPr>
          <w:p w14:paraId="0EC9D88E" w14:textId="77777777" w:rsidR="002D58E4" w:rsidRDefault="00F721D4">
            <w:pPr>
              <w:rPr>
                <w:sz w:val="20"/>
                <w:szCs w:val="20"/>
              </w:rPr>
            </w:pPr>
            <w:r>
              <w:rPr>
                <w:sz w:val="20"/>
                <w:szCs w:val="20"/>
              </w:rPr>
              <w:t>0.947 (0.881 to 0.977)</w:t>
            </w:r>
          </w:p>
        </w:tc>
      </w:tr>
    </w:tbl>
    <w:p w14:paraId="49FB05BA" w14:textId="77777777" w:rsidR="002D58E4" w:rsidRDefault="00F721D4">
      <w:pPr>
        <w:rPr>
          <w:sz w:val="18"/>
          <w:szCs w:val="18"/>
        </w:rPr>
      </w:pPr>
      <w:r>
        <w:rPr>
          <w:sz w:val="18"/>
          <w:szCs w:val="18"/>
        </w:rPr>
        <w:t>95 % CI = 95 % confidence interval.</w:t>
      </w:r>
    </w:p>
    <w:p w14:paraId="3E178AB6" w14:textId="77777777" w:rsidR="002D58E4" w:rsidRDefault="002D58E4"/>
    <w:p w14:paraId="28312F4D" w14:textId="77777777" w:rsidR="002D58E4" w:rsidRDefault="002D58E4">
      <w:pPr>
        <w:rPr>
          <w:b/>
          <w:sz w:val="24"/>
          <w:szCs w:val="24"/>
        </w:rPr>
        <w:sectPr w:rsidR="002D58E4" w:rsidSect="00720E48">
          <w:type w:val="continuous"/>
          <w:pgSz w:w="15840" w:h="12240"/>
          <w:pgMar w:top="720" w:right="531" w:bottom="720" w:left="720" w:header="720" w:footer="720" w:gutter="0"/>
          <w:cols w:space="720" w:equalWidth="0">
            <w:col w:w="14589"/>
          </w:cols>
        </w:sectPr>
      </w:pPr>
    </w:p>
    <w:p w14:paraId="01F065E2" w14:textId="77777777" w:rsidR="002D58E4" w:rsidRDefault="002D58E4">
      <w:pPr>
        <w:widowControl w:val="0"/>
        <w:pBdr>
          <w:top w:val="nil"/>
          <w:left w:val="nil"/>
          <w:bottom w:val="nil"/>
          <w:right w:val="nil"/>
          <w:between w:val="nil"/>
        </w:pBdr>
        <w:spacing w:after="0"/>
        <w:rPr>
          <w:b/>
          <w:sz w:val="24"/>
          <w:szCs w:val="24"/>
        </w:rPr>
      </w:pPr>
    </w:p>
    <w:tbl>
      <w:tblPr>
        <w:tblStyle w:val="ad"/>
        <w:tblW w:w="14131" w:type="dxa"/>
        <w:tblLayout w:type="fixed"/>
        <w:tblLook w:val="0600" w:firstRow="0" w:lastRow="0" w:firstColumn="0" w:lastColumn="0" w:noHBand="1" w:noVBand="1"/>
      </w:tblPr>
      <w:tblGrid>
        <w:gridCol w:w="1380"/>
        <w:gridCol w:w="1170"/>
        <w:gridCol w:w="2700"/>
        <w:gridCol w:w="5850"/>
        <w:gridCol w:w="3031"/>
      </w:tblGrid>
      <w:tr w:rsidR="002D58E4" w14:paraId="3E5FEAE6" w14:textId="77777777">
        <w:trPr>
          <w:trHeight w:val="40"/>
        </w:trPr>
        <w:tc>
          <w:tcPr>
            <w:tcW w:w="14131" w:type="dxa"/>
            <w:gridSpan w:val="5"/>
            <w:tcBorders>
              <w:bottom w:val="single" w:sz="6" w:space="0" w:color="AEAEAE"/>
            </w:tcBorders>
            <w:shd w:val="clear" w:color="auto" w:fill="FFFFFF"/>
            <w:tcMar>
              <w:top w:w="15" w:type="dxa"/>
              <w:left w:w="30" w:type="dxa"/>
              <w:bottom w:w="0" w:type="dxa"/>
              <w:right w:w="30" w:type="dxa"/>
            </w:tcMar>
          </w:tcPr>
          <w:p w14:paraId="7E813875" w14:textId="77777777" w:rsidR="002D58E4" w:rsidRDefault="00F721D4">
            <w:pPr>
              <w:tabs>
                <w:tab w:val="center" w:pos="4680"/>
                <w:tab w:val="right" w:pos="9360"/>
              </w:tabs>
              <w:rPr>
                <w:b/>
                <w:color w:val="000000"/>
                <w:sz w:val="20"/>
                <w:szCs w:val="20"/>
              </w:rPr>
            </w:pPr>
            <w:r w:rsidRPr="00C34495">
              <w:rPr>
                <w:b/>
                <w:sz w:val="18"/>
                <w:szCs w:val="18"/>
                <w:lang w:val="fr-CA"/>
              </w:rPr>
              <w:t>Bibliography:</w:t>
            </w:r>
            <w:r w:rsidRPr="00C34495">
              <w:rPr>
                <w:sz w:val="18"/>
                <w:szCs w:val="18"/>
                <w:lang w:val="fr-CA"/>
              </w:rPr>
              <w:t xml:space="preserve"> 1. Branda, et al. Clin Infect Dis. 2017 Apr 15;64(8):1074-1080; 2. Bradshaw, et al. J Clin Microbiol. 2017 Oct;55(10):3046-3056; 3. Molins, et al. J Clin Microbiol. 2017 Jun;55(6):1698-1706; 4. Pomelova, et al. </w:t>
            </w:r>
            <w:r w:rsidRPr="00E20834">
              <w:rPr>
                <w:sz w:val="18"/>
                <w:szCs w:val="18"/>
                <w:lang w:val="en-CA"/>
              </w:rPr>
              <w:t xml:space="preserve">Biomed Res Int. 2018 Jun 28;2018:5291926; 5. </w:t>
            </w:r>
            <w:r w:rsidRPr="00C34495">
              <w:rPr>
                <w:sz w:val="18"/>
                <w:szCs w:val="18"/>
              </w:rPr>
              <w:t xml:space="preserve">Wormser, et al. Diagn Microbiol Infect Dis. 2018 Jul;91(3):217-219; 6. Zwerink, et al. Ticks Tick Borne Dis. 2018 Mar;9(3):594-597. </w:t>
            </w:r>
          </w:p>
        </w:tc>
      </w:tr>
      <w:tr w:rsidR="002D58E4" w14:paraId="4189A47B" w14:textId="77777777">
        <w:trPr>
          <w:trHeight w:val="40"/>
        </w:trPr>
        <w:tc>
          <w:tcPr>
            <w:tcW w:w="138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0C356D8" w14:textId="77777777" w:rsidR="002D58E4" w:rsidRDefault="00F721D4">
            <w:pPr>
              <w:rPr>
                <w:sz w:val="20"/>
                <w:szCs w:val="20"/>
              </w:rPr>
            </w:pPr>
            <w:r>
              <w:rPr>
                <w:b/>
                <w:color w:val="000000"/>
                <w:sz w:val="20"/>
                <w:szCs w:val="20"/>
              </w:rPr>
              <w:t>Study; Location</w:t>
            </w:r>
          </w:p>
        </w:tc>
        <w:tc>
          <w:tcPr>
            <w:tcW w:w="1170" w:type="dxa"/>
            <w:tcBorders>
              <w:top w:val="single" w:sz="6" w:space="0" w:color="AEAEAE"/>
              <w:left w:val="single" w:sz="6" w:space="0" w:color="AEAEAE"/>
              <w:bottom w:val="single" w:sz="6" w:space="0" w:color="AEAEAE"/>
              <w:right w:val="single" w:sz="6" w:space="0" w:color="AEAEAE"/>
            </w:tcBorders>
            <w:shd w:val="clear" w:color="auto" w:fill="D9D9D9"/>
          </w:tcPr>
          <w:p w14:paraId="60E7556A" w14:textId="77777777" w:rsidR="002D58E4" w:rsidRDefault="00F721D4">
            <w:pPr>
              <w:rPr>
                <w:b/>
                <w:color w:val="000000"/>
                <w:sz w:val="20"/>
                <w:szCs w:val="20"/>
              </w:rPr>
            </w:pPr>
            <w:r>
              <w:rPr>
                <w:b/>
                <w:color w:val="000000"/>
                <w:sz w:val="20"/>
                <w:szCs w:val="20"/>
              </w:rPr>
              <w:t>Study Design</w:t>
            </w:r>
          </w:p>
        </w:tc>
        <w:tc>
          <w:tcPr>
            <w:tcW w:w="2700" w:type="dxa"/>
            <w:tcBorders>
              <w:top w:val="single" w:sz="6" w:space="0" w:color="AEAEAE"/>
              <w:left w:val="single" w:sz="6" w:space="0" w:color="AEAEAE"/>
              <w:bottom w:val="single" w:sz="6" w:space="0" w:color="AEAEAE"/>
              <w:right w:val="single" w:sz="6" w:space="0" w:color="AEAEAE"/>
            </w:tcBorders>
            <w:shd w:val="clear" w:color="auto" w:fill="D9D9D9"/>
          </w:tcPr>
          <w:p w14:paraId="25C49F26" w14:textId="77777777" w:rsidR="002D58E4" w:rsidRDefault="00F721D4">
            <w:pPr>
              <w:rPr>
                <w:b/>
                <w:color w:val="000000"/>
                <w:sz w:val="20"/>
                <w:szCs w:val="20"/>
              </w:rPr>
            </w:pPr>
            <w:r>
              <w:rPr>
                <w:b/>
                <w:color w:val="000000"/>
                <w:sz w:val="20"/>
                <w:szCs w:val="20"/>
              </w:rPr>
              <w:t>Population Characteristics</w:t>
            </w:r>
          </w:p>
        </w:tc>
        <w:tc>
          <w:tcPr>
            <w:tcW w:w="585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31A395E" w14:textId="77777777" w:rsidR="002D58E4" w:rsidRDefault="00F721D4">
            <w:pPr>
              <w:rPr>
                <w:sz w:val="20"/>
                <w:szCs w:val="20"/>
              </w:rPr>
            </w:pPr>
            <w:r>
              <w:rPr>
                <w:b/>
                <w:color w:val="000000"/>
                <w:sz w:val="20"/>
                <w:szCs w:val="20"/>
              </w:rPr>
              <w:t>Diagnosis Method, % Positive</w:t>
            </w:r>
          </w:p>
        </w:tc>
        <w:tc>
          <w:tcPr>
            <w:tcW w:w="3031"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0178658" w14:textId="77777777" w:rsidR="002D58E4" w:rsidRDefault="00F721D4">
            <w:pPr>
              <w:rPr>
                <w:sz w:val="20"/>
                <w:szCs w:val="20"/>
              </w:rPr>
            </w:pPr>
            <w:r>
              <w:rPr>
                <w:b/>
                <w:color w:val="000000"/>
                <w:sz w:val="20"/>
                <w:szCs w:val="20"/>
              </w:rPr>
              <w:t>Study Conclusions</w:t>
            </w:r>
          </w:p>
        </w:tc>
      </w:tr>
      <w:tr w:rsidR="002D58E4" w14:paraId="377B4474" w14:textId="77777777">
        <w:trPr>
          <w:trHeight w:val="1720"/>
        </w:trPr>
        <w:tc>
          <w:tcPr>
            <w:tcW w:w="138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877CA3D" w14:textId="77777777" w:rsidR="002D58E4" w:rsidRDefault="00F721D4">
            <w:pPr>
              <w:rPr>
                <w:sz w:val="20"/>
                <w:szCs w:val="20"/>
              </w:rPr>
            </w:pPr>
            <w:r>
              <w:rPr>
                <w:sz w:val="20"/>
                <w:szCs w:val="20"/>
              </w:rPr>
              <w:t>Branda, et al., 2017</w:t>
            </w:r>
          </w:p>
          <w:p w14:paraId="069671E9" w14:textId="77777777" w:rsidR="002D58E4" w:rsidRDefault="002D58E4">
            <w:pPr>
              <w:rPr>
                <w:sz w:val="20"/>
                <w:szCs w:val="20"/>
              </w:rPr>
            </w:pPr>
          </w:p>
          <w:p w14:paraId="549CB2C3" w14:textId="77777777" w:rsidR="002D58E4" w:rsidRDefault="00F721D4">
            <w:pPr>
              <w:rPr>
                <w:sz w:val="20"/>
                <w:szCs w:val="20"/>
              </w:rPr>
            </w:pPr>
            <w:r>
              <w:rPr>
                <w:sz w:val="20"/>
                <w:szCs w:val="20"/>
              </w:rPr>
              <w:t>Nantucket, MA and Wakefield, RI</w:t>
            </w:r>
          </w:p>
        </w:tc>
        <w:tc>
          <w:tcPr>
            <w:tcW w:w="1170" w:type="dxa"/>
            <w:tcBorders>
              <w:top w:val="single" w:sz="6" w:space="0" w:color="AEAEAE"/>
              <w:left w:val="single" w:sz="6" w:space="0" w:color="AEAEAE"/>
              <w:bottom w:val="single" w:sz="6" w:space="0" w:color="AEAEAE"/>
              <w:right w:val="single" w:sz="6" w:space="0" w:color="AEAEAE"/>
            </w:tcBorders>
            <w:vAlign w:val="center"/>
          </w:tcPr>
          <w:p w14:paraId="1A82C8BF" w14:textId="77777777" w:rsidR="002D58E4" w:rsidRDefault="00F721D4">
            <w:pPr>
              <w:rPr>
                <w:sz w:val="20"/>
                <w:szCs w:val="20"/>
              </w:rPr>
            </w:pPr>
            <w:r>
              <w:rPr>
                <w:sz w:val="20"/>
                <w:szCs w:val="20"/>
              </w:rPr>
              <w:t>Case-control study</w:t>
            </w:r>
          </w:p>
        </w:tc>
        <w:tc>
          <w:tcPr>
            <w:tcW w:w="2700" w:type="dxa"/>
            <w:tcBorders>
              <w:top w:val="single" w:sz="6" w:space="0" w:color="AEAEAE"/>
              <w:left w:val="single" w:sz="6" w:space="0" w:color="AEAEAE"/>
              <w:bottom w:val="single" w:sz="6" w:space="0" w:color="AEAEAE"/>
              <w:right w:val="single" w:sz="6" w:space="0" w:color="AEAEAE"/>
            </w:tcBorders>
            <w:vAlign w:val="center"/>
          </w:tcPr>
          <w:p w14:paraId="265BFC10" w14:textId="77777777" w:rsidR="002D58E4" w:rsidRDefault="00F721D4">
            <w:pPr>
              <w:spacing w:after="120"/>
              <w:rPr>
                <w:sz w:val="20"/>
                <w:szCs w:val="20"/>
              </w:rPr>
            </w:pPr>
            <w:r>
              <w:rPr>
                <w:sz w:val="20"/>
                <w:szCs w:val="20"/>
              </w:rPr>
              <w:t xml:space="preserve"> Serum samples were collected from patients in hyper-endemic regions who had erythema migrans (EM) diagnosed by a physician (confirmed by culture in 62%). “Samples were collected during the summer tick-transmission seasons in 2012 or 2015. Acute-phase serum samples (N=55) were obtained at initial presentation; convalescent-phase samples (N=47) were obtained after the completion of standard oral antimicrobial regimens, 3–6 weeks after study entry.” </w:t>
            </w:r>
          </w:p>
          <w:p w14:paraId="31E1BFE4" w14:textId="77777777" w:rsidR="002D58E4" w:rsidRDefault="00F721D4">
            <w:pPr>
              <w:spacing w:after="120"/>
              <w:rPr>
                <w:sz w:val="20"/>
                <w:szCs w:val="20"/>
              </w:rPr>
            </w:pPr>
            <w:r>
              <w:rPr>
                <w:sz w:val="20"/>
                <w:szCs w:val="20"/>
              </w:rPr>
              <w:t>Two groups of control patients: (1) patients who had been referred with possible Lyme (N=50), but were diagnosed with other illnesses; (2) healthy, asymptomatic blood donors (N=1,227).</w:t>
            </w:r>
          </w:p>
          <w:p w14:paraId="3C8B4BA5" w14:textId="77777777" w:rsidR="002D58E4" w:rsidRDefault="00F721D4">
            <w:pPr>
              <w:rPr>
                <w:sz w:val="20"/>
                <w:szCs w:val="20"/>
                <w:u w:val="single"/>
              </w:rPr>
            </w:pPr>
            <w:r>
              <w:rPr>
                <w:sz w:val="20"/>
                <w:szCs w:val="20"/>
              </w:rPr>
              <w:t xml:space="preserve">Samples were analyzed using the C6 </w:t>
            </w:r>
            <w:r>
              <w:rPr>
                <w:i/>
                <w:sz w:val="20"/>
                <w:szCs w:val="20"/>
              </w:rPr>
              <w:t xml:space="preserve">B. burgdorferi </w:t>
            </w:r>
            <w:r>
              <w:rPr>
                <w:sz w:val="20"/>
                <w:szCs w:val="20"/>
              </w:rPr>
              <w:t xml:space="preserve">EIA (Immunetics), and the Liaison </w:t>
            </w:r>
            <w:r>
              <w:rPr>
                <w:i/>
                <w:sz w:val="20"/>
                <w:szCs w:val="20"/>
              </w:rPr>
              <w:t>B. burgdorferi</w:t>
            </w:r>
            <w:r>
              <w:rPr>
                <w:sz w:val="20"/>
                <w:szCs w:val="20"/>
              </w:rPr>
              <w:t xml:space="preserve"> CLIA (DiaSorin), as well as 1 of 2 polyvalent Whole Cell Sonicate (WCS) EIA’s. “Western Blots were performed </w:t>
            </w:r>
            <w:r>
              <w:rPr>
                <w:sz w:val="20"/>
                <w:szCs w:val="20"/>
              </w:rPr>
              <w:lastRenderedPageBreak/>
              <w:t xml:space="preserve">using </w:t>
            </w:r>
            <w:r>
              <w:rPr>
                <w:i/>
                <w:sz w:val="20"/>
                <w:szCs w:val="20"/>
              </w:rPr>
              <w:t>Borrelia</w:t>
            </w:r>
            <w:r>
              <w:rPr>
                <w:sz w:val="20"/>
                <w:szCs w:val="20"/>
              </w:rPr>
              <w:t xml:space="preserve"> B31 IgM and IgG ViraBlot or ViraStripe test strips (Viramed Biotech AG).”</w:t>
            </w:r>
          </w:p>
        </w:tc>
        <w:tc>
          <w:tcPr>
            <w:tcW w:w="585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6E1CD29" w14:textId="77777777" w:rsidR="002D58E4" w:rsidRDefault="00F721D4">
            <w:pPr>
              <w:rPr>
                <w:sz w:val="20"/>
                <w:szCs w:val="20"/>
                <w:u w:val="single"/>
              </w:rPr>
            </w:pPr>
            <w:r>
              <w:rPr>
                <w:sz w:val="20"/>
                <w:szCs w:val="20"/>
                <w:u w:val="single"/>
              </w:rPr>
              <w:lastRenderedPageBreak/>
              <w:t>First-Tier Tests:</w:t>
            </w:r>
          </w:p>
          <w:p w14:paraId="5F887E07" w14:textId="77777777" w:rsidR="002D58E4" w:rsidRDefault="00F721D4">
            <w:pPr>
              <w:numPr>
                <w:ilvl w:val="0"/>
                <w:numId w:val="6"/>
              </w:numPr>
              <w:rPr>
                <w:i/>
                <w:sz w:val="20"/>
                <w:szCs w:val="20"/>
              </w:rPr>
            </w:pPr>
            <w:r>
              <w:rPr>
                <w:i/>
                <w:sz w:val="20"/>
                <w:szCs w:val="20"/>
              </w:rPr>
              <w:t>WCS EIA</w:t>
            </w:r>
          </w:p>
          <w:p w14:paraId="1257AE1C" w14:textId="77777777" w:rsidR="002D58E4" w:rsidRDefault="00F721D4">
            <w:pPr>
              <w:numPr>
                <w:ilvl w:val="1"/>
                <w:numId w:val="6"/>
              </w:numPr>
              <w:rPr>
                <w:sz w:val="20"/>
                <w:szCs w:val="20"/>
              </w:rPr>
            </w:pPr>
            <w:r>
              <w:rPr>
                <w:sz w:val="20"/>
                <w:szCs w:val="20"/>
              </w:rPr>
              <w:t>Sensitivity Acute Phase EM: 49%</w:t>
            </w:r>
          </w:p>
          <w:p w14:paraId="48BF1A4C" w14:textId="77777777" w:rsidR="002D58E4" w:rsidRDefault="00F721D4">
            <w:pPr>
              <w:numPr>
                <w:ilvl w:val="1"/>
                <w:numId w:val="6"/>
              </w:numPr>
              <w:rPr>
                <w:sz w:val="20"/>
                <w:szCs w:val="20"/>
              </w:rPr>
            </w:pPr>
            <w:r>
              <w:rPr>
                <w:sz w:val="20"/>
                <w:szCs w:val="20"/>
              </w:rPr>
              <w:t>Sensitivity Convalescent Phase EM: 77%</w:t>
            </w:r>
          </w:p>
          <w:p w14:paraId="6660C34D" w14:textId="77777777" w:rsidR="002D58E4" w:rsidRDefault="00F721D4">
            <w:pPr>
              <w:numPr>
                <w:ilvl w:val="1"/>
                <w:numId w:val="6"/>
              </w:numPr>
              <w:rPr>
                <w:sz w:val="20"/>
                <w:szCs w:val="20"/>
              </w:rPr>
            </w:pPr>
            <w:r>
              <w:rPr>
                <w:sz w:val="20"/>
                <w:szCs w:val="20"/>
              </w:rPr>
              <w:t>Specificity: All controls- 97.4%; Other Illnesses- 78%; Asymptomatic- 98.2%</w:t>
            </w:r>
          </w:p>
          <w:p w14:paraId="29315E2E" w14:textId="77777777" w:rsidR="002D58E4" w:rsidRDefault="00F721D4">
            <w:pPr>
              <w:numPr>
                <w:ilvl w:val="0"/>
                <w:numId w:val="6"/>
              </w:numPr>
              <w:rPr>
                <w:i/>
                <w:sz w:val="20"/>
                <w:szCs w:val="20"/>
              </w:rPr>
            </w:pPr>
            <w:r>
              <w:rPr>
                <w:i/>
                <w:sz w:val="20"/>
                <w:szCs w:val="20"/>
              </w:rPr>
              <w:t>C6 EIA</w:t>
            </w:r>
          </w:p>
          <w:p w14:paraId="65F6D231" w14:textId="77777777" w:rsidR="002D58E4" w:rsidRDefault="00F721D4">
            <w:pPr>
              <w:numPr>
                <w:ilvl w:val="1"/>
                <w:numId w:val="6"/>
              </w:numPr>
              <w:rPr>
                <w:sz w:val="20"/>
                <w:szCs w:val="20"/>
              </w:rPr>
            </w:pPr>
            <w:r>
              <w:rPr>
                <w:sz w:val="20"/>
                <w:szCs w:val="20"/>
              </w:rPr>
              <w:t>Sensitivity Acute Phase EM: 65%</w:t>
            </w:r>
          </w:p>
          <w:p w14:paraId="48EA8694" w14:textId="77777777" w:rsidR="002D58E4" w:rsidRDefault="00F721D4">
            <w:pPr>
              <w:numPr>
                <w:ilvl w:val="1"/>
                <w:numId w:val="6"/>
              </w:numPr>
              <w:rPr>
                <w:sz w:val="20"/>
                <w:szCs w:val="20"/>
              </w:rPr>
            </w:pPr>
            <w:r>
              <w:rPr>
                <w:sz w:val="20"/>
                <w:szCs w:val="20"/>
              </w:rPr>
              <w:t>Sensitivity Convalescent Phase EM: 81%</w:t>
            </w:r>
          </w:p>
          <w:p w14:paraId="6839C15E" w14:textId="77777777" w:rsidR="002D58E4" w:rsidRDefault="00F721D4">
            <w:pPr>
              <w:numPr>
                <w:ilvl w:val="1"/>
                <w:numId w:val="6"/>
              </w:numPr>
              <w:rPr>
                <w:sz w:val="20"/>
                <w:szCs w:val="20"/>
              </w:rPr>
            </w:pPr>
            <w:r>
              <w:rPr>
                <w:sz w:val="20"/>
                <w:szCs w:val="20"/>
              </w:rPr>
              <w:t>Specificity: All controls- 98.4%; Other Illnesses- 98%; Asymptomatic- 98.5%</w:t>
            </w:r>
          </w:p>
          <w:p w14:paraId="0ABC18AE" w14:textId="77777777" w:rsidR="002D58E4" w:rsidRDefault="00F721D4">
            <w:pPr>
              <w:numPr>
                <w:ilvl w:val="0"/>
                <w:numId w:val="6"/>
              </w:numPr>
              <w:rPr>
                <w:i/>
                <w:sz w:val="20"/>
                <w:szCs w:val="20"/>
              </w:rPr>
            </w:pPr>
            <w:r>
              <w:rPr>
                <w:i/>
                <w:sz w:val="20"/>
                <w:szCs w:val="20"/>
              </w:rPr>
              <w:t>VIsE CLIA</w:t>
            </w:r>
          </w:p>
          <w:p w14:paraId="6D0B8368" w14:textId="77777777" w:rsidR="002D58E4" w:rsidRDefault="00F721D4">
            <w:pPr>
              <w:numPr>
                <w:ilvl w:val="1"/>
                <w:numId w:val="6"/>
              </w:numPr>
              <w:rPr>
                <w:sz w:val="20"/>
                <w:szCs w:val="20"/>
              </w:rPr>
            </w:pPr>
            <w:r>
              <w:rPr>
                <w:sz w:val="20"/>
                <w:szCs w:val="20"/>
              </w:rPr>
              <w:t>Sensitivity Acute Phase EM: 55%</w:t>
            </w:r>
          </w:p>
          <w:p w14:paraId="6DBD0F76" w14:textId="77777777" w:rsidR="002D58E4" w:rsidRDefault="00F721D4">
            <w:pPr>
              <w:numPr>
                <w:ilvl w:val="1"/>
                <w:numId w:val="6"/>
              </w:numPr>
              <w:rPr>
                <w:sz w:val="20"/>
                <w:szCs w:val="20"/>
              </w:rPr>
            </w:pPr>
            <w:r>
              <w:rPr>
                <w:sz w:val="20"/>
                <w:szCs w:val="20"/>
              </w:rPr>
              <w:t>Sensitivity Convalescent Phase EM: 72%</w:t>
            </w:r>
          </w:p>
          <w:p w14:paraId="09070440" w14:textId="77777777" w:rsidR="002D58E4" w:rsidRDefault="00F721D4">
            <w:pPr>
              <w:numPr>
                <w:ilvl w:val="1"/>
                <w:numId w:val="6"/>
              </w:numPr>
              <w:rPr>
                <w:sz w:val="20"/>
                <w:szCs w:val="20"/>
              </w:rPr>
            </w:pPr>
            <w:r>
              <w:rPr>
                <w:sz w:val="20"/>
                <w:szCs w:val="20"/>
              </w:rPr>
              <w:t>Specificity: All controls- 98.1%; Other Illnesses- 96%; Asymptomatic- 98.2%</w:t>
            </w:r>
          </w:p>
          <w:p w14:paraId="6D3AD1C1" w14:textId="77777777" w:rsidR="002D58E4" w:rsidRDefault="002D58E4">
            <w:pPr>
              <w:rPr>
                <w:sz w:val="20"/>
                <w:szCs w:val="20"/>
                <w:u w:val="single"/>
              </w:rPr>
            </w:pPr>
          </w:p>
          <w:p w14:paraId="048DD666" w14:textId="77777777" w:rsidR="002D58E4" w:rsidRDefault="00F721D4">
            <w:pPr>
              <w:rPr>
                <w:sz w:val="20"/>
                <w:szCs w:val="20"/>
                <w:u w:val="single"/>
              </w:rPr>
            </w:pPr>
            <w:r>
              <w:rPr>
                <w:sz w:val="20"/>
                <w:szCs w:val="20"/>
                <w:u w:val="single"/>
              </w:rPr>
              <w:t>Two-Tiered Testing with Western Blots:</w:t>
            </w:r>
          </w:p>
          <w:p w14:paraId="5066AF24" w14:textId="77777777" w:rsidR="002D58E4" w:rsidRDefault="00F721D4">
            <w:pPr>
              <w:numPr>
                <w:ilvl w:val="0"/>
                <w:numId w:val="6"/>
              </w:numPr>
              <w:rPr>
                <w:i/>
                <w:sz w:val="20"/>
                <w:szCs w:val="20"/>
              </w:rPr>
            </w:pPr>
            <w:r>
              <w:rPr>
                <w:i/>
                <w:sz w:val="20"/>
                <w:szCs w:val="20"/>
              </w:rPr>
              <w:t>WCS EIA→Western Blot</w:t>
            </w:r>
          </w:p>
          <w:p w14:paraId="0E59D8BD" w14:textId="77777777" w:rsidR="002D58E4" w:rsidRDefault="00F721D4">
            <w:pPr>
              <w:numPr>
                <w:ilvl w:val="1"/>
                <w:numId w:val="6"/>
              </w:numPr>
              <w:rPr>
                <w:sz w:val="20"/>
                <w:szCs w:val="20"/>
              </w:rPr>
            </w:pPr>
            <w:r>
              <w:rPr>
                <w:sz w:val="20"/>
                <w:szCs w:val="20"/>
              </w:rPr>
              <w:t>Sensitivity Acute Phase EM: 25%</w:t>
            </w:r>
          </w:p>
          <w:p w14:paraId="27DC8A47" w14:textId="77777777" w:rsidR="002D58E4" w:rsidRDefault="00F721D4">
            <w:pPr>
              <w:numPr>
                <w:ilvl w:val="1"/>
                <w:numId w:val="6"/>
              </w:numPr>
              <w:rPr>
                <w:sz w:val="20"/>
                <w:szCs w:val="20"/>
              </w:rPr>
            </w:pPr>
            <w:r>
              <w:rPr>
                <w:sz w:val="20"/>
                <w:szCs w:val="20"/>
              </w:rPr>
              <w:t>Sensitivity Convalescent Phase EM: 55%</w:t>
            </w:r>
          </w:p>
          <w:p w14:paraId="52B1816F" w14:textId="77777777" w:rsidR="002D58E4" w:rsidRDefault="00F721D4">
            <w:pPr>
              <w:numPr>
                <w:ilvl w:val="1"/>
                <w:numId w:val="6"/>
              </w:numPr>
              <w:rPr>
                <w:sz w:val="20"/>
                <w:szCs w:val="20"/>
              </w:rPr>
            </w:pPr>
            <w:r>
              <w:rPr>
                <w:sz w:val="20"/>
                <w:szCs w:val="20"/>
              </w:rPr>
              <w:t>Specificity: All controls- 99.5%; Other Illnesses- 100%; Asymptomatic- 99.4%</w:t>
            </w:r>
          </w:p>
          <w:p w14:paraId="7EBF6FA3" w14:textId="77777777" w:rsidR="002D58E4" w:rsidRDefault="00F721D4">
            <w:pPr>
              <w:numPr>
                <w:ilvl w:val="0"/>
                <w:numId w:val="6"/>
              </w:numPr>
              <w:rPr>
                <w:i/>
                <w:sz w:val="20"/>
                <w:szCs w:val="20"/>
              </w:rPr>
            </w:pPr>
            <w:r>
              <w:rPr>
                <w:i/>
                <w:sz w:val="20"/>
                <w:szCs w:val="20"/>
              </w:rPr>
              <w:t>C6 EIA→Western Blot</w:t>
            </w:r>
          </w:p>
          <w:p w14:paraId="112ACB23" w14:textId="77777777" w:rsidR="002D58E4" w:rsidRDefault="00F721D4">
            <w:pPr>
              <w:numPr>
                <w:ilvl w:val="1"/>
                <w:numId w:val="6"/>
              </w:numPr>
              <w:rPr>
                <w:sz w:val="20"/>
                <w:szCs w:val="20"/>
              </w:rPr>
            </w:pPr>
            <w:r>
              <w:rPr>
                <w:sz w:val="20"/>
                <w:szCs w:val="20"/>
              </w:rPr>
              <w:t>Sensitivity Acute Phase EM: 36%</w:t>
            </w:r>
          </w:p>
          <w:p w14:paraId="31BFA833" w14:textId="77777777" w:rsidR="002D58E4" w:rsidRDefault="00F721D4">
            <w:pPr>
              <w:numPr>
                <w:ilvl w:val="1"/>
                <w:numId w:val="6"/>
              </w:numPr>
              <w:rPr>
                <w:sz w:val="20"/>
                <w:szCs w:val="20"/>
              </w:rPr>
            </w:pPr>
            <w:r>
              <w:rPr>
                <w:sz w:val="20"/>
                <w:szCs w:val="20"/>
              </w:rPr>
              <w:t>Sensitivity Convalescent Phase EM: 60%</w:t>
            </w:r>
          </w:p>
          <w:p w14:paraId="20A485FE" w14:textId="77777777" w:rsidR="002D58E4" w:rsidRDefault="00F721D4">
            <w:pPr>
              <w:numPr>
                <w:ilvl w:val="1"/>
                <w:numId w:val="6"/>
              </w:numPr>
              <w:rPr>
                <w:sz w:val="20"/>
                <w:szCs w:val="20"/>
              </w:rPr>
            </w:pPr>
            <w:r>
              <w:rPr>
                <w:sz w:val="20"/>
                <w:szCs w:val="20"/>
              </w:rPr>
              <w:t>Specificity: All controls- 99.7%; Other Illnesses- 100%; Asymptomatic- 99.7%</w:t>
            </w:r>
          </w:p>
          <w:p w14:paraId="62B53677" w14:textId="77777777" w:rsidR="002D58E4" w:rsidRDefault="00F721D4">
            <w:pPr>
              <w:numPr>
                <w:ilvl w:val="0"/>
                <w:numId w:val="6"/>
              </w:numPr>
              <w:rPr>
                <w:i/>
                <w:sz w:val="20"/>
                <w:szCs w:val="20"/>
              </w:rPr>
            </w:pPr>
            <w:r>
              <w:rPr>
                <w:i/>
                <w:sz w:val="20"/>
                <w:szCs w:val="20"/>
              </w:rPr>
              <w:t>VIsE CLIA→Western Blot</w:t>
            </w:r>
          </w:p>
          <w:p w14:paraId="5CF76139" w14:textId="77777777" w:rsidR="002D58E4" w:rsidRDefault="00F721D4">
            <w:pPr>
              <w:numPr>
                <w:ilvl w:val="1"/>
                <w:numId w:val="6"/>
              </w:numPr>
              <w:rPr>
                <w:sz w:val="20"/>
                <w:szCs w:val="20"/>
              </w:rPr>
            </w:pPr>
            <w:r>
              <w:rPr>
                <w:sz w:val="20"/>
                <w:szCs w:val="20"/>
              </w:rPr>
              <w:t>Sensitivity Acute Phase EM: 35%</w:t>
            </w:r>
          </w:p>
          <w:p w14:paraId="1959BA6D" w14:textId="77777777" w:rsidR="002D58E4" w:rsidRDefault="00F721D4">
            <w:pPr>
              <w:numPr>
                <w:ilvl w:val="1"/>
                <w:numId w:val="6"/>
              </w:numPr>
              <w:rPr>
                <w:sz w:val="20"/>
                <w:szCs w:val="20"/>
              </w:rPr>
            </w:pPr>
            <w:r>
              <w:rPr>
                <w:sz w:val="20"/>
                <w:szCs w:val="20"/>
              </w:rPr>
              <w:t>Sensitivity Convalescent Phase EM: 57%</w:t>
            </w:r>
          </w:p>
          <w:p w14:paraId="22519E99" w14:textId="77777777" w:rsidR="002D58E4" w:rsidRDefault="00F721D4">
            <w:pPr>
              <w:numPr>
                <w:ilvl w:val="1"/>
                <w:numId w:val="6"/>
              </w:numPr>
              <w:rPr>
                <w:sz w:val="20"/>
                <w:szCs w:val="20"/>
              </w:rPr>
            </w:pPr>
            <w:r>
              <w:rPr>
                <w:sz w:val="20"/>
                <w:szCs w:val="20"/>
              </w:rPr>
              <w:lastRenderedPageBreak/>
              <w:t>Specificity: All controls- 99.7%; Other Illnesses- 100%; Asymptomatic- 99.7%</w:t>
            </w:r>
          </w:p>
          <w:p w14:paraId="303E137F" w14:textId="77777777" w:rsidR="002D58E4" w:rsidRDefault="002D58E4">
            <w:pPr>
              <w:ind w:left="770"/>
              <w:rPr>
                <w:sz w:val="20"/>
                <w:szCs w:val="20"/>
              </w:rPr>
            </w:pPr>
          </w:p>
          <w:p w14:paraId="587EC6A7" w14:textId="77777777" w:rsidR="002D58E4" w:rsidRDefault="00F721D4">
            <w:pPr>
              <w:rPr>
                <w:sz w:val="20"/>
                <w:szCs w:val="20"/>
                <w:u w:val="single"/>
              </w:rPr>
            </w:pPr>
            <w:r>
              <w:rPr>
                <w:sz w:val="20"/>
                <w:szCs w:val="20"/>
                <w:u w:val="single"/>
              </w:rPr>
              <w:t>Modified Two-Tiered Testing:</w:t>
            </w:r>
          </w:p>
          <w:p w14:paraId="1297D481" w14:textId="77777777" w:rsidR="002D58E4" w:rsidRDefault="00F721D4">
            <w:pPr>
              <w:numPr>
                <w:ilvl w:val="0"/>
                <w:numId w:val="6"/>
              </w:numPr>
              <w:rPr>
                <w:i/>
                <w:sz w:val="20"/>
                <w:szCs w:val="20"/>
              </w:rPr>
            </w:pPr>
            <w:r>
              <w:rPr>
                <w:i/>
                <w:sz w:val="20"/>
                <w:szCs w:val="20"/>
              </w:rPr>
              <w:t>WCS EIA→C6 EIA</w:t>
            </w:r>
          </w:p>
          <w:p w14:paraId="65C0188D" w14:textId="77777777" w:rsidR="002D58E4" w:rsidRDefault="00F721D4">
            <w:pPr>
              <w:numPr>
                <w:ilvl w:val="1"/>
                <w:numId w:val="6"/>
              </w:numPr>
              <w:rPr>
                <w:sz w:val="20"/>
                <w:szCs w:val="20"/>
              </w:rPr>
            </w:pPr>
            <w:r>
              <w:rPr>
                <w:sz w:val="20"/>
                <w:szCs w:val="20"/>
              </w:rPr>
              <w:t>Sensitivity Acute Phase EM: 38%</w:t>
            </w:r>
          </w:p>
          <w:p w14:paraId="157AC233" w14:textId="77777777" w:rsidR="002D58E4" w:rsidRDefault="00F721D4">
            <w:pPr>
              <w:numPr>
                <w:ilvl w:val="1"/>
                <w:numId w:val="6"/>
              </w:numPr>
              <w:rPr>
                <w:sz w:val="20"/>
                <w:szCs w:val="20"/>
              </w:rPr>
            </w:pPr>
            <w:r>
              <w:rPr>
                <w:sz w:val="20"/>
                <w:szCs w:val="20"/>
              </w:rPr>
              <w:t>Sensitivity Convalescent Phase EM: 72%</w:t>
            </w:r>
          </w:p>
          <w:p w14:paraId="2178E45D" w14:textId="77777777" w:rsidR="002D58E4" w:rsidRDefault="00F721D4">
            <w:pPr>
              <w:numPr>
                <w:ilvl w:val="1"/>
                <w:numId w:val="6"/>
              </w:numPr>
              <w:rPr>
                <w:sz w:val="20"/>
                <w:szCs w:val="20"/>
              </w:rPr>
            </w:pPr>
            <w:r>
              <w:rPr>
                <w:sz w:val="20"/>
                <w:szCs w:val="20"/>
              </w:rPr>
              <w:t>Specificity: All controls- 99.5%; Other Illnesses- 100%; Asymptomatic- 99.4%</w:t>
            </w:r>
          </w:p>
          <w:p w14:paraId="35DD825A" w14:textId="77777777" w:rsidR="002D58E4" w:rsidRDefault="00F721D4">
            <w:pPr>
              <w:numPr>
                <w:ilvl w:val="0"/>
                <w:numId w:val="6"/>
              </w:numPr>
              <w:rPr>
                <w:i/>
                <w:sz w:val="20"/>
                <w:szCs w:val="20"/>
              </w:rPr>
            </w:pPr>
            <w:r>
              <w:rPr>
                <w:i/>
                <w:sz w:val="20"/>
                <w:szCs w:val="20"/>
              </w:rPr>
              <w:t>WCS EIA→VIsE CLIA</w:t>
            </w:r>
          </w:p>
          <w:p w14:paraId="0DDE83E0" w14:textId="77777777" w:rsidR="002D58E4" w:rsidRDefault="00F721D4">
            <w:pPr>
              <w:numPr>
                <w:ilvl w:val="1"/>
                <w:numId w:val="6"/>
              </w:numPr>
              <w:rPr>
                <w:sz w:val="20"/>
                <w:szCs w:val="20"/>
              </w:rPr>
            </w:pPr>
            <w:r>
              <w:rPr>
                <w:sz w:val="20"/>
                <w:szCs w:val="20"/>
              </w:rPr>
              <w:t>Sensitivity Acute Phase EM: 36%</w:t>
            </w:r>
          </w:p>
          <w:p w14:paraId="2C75DF4D" w14:textId="77777777" w:rsidR="002D58E4" w:rsidRDefault="00F721D4">
            <w:pPr>
              <w:numPr>
                <w:ilvl w:val="1"/>
                <w:numId w:val="6"/>
              </w:numPr>
              <w:rPr>
                <w:sz w:val="20"/>
                <w:szCs w:val="20"/>
              </w:rPr>
            </w:pPr>
            <w:r>
              <w:rPr>
                <w:sz w:val="20"/>
                <w:szCs w:val="20"/>
              </w:rPr>
              <w:t>Sensitivity Convalescent Phase EM: 66%</w:t>
            </w:r>
          </w:p>
          <w:p w14:paraId="410445EB" w14:textId="77777777" w:rsidR="002D58E4" w:rsidRDefault="00F721D4">
            <w:pPr>
              <w:numPr>
                <w:ilvl w:val="1"/>
                <w:numId w:val="6"/>
              </w:numPr>
              <w:rPr>
                <w:sz w:val="20"/>
                <w:szCs w:val="20"/>
              </w:rPr>
            </w:pPr>
            <w:r>
              <w:rPr>
                <w:sz w:val="20"/>
                <w:szCs w:val="20"/>
              </w:rPr>
              <w:t>Specificity: All controls- 99.5%; Other Illnesses- 100%; Asymptomatic- 99.4%</w:t>
            </w:r>
          </w:p>
          <w:p w14:paraId="5BFB2402" w14:textId="77777777" w:rsidR="002D58E4" w:rsidRDefault="00F721D4">
            <w:pPr>
              <w:numPr>
                <w:ilvl w:val="0"/>
                <w:numId w:val="6"/>
              </w:numPr>
              <w:rPr>
                <w:i/>
                <w:sz w:val="20"/>
                <w:szCs w:val="20"/>
              </w:rPr>
            </w:pPr>
            <w:r>
              <w:rPr>
                <w:i/>
                <w:sz w:val="20"/>
                <w:szCs w:val="20"/>
              </w:rPr>
              <w:t>VIsE CLIA→C6 EIA</w:t>
            </w:r>
          </w:p>
          <w:p w14:paraId="4CA1402F" w14:textId="77777777" w:rsidR="002D58E4" w:rsidRDefault="00F721D4">
            <w:pPr>
              <w:numPr>
                <w:ilvl w:val="1"/>
                <w:numId w:val="6"/>
              </w:numPr>
              <w:rPr>
                <w:sz w:val="20"/>
                <w:szCs w:val="20"/>
              </w:rPr>
            </w:pPr>
            <w:r>
              <w:rPr>
                <w:sz w:val="20"/>
                <w:szCs w:val="20"/>
              </w:rPr>
              <w:t>Sensitivity Acute Phase EM: 54%</w:t>
            </w:r>
          </w:p>
          <w:p w14:paraId="612834A5" w14:textId="77777777" w:rsidR="002D58E4" w:rsidRDefault="00F721D4">
            <w:pPr>
              <w:numPr>
                <w:ilvl w:val="1"/>
                <w:numId w:val="6"/>
              </w:numPr>
              <w:rPr>
                <w:sz w:val="20"/>
                <w:szCs w:val="20"/>
              </w:rPr>
            </w:pPr>
            <w:r>
              <w:rPr>
                <w:sz w:val="20"/>
                <w:szCs w:val="20"/>
              </w:rPr>
              <w:t>Sensitivity Convalescent Phase EM: 72%</w:t>
            </w:r>
          </w:p>
          <w:p w14:paraId="5E789B85" w14:textId="77777777" w:rsidR="002D58E4" w:rsidRDefault="00F721D4">
            <w:pPr>
              <w:numPr>
                <w:ilvl w:val="1"/>
                <w:numId w:val="6"/>
              </w:numPr>
              <w:rPr>
                <w:sz w:val="20"/>
                <w:szCs w:val="20"/>
              </w:rPr>
            </w:pPr>
            <w:r>
              <w:rPr>
                <w:sz w:val="20"/>
                <w:szCs w:val="20"/>
              </w:rPr>
              <w:t>Specificity: All controls- 99.3%; Other Illnesses- 98%; Asymptomatic- 99.4%</w:t>
            </w:r>
          </w:p>
        </w:tc>
        <w:tc>
          <w:tcPr>
            <w:tcW w:w="3031" w:type="dxa"/>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53F327A4" w14:textId="77777777" w:rsidR="002D58E4" w:rsidRDefault="00F721D4">
            <w:pPr>
              <w:rPr>
                <w:sz w:val="20"/>
                <w:szCs w:val="20"/>
              </w:rPr>
            </w:pPr>
            <w:r>
              <w:rPr>
                <w:sz w:val="20"/>
                <w:szCs w:val="20"/>
              </w:rPr>
              <w:lastRenderedPageBreak/>
              <w:t xml:space="preserve">The authors concluded that a Modified Two-Tiered Testing (MTTT) protocol involving the WCS EIA followed by a C6 EIA provides similar or greater sensitivity than Two-tiered protocols involving Western Blots, while maintaining a comparable specificity, in patients with acute or convalescent-phase erythema migrans (EM). They noted no significant difference in sensitivity or specificity when the the C6 EIA was replaced by the VIsE CLIA in this MTTT protocol. </w:t>
            </w:r>
          </w:p>
          <w:p w14:paraId="32448EC1" w14:textId="77777777" w:rsidR="002D58E4" w:rsidRDefault="002D58E4">
            <w:pPr>
              <w:rPr>
                <w:sz w:val="20"/>
                <w:szCs w:val="20"/>
              </w:rPr>
            </w:pPr>
          </w:p>
          <w:p w14:paraId="0B25433B" w14:textId="77777777" w:rsidR="002D58E4" w:rsidRDefault="00F721D4">
            <w:pPr>
              <w:rPr>
                <w:sz w:val="20"/>
                <w:szCs w:val="20"/>
              </w:rPr>
            </w:pPr>
            <w:r>
              <w:rPr>
                <w:sz w:val="20"/>
                <w:szCs w:val="20"/>
              </w:rPr>
              <w:t xml:space="preserve">“The highest sensitivity in patients with acute EM was obtained using a third MTTT protocol, involving a VlsE CLIA as the first-tier test, and a C6 EIA as the second-tier test. This was expected; the other 2 MTTT protocols used a WCS EIA in the first tier, and this assay was less sensitive as an individual test compared with the VlsE CLIA or C6 EIA in patients with acute EM. Moreover, the MTTT protocol using a VlsE CLIA followed by a </w:t>
            </w:r>
            <w:r>
              <w:rPr>
                <w:sz w:val="20"/>
                <w:szCs w:val="20"/>
              </w:rPr>
              <w:lastRenderedPageBreak/>
              <w:t>C6 EIA was similarly specific compared with the other MTTT protocols or with 2-tiered protocols involving Western Blots.”</w:t>
            </w:r>
          </w:p>
          <w:p w14:paraId="2F90DBFE" w14:textId="77777777" w:rsidR="002D58E4" w:rsidRDefault="002D58E4">
            <w:pPr>
              <w:rPr>
                <w:sz w:val="20"/>
                <w:szCs w:val="20"/>
              </w:rPr>
            </w:pPr>
          </w:p>
          <w:p w14:paraId="63546388" w14:textId="77777777" w:rsidR="002D58E4" w:rsidRDefault="00F721D4">
            <w:pPr>
              <w:rPr>
                <w:sz w:val="20"/>
                <w:szCs w:val="20"/>
              </w:rPr>
            </w:pPr>
            <w:r>
              <w:rPr>
                <w:sz w:val="20"/>
                <w:szCs w:val="20"/>
              </w:rPr>
              <w:t xml:space="preserve">The authors conclude that MTTT protocols provide reliable results regarding seropositivity in the early stages of Lyme disease and suggest that any one of the MTTT protocols assessed would be an adequate substitute for conventional Two-Tiered testing methods. </w:t>
            </w:r>
          </w:p>
        </w:tc>
      </w:tr>
      <w:tr w:rsidR="002D58E4" w14:paraId="7AF521C8" w14:textId="77777777">
        <w:trPr>
          <w:trHeight w:val="1720"/>
        </w:trPr>
        <w:tc>
          <w:tcPr>
            <w:tcW w:w="138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EFDED23" w14:textId="77777777" w:rsidR="002D58E4" w:rsidRDefault="00F721D4">
            <w:pPr>
              <w:rPr>
                <w:sz w:val="20"/>
                <w:szCs w:val="20"/>
              </w:rPr>
            </w:pPr>
            <w:r>
              <w:rPr>
                <w:sz w:val="20"/>
                <w:szCs w:val="20"/>
              </w:rPr>
              <w:lastRenderedPageBreak/>
              <w:t>Bradshaw, et al., 2017</w:t>
            </w:r>
          </w:p>
        </w:tc>
        <w:tc>
          <w:tcPr>
            <w:tcW w:w="1170" w:type="dxa"/>
            <w:tcBorders>
              <w:top w:val="single" w:sz="6" w:space="0" w:color="AEAEAE"/>
              <w:left w:val="single" w:sz="6" w:space="0" w:color="AEAEAE"/>
              <w:bottom w:val="single" w:sz="6" w:space="0" w:color="AEAEAE"/>
              <w:right w:val="single" w:sz="6" w:space="0" w:color="AEAEAE"/>
            </w:tcBorders>
            <w:vAlign w:val="center"/>
          </w:tcPr>
          <w:p w14:paraId="3E7F06C5" w14:textId="77777777" w:rsidR="002D58E4" w:rsidRDefault="00F721D4">
            <w:pPr>
              <w:rPr>
                <w:sz w:val="20"/>
                <w:szCs w:val="20"/>
              </w:rPr>
            </w:pPr>
            <w:r>
              <w:rPr>
                <w:sz w:val="20"/>
                <w:szCs w:val="20"/>
              </w:rPr>
              <w:t>Blind laboratory study</w:t>
            </w:r>
          </w:p>
        </w:tc>
        <w:tc>
          <w:tcPr>
            <w:tcW w:w="2700" w:type="dxa"/>
            <w:tcBorders>
              <w:top w:val="single" w:sz="6" w:space="0" w:color="AEAEAE"/>
              <w:left w:val="single" w:sz="6" w:space="0" w:color="AEAEAE"/>
              <w:bottom w:val="single" w:sz="6" w:space="0" w:color="AEAEAE"/>
              <w:right w:val="single" w:sz="6" w:space="0" w:color="AEAEAE"/>
            </w:tcBorders>
            <w:vAlign w:val="center"/>
          </w:tcPr>
          <w:p w14:paraId="2A33901B" w14:textId="77777777" w:rsidR="002D58E4" w:rsidRDefault="00F721D4">
            <w:pPr>
              <w:spacing w:after="120"/>
              <w:rPr>
                <w:sz w:val="20"/>
                <w:szCs w:val="20"/>
              </w:rPr>
            </w:pPr>
            <w:r>
              <w:rPr>
                <w:sz w:val="20"/>
                <w:szCs w:val="20"/>
              </w:rPr>
              <w:t>279 human sera from the CDC gathered from Lyme disease patients and negative control subjects. 89 of these sera were from physician-diagnosed Lyme-positive patients. The remaining sera included 100 samples from healthy individuals (50 from areas where LD is not endemic and 50 from areas where it is endemic) and 90 sera from patients with fibromyalgia (n= 15), mononucleosis (n= 15), multiple sclerosis (n= 15), periodontitis (n= 15), rheumatoid arthritis (n= 15), and syphilis (n= 15).</w:t>
            </w:r>
          </w:p>
        </w:tc>
        <w:tc>
          <w:tcPr>
            <w:tcW w:w="585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72C1BCD" w14:textId="77777777" w:rsidR="002D58E4" w:rsidRDefault="00F721D4">
            <w:pPr>
              <w:rPr>
                <w:sz w:val="20"/>
                <w:szCs w:val="20"/>
                <w:u w:val="single"/>
              </w:rPr>
            </w:pPr>
            <w:r>
              <w:rPr>
                <w:sz w:val="20"/>
                <w:szCs w:val="20"/>
                <w:u w:val="single"/>
              </w:rPr>
              <w:t>Stage 1 Lyme Disease:</w:t>
            </w:r>
          </w:p>
          <w:p w14:paraId="12333F99" w14:textId="77777777" w:rsidR="002D58E4" w:rsidRPr="007132E3" w:rsidRDefault="00F721D4">
            <w:pPr>
              <w:numPr>
                <w:ilvl w:val="0"/>
                <w:numId w:val="32"/>
              </w:numPr>
              <w:pBdr>
                <w:top w:val="nil"/>
                <w:left w:val="nil"/>
                <w:bottom w:val="nil"/>
                <w:right w:val="nil"/>
                <w:between w:val="nil"/>
              </w:pBdr>
              <w:spacing w:line="276" w:lineRule="auto"/>
              <w:rPr>
                <w:color w:val="000000"/>
                <w:sz w:val="20"/>
                <w:szCs w:val="20"/>
              </w:rPr>
            </w:pPr>
            <w:r w:rsidRPr="007132E3">
              <w:rPr>
                <w:color w:val="000000"/>
                <w:sz w:val="20"/>
                <w:szCs w:val="20"/>
              </w:rPr>
              <w:t>DpbA/C6-OspC Sensitivity (IgG/IgM): 80%</w:t>
            </w:r>
          </w:p>
          <w:p w14:paraId="61EDE1E3" w14:textId="60C5D4E7" w:rsidR="002D58E4" w:rsidRPr="00C34495" w:rsidRDefault="00F721D4" w:rsidP="00C34495">
            <w:pPr>
              <w:numPr>
                <w:ilvl w:val="0"/>
                <w:numId w:val="32"/>
              </w:numPr>
              <w:pBdr>
                <w:top w:val="nil"/>
                <w:left w:val="nil"/>
                <w:bottom w:val="nil"/>
                <w:right w:val="nil"/>
                <w:between w:val="nil"/>
              </w:pBdr>
              <w:spacing w:after="200" w:line="276" w:lineRule="auto"/>
              <w:rPr>
                <w:color w:val="000000"/>
                <w:sz w:val="20"/>
                <w:szCs w:val="20"/>
              </w:rPr>
            </w:pPr>
            <w:r w:rsidRPr="007132E3">
              <w:rPr>
                <w:color w:val="000000"/>
                <w:sz w:val="20"/>
                <w:szCs w:val="20"/>
              </w:rPr>
              <w:t>2-tier Sensitivity (IgG/IgM): 63%</w:t>
            </w:r>
          </w:p>
          <w:p w14:paraId="7DFFA6EA" w14:textId="77777777" w:rsidR="002D58E4" w:rsidRDefault="00F721D4">
            <w:pPr>
              <w:rPr>
                <w:sz w:val="20"/>
                <w:szCs w:val="20"/>
                <w:u w:val="single"/>
              </w:rPr>
            </w:pPr>
            <w:r>
              <w:rPr>
                <w:sz w:val="20"/>
                <w:szCs w:val="20"/>
                <w:u w:val="single"/>
              </w:rPr>
              <w:t>Stages II and III Lyme Disease:</w:t>
            </w:r>
          </w:p>
          <w:p w14:paraId="53B35CF6" w14:textId="77777777" w:rsidR="002D58E4" w:rsidRPr="007132E3" w:rsidRDefault="00F721D4">
            <w:pPr>
              <w:numPr>
                <w:ilvl w:val="0"/>
                <w:numId w:val="32"/>
              </w:numPr>
              <w:pBdr>
                <w:top w:val="nil"/>
                <w:left w:val="nil"/>
                <w:bottom w:val="nil"/>
                <w:right w:val="nil"/>
                <w:between w:val="nil"/>
              </w:pBdr>
              <w:spacing w:line="276" w:lineRule="auto"/>
              <w:rPr>
                <w:color w:val="000000"/>
                <w:sz w:val="20"/>
                <w:szCs w:val="20"/>
              </w:rPr>
            </w:pPr>
            <w:r w:rsidRPr="007132E3">
              <w:rPr>
                <w:color w:val="000000"/>
                <w:sz w:val="20"/>
                <w:szCs w:val="20"/>
              </w:rPr>
              <w:t>DpbA/C6-OspC Sensitivity (IgG/IgM): 100%</w:t>
            </w:r>
          </w:p>
          <w:p w14:paraId="2601A36D" w14:textId="0376F843" w:rsidR="002D58E4" w:rsidRPr="00C34495" w:rsidRDefault="00F721D4" w:rsidP="00C34495">
            <w:pPr>
              <w:numPr>
                <w:ilvl w:val="0"/>
                <w:numId w:val="32"/>
              </w:numPr>
              <w:pBdr>
                <w:top w:val="nil"/>
                <w:left w:val="nil"/>
                <w:bottom w:val="nil"/>
                <w:right w:val="nil"/>
                <w:between w:val="nil"/>
              </w:pBdr>
              <w:spacing w:after="200" w:line="276" w:lineRule="auto"/>
              <w:rPr>
                <w:color w:val="000000"/>
                <w:sz w:val="20"/>
                <w:szCs w:val="20"/>
              </w:rPr>
            </w:pPr>
            <w:r w:rsidRPr="007132E3">
              <w:rPr>
                <w:color w:val="000000"/>
                <w:sz w:val="20"/>
                <w:szCs w:val="20"/>
              </w:rPr>
              <w:t>2-tier Sensitivity</w:t>
            </w:r>
            <w:r w:rsidRPr="007132E3">
              <w:rPr>
                <w:color w:val="000000"/>
              </w:rPr>
              <w:t xml:space="preserve"> </w:t>
            </w:r>
            <w:r w:rsidRPr="007132E3">
              <w:rPr>
                <w:color w:val="000000"/>
                <w:sz w:val="20"/>
                <w:szCs w:val="20"/>
              </w:rPr>
              <w:t>(IgG/IgM): 100%</w:t>
            </w:r>
          </w:p>
          <w:p w14:paraId="27E74B77" w14:textId="77777777" w:rsidR="002D58E4" w:rsidRDefault="00F721D4">
            <w:pPr>
              <w:rPr>
                <w:sz w:val="20"/>
                <w:szCs w:val="20"/>
                <w:u w:val="single"/>
              </w:rPr>
            </w:pPr>
            <w:r>
              <w:rPr>
                <w:sz w:val="20"/>
                <w:szCs w:val="20"/>
                <w:u w:val="single"/>
              </w:rPr>
              <w:t xml:space="preserve">Negative controls: </w:t>
            </w:r>
          </w:p>
          <w:p w14:paraId="6F46D6EA" w14:textId="77777777" w:rsidR="002D58E4" w:rsidRPr="007132E3" w:rsidRDefault="00F721D4">
            <w:pPr>
              <w:numPr>
                <w:ilvl w:val="0"/>
                <w:numId w:val="32"/>
              </w:numPr>
              <w:pBdr>
                <w:top w:val="nil"/>
                <w:left w:val="nil"/>
                <w:bottom w:val="nil"/>
                <w:right w:val="nil"/>
                <w:between w:val="nil"/>
              </w:pBdr>
              <w:spacing w:line="276" w:lineRule="auto"/>
              <w:rPr>
                <w:color w:val="000000"/>
                <w:sz w:val="20"/>
                <w:szCs w:val="20"/>
              </w:rPr>
            </w:pPr>
            <w:r w:rsidRPr="007132E3">
              <w:rPr>
                <w:color w:val="000000"/>
                <w:sz w:val="20"/>
                <w:szCs w:val="20"/>
              </w:rPr>
              <w:t>DpbA/C6-OspC Specificity (IgG): 100%</w:t>
            </w:r>
          </w:p>
          <w:p w14:paraId="0BAFC22D" w14:textId="77777777" w:rsidR="002D58E4" w:rsidRPr="007132E3" w:rsidRDefault="00F721D4">
            <w:pPr>
              <w:numPr>
                <w:ilvl w:val="0"/>
                <w:numId w:val="32"/>
              </w:numPr>
              <w:pBdr>
                <w:top w:val="nil"/>
                <w:left w:val="nil"/>
                <w:bottom w:val="nil"/>
                <w:right w:val="nil"/>
                <w:between w:val="nil"/>
              </w:pBdr>
              <w:spacing w:line="276" w:lineRule="auto"/>
              <w:rPr>
                <w:color w:val="000000"/>
                <w:sz w:val="20"/>
                <w:szCs w:val="20"/>
              </w:rPr>
            </w:pPr>
            <w:r w:rsidRPr="007132E3">
              <w:rPr>
                <w:color w:val="000000"/>
                <w:sz w:val="20"/>
                <w:szCs w:val="20"/>
              </w:rPr>
              <w:t>DpbA/C6-OspC Specificity (IgM): 100%</w:t>
            </w:r>
          </w:p>
          <w:p w14:paraId="70B8F2DD" w14:textId="77777777" w:rsidR="002D58E4" w:rsidRPr="007132E3" w:rsidRDefault="00F721D4">
            <w:pPr>
              <w:numPr>
                <w:ilvl w:val="0"/>
                <w:numId w:val="32"/>
              </w:numPr>
              <w:pBdr>
                <w:top w:val="nil"/>
                <w:left w:val="nil"/>
                <w:bottom w:val="nil"/>
                <w:right w:val="nil"/>
                <w:between w:val="nil"/>
              </w:pBdr>
              <w:spacing w:line="276" w:lineRule="auto"/>
              <w:rPr>
                <w:color w:val="000000"/>
                <w:sz w:val="20"/>
                <w:szCs w:val="20"/>
              </w:rPr>
            </w:pPr>
            <w:r w:rsidRPr="007132E3">
              <w:rPr>
                <w:color w:val="000000"/>
                <w:sz w:val="20"/>
                <w:szCs w:val="20"/>
              </w:rPr>
              <w:t>2-tier Specificity (IgG): 98.8%</w:t>
            </w:r>
          </w:p>
          <w:p w14:paraId="024A032C" w14:textId="77777777" w:rsidR="002D58E4" w:rsidRDefault="00F721D4">
            <w:pPr>
              <w:numPr>
                <w:ilvl w:val="0"/>
                <w:numId w:val="32"/>
              </w:numPr>
              <w:pBdr>
                <w:top w:val="nil"/>
                <w:left w:val="nil"/>
                <w:bottom w:val="nil"/>
                <w:right w:val="nil"/>
                <w:between w:val="nil"/>
              </w:pBdr>
              <w:spacing w:after="200" w:line="276" w:lineRule="auto"/>
              <w:rPr>
                <w:color w:val="000000"/>
                <w:sz w:val="20"/>
                <w:szCs w:val="20"/>
                <w:u w:val="single"/>
              </w:rPr>
            </w:pPr>
            <w:r w:rsidRPr="007132E3">
              <w:rPr>
                <w:color w:val="000000"/>
                <w:sz w:val="20"/>
                <w:szCs w:val="20"/>
              </w:rPr>
              <w:t>2-tier Specificity (IgM): 100%</w:t>
            </w:r>
          </w:p>
        </w:tc>
        <w:tc>
          <w:tcPr>
            <w:tcW w:w="3031" w:type="dxa"/>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6C685E43" w14:textId="77777777" w:rsidR="002D58E4" w:rsidRDefault="00F721D4">
            <w:pPr>
              <w:rPr>
                <w:sz w:val="20"/>
                <w:szCs w:val="20"/>
              </w:rPr>
            </w:pPr>
            <w:r>
              <w:rPr>
                <w:sz w:val="20"/>
                <w:szCs w:val="20"/>
              </w:rPr>
              <w:t>The DbpA/C6-OspC ELISA performed better (80% versus 63%) than the 2-tier test method in detecting anti-</w:t>
            </w:r>
            <w:r>
              <w:rPr>
                <w:i/>
                <w:sz w:val="20"/>
                <w:szCs w:val="20"/>
              </w:rPr>
              <w:t>Borrelia</w:t>
            </w:r>
            <w:r>
              <w:rPr>
                <w:sz w:val="20"/>
                <w:szCs w:val="20"/>
              </w:rPr>
              <w:t xml:space="preserve"> antibodies in stage I Lyme patients. The authors conclude that these antigens could be used in a simple 1-tier ELISA that is faster to perform, easier to interpret, and less expensive than the 2-tier test method, in addition to being better at detecting </w:t>
            </w:r>
            <w:r>
              <w:rPr>
                <w:i/>
                <w:sz w:val="20"/>
                <w:szCs w:val="20"/>
              </w:rPr>
              <w:t>Borrelia</w:t>
            </w:r>
            <w:r>
              <w:rPr>
                <w:sz w:val="20"/>
                <w:szCs w:val="20"/>
              </w:rPr>
              <w:t>-specific antibodies.</w:t>
            </w:r>
          </w:p>
        </w:tc>
      </w:tr>
      <w:tr w:rsidR="002D58E4" w14:paraId="71656EDE" w14:textId="77777777" w:rsidTr="00C34495">
        <w:trPr>
          <w:trHeight w:val="967"/>
        </w:trPr>
        <w:tc>
          <w:tcPr>
            <w:tcW w:w="138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91DE6BA" w14:textId="77777777" w:rsidR="002D58E4" w:rsidRDefault="00F721D4" w:rsidP="00C34495">
            <w:pPr>
              <w:rPr>
                <w:sz w:val="20"/>
                <w:szCs w:val="20"/>
              </w:rPr>
            </w:pPr>
            <w:r>
              <w:rPr>
                <w:sz w:val="20"/>
                <w:szCs w:val="20"/>
              </w:rPr>
              <w:lastRenderedPageBreak/>
              <w:t>Molins, et al., 2017</w:t>
            </w:r>
          </w:p>
        </w:tc>
        <w:tc>
          <w:tcPr>
            <w:tcW w:w="1170" w:type="dxa"/>
            <w:tcBorders>
              <w:top w:val="single" w:sz="6" w:space="0" w:color="AEAEAE"/>
              <w:left w:val="single" w:sz="6" w:space="0" w:color="AEAEAE"/>
              <w:bottom w:val="single" w:sz="6" w:space="0" w:color="AEAEAE"/>
              <w:right w:val="single" w:sz="6" w:space="0" w:color="AEAEAE"/>
            </w:tcBorders>
            <w:vAlign w:val="center"/>
          </w:tcPr>
          <w:p w14:paraId="7B2924CA" w14:textId="77777777" w:rsidR="002D58E4" w:rsidRDefault="00F721D4" w:rsidP="00C34495">
            <w:pPr>
              <w:rPr>
                <w:sz w:val="20"/>
                <w:szCs w:val="20"/>
              </w:rPr>
            </w:pPr>
            <w:r>
              <w:rPr>
                <w:sz w:val="20"/>
                <w:szCs w:val="20"/>
              </w:rPr>
              <w:t>Blind laboratory study</w:t>
            </w:r>
          </w:p>
        </w:tc>
        <w:tc>
          <w:tcPr>
            <w:tcW w:w="2700" w:type="dxa"/>
            <w:tcBorders>
              <w:top w:val="single" w:sz="6" w:space="0" w:color="AEAEAE"/>
              <w:left w:val="single" w:sz="6" w:space="0" w:color="AEAEAE"/>
              <w:bottom w:val="single" w:sz="6" w:space="0" w:color="AEAEAE"/>
              <w:right w:val="single" w:sz="6" w:space="0" w:color="AEAEAE"/>
            </w:tcBorders>
            <w:vAlign w:val="center"/>
          </w:tcPr>
          <w:p w14:paraId="74755490" w14:textId="77777777" w:rsidR="002D58E4" w:rsidRDefault="00F721D4" w:rsidP="00C34495">
            <w:pPr>
              <w:rPr>
                <w:rFonts w:ascii="Open Sans" w:eastAsia="Open Sans" w:hAnsi="Open Sans" w:cs="Open Sans"/>
                <w:sz w:val="18"/>
                <w:szCs w:val="18"/>
              </w:rPr>
            </w:pPr>
            <w:r>
              <w:rPr>
                <w:sz w:val="20"/>
                <w:szCs w:val="20"/>
              </w:rPr>
              <w:t xml:space="preserve">Serum samples </w:t>
            </w:r>
            <w:r>
              <w:rPr>
                <w:rFonts w:ascii="Open Sans" w:eastAsia="Open Sans" w:hAnsi="Open Sans" w:cs="Open Sans"/>
                <w:sz w:val="18"/>
                <w:szCs w:val="18"/>
              </w:rPr>
              <w:t xml:space="preserve">from 471 well-characterized Lyme patients and controls from </w:t>
            </w:r>
            <w:r>
              <w:rPr>
                <w:sz w:val="20"/>
                <w:szCs w:val="20"/>
              </w:rPr>
              <w:t>the CDC Lyme Serum Repository (LSR) were used.</w:t>
            </w:r>
          </w:p>
        </w:tc>
        <w:tc>
          <w:tcPr>
            <w:tcW w:w="585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43A09D4" w14:textId="77777777" w:rsidR="002D58E4" w:rsidRPr="00F721D4" w:rsidRDefault="00F721D4" w:rsidP="00C34495">
            <w:pPr>
              <w:rPr>
                <w:rFonts w:ascii="Open Sans" w:eastAsia="Open Sans" w:hAnsi="Open Sans" w:cs="Open Sans"/>
                <w:sz w:val="18"/>
                <w:szCs w:val="18"/>
                <w:lang w:val="fr-CA"/>
              </w:rPr>
            </w:pPr>
            <w:r w:rsidRPr="00F721D4">
              <w:rPr>
                <w:sz w:val="20"/>
                <w:szCs w:val="20"/>
                <w:u w:val="single"/>
                <w:lang w:val="fr-CA"/>
              </w:rPr>
              <w:t xml:space="preserve">bioMérieux </w:t>
            </w:r>
            <w:r w:rsidRPr="00F721D4">
              <w:rPr>
                <w:rFonts w:ascii="Open Sans" w:eastAsia="Open Sans" w:hAnsi="Open Sans" w:cs="Open Sans"/>
                <w:sz w:val="18"/>
                <w:szCs w:val="18"/>
                <w:lang w:val="fr-CA"/>
              </w:rPr>
              <w:t>Vidas Lyme IgM II (LYM) EIA (1 tier)</w:t>
            </w:r>
          </w:p>
          <w:p w14:paraId="5197EB0C"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60%</w:t>
            </w:r>
          </w:p>
          <w:p w14:paraId="4C210DD1"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Convalescent), Sensitivity: 79%</w:t>
            </w:r>
          </w:p>
          <w:p w14:paraId="2B1BD854"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71%</w:t>
            </w:r>
          </w:p>
          <w:p w14:paraId="473334EA" w14:textId="1BFC0232"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87%</w:t>
            </w:r>
          </w:p>
          <w:p w14:paraId="2DECF562"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1281D1C6" w14:textId="77777777" w:rsidR="002D58E4" w:rsidRPr="00F721D4" w:rsidRDefault="00F721D4" w:rsidP="00C34495">
            <w:pPr>
              <w:rPr>
                <w:rFonts w:ascii="Open Sans" w:eastAsia="Open Sans" w:hAnsi="Open Sans" w:cs="Open Sans"/>
                <w:sz w:val="18"/>
                <w:szCs w:val="18"/>
                <w:lang w:val="fr-CA"/>
              </w:rPr>
            </w:pPr>
            <w:r w:rsidRPr="00F721D4">
              <w:rPr>
                <w:sz w:val="20"/>
                <w:szCs w:val="20"/>
                <w:u w:val="single"/>
                <w:lang w:val="fr-CA"/>
              </w:rPr>
              <w:t xml:space="preserve">bioMérieux </w:t>
            </w:r>
            <w:r w:rsidRPr="00F721D4">
              <w:rPr>
                <w:rFonts w:ascii="Open Sans" w:eastAsia="Open Sans" w:hAnsi="Open Sans" w:cs="Open Sans"/>
                <w:sz w:val="18"/>
                <w:szCs w:val="18"/>
                <w:lang w:val="fr-CA"/>
              </w:rPr>
              <w:t>Vidas Lyme IgG II (LYG) EIA (1 tier)</w:t>
            </w:r>
          </w:p>
          <w:p w14:paraId="19594776"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50%</w:t>
            </w:r>
          </w:p>
          <w:p w14:paraId="11174BFE"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 xml:space="preserve">Early Lyme (EM, Convalescent), Sensitivity: 74% </w:t>
            </w:r>
          </w:p>
          <w:p w14:paraId="45CB05BF"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74%</w:t>
            </w:r>
          </w:p>
          <w:p w14:paraId="0B820141" w14:textId="768E736F"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97%</w:t>
            </w:r>
          </w:p>
          <w:p w14:paraId="51EF6A6D"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1576D177" w14:textId="77777777" w:rsidR="002D58E4" w:rsidRPr="00F721D4" w:rsidRDefault="00F721D4" w:rsidP="00C34495">
            <w:pPr>
              <w:spacing w:line="276" w:lineRule="auto"/>
              <w:rPr>
                <w:rFonts w:ascii="Open Sans" w:eastAsia="Open Sans" w:hAnsi="Open Sans" w:cs="Open Sans"/>
                <w:sz w:val="18"/>
                <w:szCs w:val="18"/>
                <w:lang w:val="fr-CA"/>
              </w:rPr>
            </w:pPr>
            <w:r w:rsidRPr="00F721D4">
              <w:rPr>
                <w:sz w:val="20"/>
                <w:szCs w:val="20"/>
                <w:u w:val="single"/>
                <w:lang w:val="fr-CA"/>
              </w:rPr>
              <w:t xml:space="preserve">bioMérieux </w:t>
            </w:r>
            <w:r w:rsidRPr="00F721D4">
              <w:rPr>
                <w:rFonts w:ascii="Open Sans" w:eastAsia="Open Sans" w:hAnsi="Open Sans" w:cs="Open Sans"/>
                <w:sz w:val="18"/>
                <w:szCs w:val="18"/>
                <w:lang w:val="fr-CA"/>
              </w:rPr>
              <w:t>Vidas Lyme IgG II (LYM/LYG) EIA (2 tier)</w:t>
            </w:r>
          </w:p>
          <w:p w14:paraId="0A4E7436"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43%</w:t>
            </w:r>
          </w:p>
          <w:p w14:paraId="7ECCF502"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 xml:space="preserve">Early Lyme (EM, Convalescent), Sensitivity: 61% </w:t>
            </w:r>
          </w:p>
          <w:p w14:paraId="17E0532D"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68%</w:t>
            </w:r>
          </w:p>
          <w:p w14:paraId="205046F6" w14:textId="68D2B03C"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97%</w:t>
            </w:r>
          </w:p>
          <w:p w14:paraId="75BFE96D"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42BF0955" w14:textId="77777777" w:rsidR="002D58E4" w:rsidRPr="00F721D4" w:rsidRDefault="00F721D4" w:rsidP="00C34495">
            <w:pPr>
              <w:spacing w:line="276" w:lineRule="auto"/>
              <w:rPr>
                <w:rFonts w:ascii="Open Sans" w:eastAsia="Open Sans" w:hAnsi="Open Sans" w:cs="Open Sans"/>
                <w:sz w:val="18"/>
                <w:szCs w:val="18"/>
                <w:lang w:val="fr-CA"/>
              </w:rPr>
            </w:pPr>
            <w:r w:rsidRPr="00F721D4">
              <w:rPr>
                <w:sz w:val="20"/>
                <w:szCs w:val="20"/>
                <w:u w:val="single"/>
                <w:lang w:val="fr-CA"/>
              </w:rPr>
              <w:t xml:space="preserve">bioMérieux </w:t>
            </w:r>
            <w:r w:rsidRPr="00F721D4">
              <w:rPr>
                <w:rFonts w:ascii="Open Sans" w:eastAsia="Open Sans" w:hAnsi="Open Sans" w:cs="Open Sans"/>
                <w:sz w:val="18"/>
                <w:szCs w:val="18"/>
                <w:lang w:val="fr-CA"/>
              </w:rPr>
              <w:t>Vidas Lyme combined (LYT) EIA (1 tier)</w:t>
            </w:r>
          </w:p>
          <w:p w14:paraId="35D5E409"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68%</w:t>
            </w:r>
          </w:p>
          <w:p w14:paraId="699A0529"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 xml:space="preserve">Early Lyme (EM, Convalescent), Sensitivity: 89% </w:t>
            </w:r>
          </w:p>
          <w:p w14:paraId="54C4D235"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85%</w:t>
            </w:r>
          </w:p>
          <w:p w14:paraId="121119E1" w14:textId="5E6AEF8F"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85%</w:t>
            </w:r>
          </w:p>
          <w:p w14:paraId="47752F9E"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351A80F7" w14:textId="77777777" w:rsidR="002D58E4" w:rsidRPr="00F721D4" w:rsidRDefault="00F721D4" w:rsidP="00C34495">
            <w:pPr>
              <w:spacing w:line="276" w:lineRule="auto"/>
              <w:rPr>
                <w:rFonts w:ascii="Open Sans" w:eastAsia="Open Sans" w:hAnsi="Open Sans" w:cs="Open Sans"/>
                <w:sz w:val="18"/>
                <w:szCs w:val="18"/>
                <w:lang w:val="fr-CA"/>
              </w:rPr>
            </w:pPr>
            <w:r w:rsidRPr="00F721D4">
              <w:rPr>
                <w:sz w:val="20"/>
                <w:szCs w:val="20"/>
                <w:u w:val="single"/>
                <w:lang w:val="fr-CA"/>
              </w:rPr>
              <w:t xml:space="preserve">bioMérieux </w:t>
            </w:r>
            <w:r w:rsidRPr="00F721D4">
              <w:rPr>
                <w:rFonts w:ascii="Open Sans" w:eastAsia="Open Sans" w:hAnsi="Open Sans" w:cs="Open Sans"/>
                <w:sz w:val="18"/>
                <w:szCs w:val="18"/>
                <w:lang w:val="fr-CA"/>
              </w:rPr>
              <w:t>Vidas Lyme combined (LYT) EIA (2 tier)</w:t>
            </w:r>
          </w:p>
          <w:p w14:paraId="54D24E5C"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48%</w:t>
            </w:r>
          </w:p>
          <w:p w14:paraId="2314F5F7"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 xml:space="preserve">Early Lyme (EM, Convalescent), Sensitivity: 63% </w:t>
            </w:r>
          </w:p>
          <w:p w14:paraId="762CD6B3"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69%</w:t>
            </w:r>
          </w:p>
          <w:p w14:paraId="6D6DA90F" w14:textId="75B0A519"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97%</w:t>
            </w:r>
          </w:p>
          <w:p w14:paraId="14BAB515"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22FB9F09" w14:textId="77777777" w:rsidR="002D58E4" w:rsidRDefault="00F721D4" w:rsidP="00C34495">
            <w:pPr>
              <w:rPr>
                <w:rFonts w:ascii="Open Sans" w:eastAsia="Open Sans" w:hAnsi="Open Sans" w:cs="Open Sans"/>
                <w:sz w:val="18"/>
                <w:szCs w:val="18"/>
              </w:rPr>
            </w:pPr>
            <w:r>
              <w:rPr>
                <w:sz w:val="20"/>
                <w:szCs w:val="20"/>
                <w:u w:val="single"/>
              </w:rPr>
              <w:t xml:space="preserve">C6 </w:t>
            </w:r>
            <w:r>
              <w:rPr>
                <w:rFonts w:ascii="Open Sans" w:eastAsia="Open Sans" w:hAnsi="Open Sans" w:cs="Open Sans"/>
                <w:sz w:val="18"/>
                <w:szCs w:val="18"/>
              </w:rPr>
              <w:t>EIA (1 tier)</w:t>
            </w:r>
          </w:p>
          <w:p w14:paraId="2A10D60A"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58%</w:t>
            </w:r>
          </w:p>
          <w:p w14:paraId="62F01932"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 xml:space="preserve">Early Lyme (EM, Convalescent), Sensitivity: 84% </w:t>
            </w:r>
          </w:p>
          <w:p w14:paraId="30036BA8"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81%</w:t>
            </w:r>
          </w:p>
          <w:p w14:paraId="27CA6DA1" w14:textId="59C1A9FD"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lastRenderedPageBreak/>
              <w:t>All Negative Controls, Specificity: 97%</w:t>
            </w:r>
          </w:p>
          <w:p w14:paraId="75A3340F"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1BDC80F9" w14:textId="77777777" w:rsidR="002D58E4" w:rsidRDefault="00F721D4" w:rsidP="00C34495">
            <w:pPr>
              <w:rPr>
                <w:rFonts w:ascii="Open Sans" w:eastAsia="Open Sans" w:hAnsi="Open Sans" w:cs="Open Sans"/>
                <w:sz w:val="18"/>
                <w:szCs w:val="18"/>
              </w:rPr>
            </w:pPr>
            <w:r>
              <w:rPr>
                <w:sz w:val="20"/>
                <w:szCs w:val="20"/>
                <w:u w:val="single"/>
              </w:rPr>
              <w:t xml:space="preserve">C6 </w:t>
            </w:r>
            <w:r>
              <w:rPr>
                <w:rFonts w:ascii="Open Sans" w:eastAsia="Open Sans" w:hAnsi="Open Sans" w:cs="Open Sans"/>
                <w:sz w:val="18"/>
                <w:szCs w:val="18"/>
              </w:rPr>
              <w:t>EIA (2 tier)</w:t>
            </w:r>
          </w:p>
          <w:p w14:paraId="754C8EDF"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43%</w:t>
            </w:r>
          </w:p>
          <w:p w14:paraId="1511E69E"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 xml:space="preserve">Early Lyme (EM, Convalescent), Sensitivity: 63% </w:t>
            </w:r>
          </w:p>
          <w:p w14:paraId="6AC8FA90"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68%</w:t>
            </w:r>
          </w:p>
          <w:p w14:paraId="51FC01D7" w14:textId="11112BE6"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99%</w:t>
            </w:r>
          </w:p>
          <w:p w14:paraId="5ACDC130"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4BDF8559" w14:textId="77777777" w:rsidR="002D58E4" w:rsidRDefault="00F721D4" w:rsidP="00C34495">
            <w:pPr>
              <w:rPr>
                <w:rFonts w:ascii="Open Sans" w:eastAsia="Open Sans" w:hAnsi="Open Sans" w:cs="Open Sans"/>
                <w:sz w:val="18"/>
                <w:szCs w:val="18"/>
              </w:rPr>
            </w:pPr>
            <w:r>
              <w:rPr>
                <w:sz w:val="20"/>
                <w:szCs w:val="20"/>
                <w:u w:val="single"/>
              </w:rPr>
              <w:t>LYT-C6</w:t>
            </w:r>
            <w:r>
              <w:rPr>
                <w:rFonts w:ascii="Open Sans" w:eastAsia="Open Sans" w:hAnsi="Open Sans" w:cs="Open Sans"/>
                <w:sz w:val="18"/>
                <w:szCs w:val="18"/>
              </w:rPr>
              <w:t xml:space="preserve"> (MTTT)</w:t>
            </w:r>
          </w:p>
          <w:p w14:paraId="590B84EB"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50%</w:t>
            </w:r>
          </w:p>
          <w:p w14:paraId="29F70031"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 xml:space="preserve">Early Lyme (EM, Convalescent), Sensitivity: 79% </w:t>
            </w:r>
          </w:p>
          <w:p w14:paraId="03CF22F5"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76%</w:t>
            </w:r>
          </w:p>
          <w:p w14:paraId="1A9B8812" w14:textId="227935D7" w:rsidR="002D58E4" w:rsidRPr="00C34495"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98%</w:t>
            </w:r>
          </w:p>
          <w:p w14:paraId="1F13460F" w14:textId="77777777" w:rsidR="00C34495" w:rsidRPr="00C34495" w:rsidRDefault="00C34495" w:rsidP="00C34495">
            <w:pPr>
              <w:pBdr>
                <w:top w:val="nil"/>
                <w:left w:val="nil"/>
                <w:bottom w:val="nil"/>
                <w:right w:val="nil"/>
                <w:between w:val="nil"/>
              </w:pBdr>
              <w:spacing w:line="276" w:lineRule="auto"/>
              <w:ind w:left="720"/>
              <w:rPr>
                <w:color w:val="000000"/>
                <w:sz w:val="18"/>
                <w:szCs w:val="18"/>
              </w:rPr>
            </w:pPr>
          </w:p>
          <w:p w14:paraId="5BBFEC0F" w14:textId="77777777" w:rsidR="002D58E4" w:rsidRDefault="00F721D4" w:rsidP="00C34495">
            <w:pPr>
              <w:rPr>
                <w:rFonts w:ascii="Open Sans" w:eastAsia="Open Sans" w:hAnsi="Open Sans" w:cs="Open Sans"/>
                <w:sz w:val="18"/>
                <w:szCs w:val="18"/>
              </w:rPr>
            </w:pPr>
            <w:r>
              <w:rPr>
                <w:sz w:val="20"/>
                <w:szCs w:val="20"/>
                <w:u w:val="single"/>
              </w:rPr>
              <w:t>LYM/LYG-C6</w:t>
            </w:r>
            <w:r>
              <w:rPr>
                <w:rFonts w:ascii="Open Sans" w:eastAsia="Open Sans" w:hAnsi="Open Sans" w:cs="Open Sans"/>
                <w:sz w:val="18"/>
                <w:szCs w:val="18"/>
              </w:rPr>
              <w:t xml:space="preserve"> (MTTT)</w:t>
            </w:r>
          </w:p>
          <w:p w14:paraId="6CCFED43"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Acute), Sensitivity: 55%</w:t>
            </w:r>
          </w:p>
          <w:p w14:paraId="7FCE202B"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Early Lyme (EM, Convalescent), Sensitivity: 76%</w:t>
            </w:r>
          </w:p>
          <w:p w14:paraId="21B50324"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Lyme, Sensitivity: 77%</w:t>
            </w:r>
          </w:p>
          <w:p w14:paraId="384636BF" w14:textId="77777777" w:rsidR="002D58E4" w:rsidRDefault="00F721D4" w:rsidP="00C34495">
            <w:pPr>
              <w:numPr>
                <w:ilvl w:val="0"/>
                <w:numId w:val="34"/>
              </w:numPr>
              <w:pBdr>
                <w:top w:val="nil"/>
                <w:left w:val="nil"/>
                <w:bottom w:val="nil"/>
                <w:right w:val="nil"/>
                <w:between w:val="nil"/>
              </w:pBdr>
              <w:spacing w:line="276" w:lineRule="auto"/>
              <w:rPr>
                <w:color w:val="000000"/>
                <w:sz w:val="18"/>
                <w:szCs w:val="18"/>
              </w:rPr>
            </w:pPr>
            <w:r>
              <w:rPr>
                <w:rFonts w:ascii="Open Sans" w:eastAsia="Open Sans" w:hAnsi="Open Sans" w:cs="Open Sans"/>
                <w:color w:val="000000"/>
                <w:sz w:val="18"/>
                <w:szCs w:val="18"/>
              </w:rPr>
              <w:t>All Negative Controls, Specificity: 99%</w:t>
            </w:r>
          </w:p>
        </w:tc>
        <w:tc>
          <w:tcPr>
            <w:tcW w:w="3031" w:type="dxa"/>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78AF1FD7" w14:textId="77777777" w:rsidR="002D58E4" w:rsidRDefault="00F721D4" w:rsidP="00C34495">
            <w:pPr>
              <w:rPr>
                <w:sz w:val="20"/>
                <w:szCs w:val="20"/>
              </w:rPr>
            </w:pPr>
            <w:r>
              <w:rPr>
                <w:sz w:val="20"/>
                <w:szCs w:val="20"/>
              </w:rPr>
              <w:lastRenderedPageBreak/>
              <w:t>The overall sensitivities and specificities for STTT were similar between the two testing strategies (LYT versus LYM/LYG), although differences in first-tier test results between the two were observed. A modified two-tiered (MTTT) algorithm that uses the Vidas EIAs (LYT or LYM/LYG) as the first-tier test followed by the C6 EIA as the second-tier test also gave similar sensitivities and specificities when the dissociated or combined assays were tested but resulted in significantly higher overall sensitivities than and specificities similar to those of STTT.</w:t>
            </w:r>
          </w:p>
        </w:tc>
      </w:tr>
      <w:tr w:rsidR="002D58E4" w14:paraId="6D3BA404" w14:textId="77777777">
        <w:trPr>
          <w:trHeight w:val="1720"/>
        </w:trPr>
        <w:tc>
          <w:tcPr>
            <w:tcW w:w="138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B5B2CEA" w14:textId="77777777" w:rsidR="002D58E4" w:rsidRPr="00F721D4" w:rsidRDefault="00F721D4">
            <w:pPr>
              <w:rPr>
                <w:sz w:val="20"/>
                <w:szCs w:val="20"/>
                <w:lang w:val="fr-CA"/>
              </w:rPr>
            </w:pPr>
            <w:r w:rsidRPr="00F721D4">
              <w:rPr>
                <w:sz w:val="20"/>
                <w:szCs w:val="20"/>
                <w:lang w:val="fr-CA"/>
              </w:rPr>
              <w:t>Pomelova, et al., 2018</w:t>
            </w:r>
          </w:p>
          <w:p w14:paraId="53D6E6FF" w14:textId="77777777" w:rsidR="002D58E4" w:rsidRPr="00F721D4" w:rsidRDefault="002D58E4">
            <w:pPr>
              <w:spacing w:after="200" w:line="276" w:lineRule="auto"/>
              <w:rPr>
                <w:sz w:val="20"/>
                <w:szCs w:val="20"/>
                <w:lang w:val="fr-CA"/>
              </w:rPr>
            </w:pPr>
          </w:p>
          <w:p w14:paraId="7668A43E" w14:textId="77777777" w:rsidR="002D58E4" w:rsidRPr="00F721D4" w:rsidRDefault="00F721D4">
            <w:pPr>
              <w:spacing w:after="200" w:line="276" w:lineRule="auto"/>
              <w:rPr>
                <w:sz w:val="20"/>
                <w:szCs w:val="20"/>
                <w:lang w:val="fr-CA"/>
              </w:rPr>
            </w:pPr>
            <w:r w:rsidRPr="00F721D4">
              <w:rPr>
                <w:sz w:val="20"/>
                <w:szCs w:val="20"/>
                <w:lang w:val="fr-CA"/>
              </w:rPr>
              <w:t>Perm, Russia</w:t>
            </w:r>
          </w:p>
        </w:tc>
        <w:tc>
          <w:tcPr>
            <w:tcW w:w="1170" w:type="dxa"/>
            <w:tcBorders>
              <w:top w:val="single" w:sz="6" w:space="0" w:color="AEAEAE"/>
              <w:left w:val="single" w:sz="6" w:space="0" w:color="AEAEAE"/>
              <w:bottom w:val="single" w:sz="6" w:space="0" w:color="AEAEAE"/>
              <w:right w:val="single" w:sz="6" w:space="0" w:color="AEAEAE"/>
            </w:tcBorders>
            <w:vAlign w:val="center"/>
          </w:tcPr>
          <w:p w14:paraId="2771D609" w14:textId="77777777" w:rsidR="002D58E4" w:rsidRDefault="00F721D4">
            <w:pPr>
              <w:rPr>
                <w:sz w:val="20"/>
                <w:szCs w:val="20"/>
              </w:rPr>
            </w:pPr>
            <w:r>
              <w:rPr>
                <w:sz w:val="20"/>
                <w:szCs w:val="20"/>
              </w:rPr>
              <w:t>Laboratory study</w:t>
            </w:r>
          </w:p>
        </w:tc>
        <w:tc>
          <w:tcPr>
            <w:tcW w:w="2700" w:type="dxa"/>
            <w:tcBorders>
              <w:top w:val="single" w:sz="6" w:space="0" w:color="AEAEAE"/>
              <w:left w:val="single" w:sz="6" w:space="0" w:color="AEAEAE"/>
              <w:bottom w:val="single" w:sz="6" w:space="0" w:color="AEAEAE"/>
              <w:right w:val="single" w:sz="6" w:space="0" w:color="AEAEAE"/>
            </w:tcBorders>
            <w:vAlign w:val="center"/>
          </w:tcPr>
          <w:p w14:paraId="552CE651" w14:textId="77777777" w:rsidR="002D58E4" w:rsidRDefault="00F721D4">
            <w:pPr>
              <w:spacing w:after="120"/>
              <w:rPr>
                <w:sz w:val="20"/>
                <w:szCs w:val="20"/>
              </w:rPr>
            </w:pPr>
            <w:r>
              <w:rPr>
                <w:sz w:val="20"/>
                <w:szCs w:val="20"/>
              </w:rPr>
              <w:t>Serum samples (n= 1089) were collected from 442 from erythema migrans (EM) (N = 327) and EM-free (EMF) patients (n= 115) originating from a highly endemic region of Russia. In some patients, the disease was accompanied by human granulocytic anaplasmosis or tick-borne encephalitis.</w:t>
            </w:r>
            <w:r>
              <w:t xml:space="preserve"> </w:t>
            </w:r>
          </w:p>
        </w:tc>
        <w:tc>
          <w:tcPr>
            <w:tcW w:w="585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68CA378" w14:textId="77777777" w:rsidR="002D58E4" w:rsidRPr="007132E3" w:rsidRDefault="00F721D4">
            <w:pPr>
              <w:rPr>
                <w:sz w:val="20"/>
                <w:szCs w:val="20"/>
              </w:rPr>
            </w:pPr>
            <w:r w:rsidRPr="007132E3">
              <w:rPr>
                <w:sz w:val="20"/>
                <w:szCs w:val="20"/>
              </w:rPr>
              <w:t xml:space="preserve">The sera were investigated by multiplex phosphorescence analysis (PHOSPHAN) for IgM to </w:t>
            </w:r>
            <w:r w:rsidRPr="007132E3">
              <w:rPr>
                <w:i/>
                <w:sz w:val="20"/>
                <w:szCs w:val="20"/>
              </w:rPr>
              <w:t>B. burgdorferi</w:t>
            </w:r>
            <w:r w:rsidRPr="007132E3">
              <w:rPr>
                <w:sz w:val="20"/>
                <w:szCs w:val="20"/>
              </w:rPr>
              <w:t xml:space="preserve"> C6, recombinant OspC and VlsE proteins, and IgG to C6 from </w:t>
            </w:r>
            <w:r w:rsidRPr="007132E3">
              <w:rPr>
                <w:i/>
                <w:sz w:val="20"/>
                <w:szCs w:val="20"/>
              </w:rPr>
              <w:t>B. burgdorferi</w:t>
            </w:r>
            <w:r w:rsidRPr="007132E3">
              <w:rPr>
                <w:sz w:val="20"/>
                <w:szCs w:val="20"/>
              </w:rPr>
              <w:t xml:space="preserve">, </w:t>
            </w:r>
            <w:r w:rsidRPr="007132E3">
              <w:rPr>
                <w:i/>
                <w:sz w:val="20"/>
                <w:szCs w:val="20"/>
              </w:rPr>
              <w:t>B. garinii</w:t>
            </w:r>
            <w:r w:rsidRPr="007132E3">
              <w:rPr>
                <w:sz w:val="20"/>
                <w:szCs w:val="20"/>
              </w:rPr>
              <w:t xml:space="preserve">, and </w:t>
            </w:r>
            <w:r w:rsidRPr="007132E3">
              <w:rPr>
                <w:i/>
                <w:sz w:val="20"/>
                <w:szCs w:val="20"/>
              </w:rPr>
              <w:t>B. afzelii</w:t>
            </w:r>
            <w:r w:rsidRPr="007132E3">
              <w:rPr>
                <w:sz w:val="20"/>
                <w:szCs w:val="20"/>
              </w:rPr>
              <w:t>.</w:t>
            </w:r>
          </w:p>
          <w:p w14:paraId="4C67F79A" w14:textId="77777777" w:rsidR="002D58E4" w:rsidRPr="007132E3" w:rsidRDefault="002D58E4">
            <w:pPr>
              <w:rPr>
                <w:sz w:val="20"/>
                <w:szCs w:val="20"/>
              </w:rPr>
            </w:pPr>
          </w:p>
          <w:p w14:paraId="4B92B3F3" w14:textId="77777777" w:rsidR="002D58E4" w:rsidRPr="007132E3" w:rsidRDefault="00F721D4">
            <w:pPr>
              <w:rPr>
                <w:sz w:val="20"/>
                <w:szCs w:val="20"/>
              </w:rPr>
            </w:pPr>
            <w:r w:rsidRPr="007132E3">
              <w:rPr>
                <w:sz w:val="20"/>
                <w:szCs w:val="20"/>
              </w:rPr>
              <w:t xml:space="preserve">Positive PHOSPHAN reactions were observed in 81.9% and 86.7% of the EM and EMF patients, respectively, as well as in 59 of 65 (90.8%) patients, whose blood contained </w:t>
            </w:r>
            <w:r w:rsidRPr="007132E3">
              <w:rPr>
                <w:i/>
                <w:sz w:val="20"/>
                <w:szCs w:val="20"/>
              </w:rPr>
              <w:t>B. burgdorferi</w:t>
            </w:r>
            <w:r w:rsidRPr="007132E3">
              <w:rPr>
                <w:sz w:val="20"/>
                <w:szCs w:val="20"/>
              </w:rPr>
              <w:t xml:space="preserve"> DNA. Additional detection of IgG to </w:t>
            </w:r>
            <w:r w:rsidRPr="007132E3">
              <w:rPr>
                <w:i/>
                <w:sz w:val="20"/>
                <w:szCs w:val="20"/>
              </w:rPr>
              <w:t>B. garinii</w:t>
            </w:r>
            <w:r w:rsidRPr="007132E3">
              <w:rPr>
                <w:sz w:val="20"/>
                <w:szCs w:val="20"/>
              </w:rPr>
              <w:t xml:space="preserve"> C6 or </w:t>
            </w:r>
            <w:r w:rsidRPr="007132E3">
              <w:rPr>
                <w:i/>
                <w:sz w:val="20"/>
                <w:szCs w:val="20"/>
              </w:rPr>
              <w:t>B. afzelii</w:t>
            </w:r>
            <w:r w:rsidRPr="007132E3">
              <w:rPr>
                <w:sz w:val="20"/>
                <w:szCs w:val="20"/>
              </w:rPr>
              <w:t xml:space="preserve"> C6 had no significant contribution to serologic diagnosis of Ixodid Tick-Borne</w:t>
            </w:r>
          </w:p>
          <w:p w14:paraId="560E456C" w14:textId="77777777" w:rsidR="002D58E4" w:rsidRPr="007132E3" w:rsidRDefault="00F721D4">
            <w:pPr>
              <w:rPr>
                <w:sz w:val="20"/>
                <w:szCs w:val="20"/>
              </w:rPr>
            </w:pPr>
            <w:r w:rsidRPr="007132E3">
              <w:rPr>
                <w:sz w:val="20"/>
                <w:szCs w:val="20"/>
              </w:rPr>
              <w:t xml:space="preserve">Borrelioses in either patient group.  </w:t>
            </w:r>
          </w:p>
        </w:tc>
        <w:tc>
          <w:tcPr>
            <w:tcW w:w="3031" w:type="dxa"/>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7C8A1965" w14:textId="77777777" w:rsidR="002D58E4" w:rsidRPr="007132E3" w:rsidRDefault="00F721D4">
            <w:pPr>
              <w:rPr>
                <w:rFonts w:asciiTheme="majorHAnsi" w:eastAsia="EB Garamond" w:hAnsiTheme="majorHAnsi" w:cstheme="majorHAnsi"/>
                <w:sz w:val="20"/>
                <w:szCs w:val="20"/>
              </w:rPr>
            </w:pPr>
            <w:r>
              <w:rPr>
                <w:sz w:val="20"/>
                <w:szCs w:val="20"/>
              </w:rPr>
              <w:t xml:space="preserve">Detection of Bb C6 IgM/IgG provided effective serologic </w:t>
            </w:r>
            <w:r w:rsidRPr="007132E3">
              <w:rPr>
                <w:rFonts w:asciiTheme="majorHAnsi" w:hAnsiTheme="majorHAnsi" w:cstheme="majorHAnsi"/>
                <w:sz w:val="20"/>
                <w:szCs w:val="20"/>
              </w:rPr>
              <w:t xml:space="preserve">confirmation of </w:t>
            </w:r>
            <w:r w:rsidRPr="007132E3">
              <w:rPr>
                <w:rFonts w:asciiTheme="majorHAnsi" w:eastAsia="EB Garamond" w:hAnsiTheme="majorHAnsi" w:cstheme="majorHAnsi"/>
                <w:sz w:val="20"/>
                <w:szCs w:val="20"/>
              </w:rPr>
              <w:t>Ixodid Tick-Borne</w:t>
            </w:r>
          </w:p>
          <w:p w14:paraId="58FD3DBD" w14:textId="77777777" w:rsidR="002D58E4" w:rsidRDefault="00F721D4">
            <w:pPr>
              <w:rPr>
                <w:sz w:val="20"/>
                <w:szCs w:val="20"/>
              </w:rPr>
            </w:pPr>
            <w:r w:rsidRPr="007132E3">
              <w:rPr>
                <w:rFonts w:asciiTheme="majorHAnsi" w:eastAsia="EB Garamond" w:hAnsiTheme="majorHAnsi" w:cstheme="majorHAnsi"/>
                <w:sz w:val="20"/>
                <w:szCs w:val="20"/>
              </w:rPr>
              <w:t>Borrelioses</w:t>
            </w:r>
            <w:r w:rsidRPr="007132E3">
              <w:rPr>
                <w:rFonts w:asciiTheme="majorHAnsi" w:hAnsiTheme="majorHAnsi" w:cstheme="majorHAnsi"/>
                <w:sz w:val="20"/>
                <w:szCs w:val="20"/>
              </w:rPr>
              <w:t xml:space="preserve"> in both EM and EMF patients early after disease onset. In the EM-free patients</w:t>
            </w:r>
            <w:r>
              <w:rPr>
                <w:sz w:val="20"/>
                <w:szCs w:val="20"/>
              </w:rPr>
              <w:t>, however, this test needed to be supplemented with detection of VlsE IgM in convalescent-phase sera due to delay in development of the antibody responses for C6 IgG.</w:t>
            </w:r>
            <w:r>
              <w:t xml:space="preserve"> </w:t>
            </w:r>
            <w:r>
              <w:rPr>
                <w:sz w:val="20"/>
                <w:szCs w:val="20"/>
              </w:rPr>
              <w:t>The authors concluded that the multiplex PHOSPHAN is a promising method for detecting</w:t>
            </w:r>
          </w:p>
          <w:p w14:paraId="063653DB" w14:textId="77777777" w:rsidR="002D58E4" w:rsidRDefault="00F721D4">
            <w:pPr>
              <w:rPr>
                <w:sz w:val="20"/>
                <w:szCs w:val="20"/>
              </w:rPr>
            </w:pPr>
            <w:r>
              <w:rPr>
                <w:sz w:val="20"/>
                <w:szCs w:val="20"/>
              </w:rPr>
              <w:t xml:space="preserve">IgM and IgG antibody responses to a number of </w:t>
            </w:r>
            <w:r>
              <w:rPr>
                <w:i/>
                <w:sz w:val="20"/>
                <w:szCs w:val="20"/>
              </w:rPr>
              <w:t>Borrelia</w:t>
            </w:r>
            <w:r>
              <w:rPr>
                <w:sz w:val="20"/>
                <w:szCs w:val="20"/>
              </w:rPr>
              <w:t xml:space="preserve"> antigens. </w:t>
            </w:r>
          </w:p>
        </w:tc>
      </w:tr>
      <w:tr w:rsidR="002D58E4" w14:paraId="1EB5CC99" w14:textId="77777777" w:rsidTr="003A7456">
        <w:trPr>
          <w:trHeight w:val="825"/>
        </w:trPr>
        <w:tc>
          <w:tcPr>
            <w:tcW w:w="138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41014C8" w14:textId="77777777" w:rsidR="002D58E4" w:rsidRDefault="00F721D4">
            <w:pPr>
              <w:rPr>
                <w:sz w:val="20"/>
                <w:szCs w:val="20"/>
              </w:rPr>
            </w:pPr>
            <w:r>
              <w:rPr>
                <w:sz w:val="20"/>
                <w:szCs w:val="20"/>
              </w:rPr>
              <w:lastRenderedPageBreak/>
              <w:t>Wormser, et al., 2018</w:t>
            </w:r>
          </w:p>
        </w:tc>
        <w:tc>
          <w:tcPr>
            <w:tcW w:w="1170" w:type="dxa"/>
            <w:tcBorders>
              <w:top w:val="single" w:sz="6" w:space="0" w:color="AEAEAE"/>
              <w:left w:val="single" w:sz="6" w:space="0" w:color="AEAEAE"/>
              <w:bottom w:val="single" w:sz="6" w:space="0" w:color="AEAEAE"/>
              <w:right w:val="single" w:sz="6" w:space="0" w:color="AEAEAE"/>
            </w:tcBorders>
            <w:vAlign w:val="center"/>
          </w:tcPr>
          <w:p w14:paraId="17FA02B8" w14:textId="77777777" w:rsidR="002D58E4" w:rsidRDefault="00F721D4">
            <w:pPr>
              <w:rPr>
                <w:sz w:val="20"/>
                <w:szCs w:val="20"/>
              </w:rPr>
            </w:pPr>
            <w:r>
              <w:rPr>
                <w:sz w:val="20"/>
                <w:szCs w:val="20"/>
              </w:rPr>
              <w:t>Retrospective analysis</w:t>
            </w:r>
          </w:p>
        </w:tc>
        <w:tc>
          <w:tcPr>
            <w:tcW w:w="2700" w:type="dxa"/>
            <w:tcBorders>
              <w:top w:val="single" w:sz="6" w:space="0" w:color="AEAEAE"/>
              <w:left w:val="single" w:sz="6" w:space="0" w:color="AEAEAE"/>
              <w:bottom w:val="single" w:sz="6" w:space="0" w:color="AEAEAE"/>
              <w:right w:val="single" w:sz="6" w:space="0" w:color="AEAEAE"/>
            </w:tcBorders>
            <w:vAlign w:val="center"/>
          </w:tcPr>
          <w:p w14:paraId="6D46F9F3" w14:textId="77777777" w:rsidR="002D58E4" w:rsidRDefault="00F721D4">
            <w:pPr>
              <w:spacing w:after="120"/>
              <w:rPr>
                <w:sz w:val="20"/>
                <w:szCs w:val="20"/>
              </w:rPr>
            </w:pPr>
            <w:r>
              <w:rPr>
                <w:sz w:val="20"/>
                <w:szCs w:val="20"/>
              </w:rPr>
              <w:t>Unpublished data collected in four previously reported studies that evaluated the specificity of whole-cell sonicate-based (WCS) ELISA and the C6 peptide ELISA were analyzed (comprising over 3900 control samples). To determine if WCS ELISA and the C6 peptide ELISA are independent tests, the authors compared the specificity of the C6 peptide ELISA in control serum samples separated into those that were WCS ELISA negative and those that were WCS ELISA reactive (i.e., positive or equivocal).</w:t>
            </w:r>
          </w:p>
        </w:tc>
        <w:tc>
          <w:tcPr>
            <w:tcW w:w="585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6EFC674" w14:textId="77777777" w:rsidR="002D58E4" w:rsidRPr="007132E3" w:rsidRDefault="00F721D4">
            <w:pPr>
              <w:rPr>
                <w:sz w:val="20"/>
                <w:szCs w:val="20"/>
              </w:rPr>
            </w:pPr>
            <w:r w:rsidRPr="007132E3">
              <w:rPr>
                <w:sz w:val="20"/>
                <w:szCs w:val="20"/>
              </w:rPr>
              <w:t>The specificity of the C6 peptide ELISA was significantly</w:t>
            </w:r>
          </w:p>
          <w:p w14:paraId="479D2EA0" w14:textId="77777777" w:rsidR="002D58E4" w:rsidRPr="007132E3" w:rsidRDefault="00F721D4">
            <w:pPr>
              <w:rPr>
                <w:sz w:val="20"/>
                <w:szCs w:val="20"/>
              </w:rPr>
            </w:pPr>
            <w:r w:rsidRPr="007132E3">
              <w:rPr>
                <w:sz w:val="20"/>
                <w:szCs w:val="20"/>
              </w:rPr>
              <w:t>lower when assessed using sera that were falsely reactive by a</w:t>
            </w:r>
          </w:p>
          <w:p w14:paraId="74128BD6" w14:textId="77777777" w:rsidR="002D58E4" w:rsidRPr="007132E3" w:rsidRDefault="00F721D4">
            <w:pPr>
              <w:rPr>
                <w:sz w:val="20"/>
                <w:szCs w:val="20"/>
              </w:rPr>
            </w:pPr>
            <w:r w:rsidRPr="007132E3">
              <w:rPr>
                <w:sz w:val="20"/>
                <w:szCs w:val="20"/>
              </w:rPr>
              <w:t>WCS EIA, compared with control sera that tested negative by the same</w:t>
            </w:r>
          </w:p>
          <w:p w14:paraId="068B772C" w14:textId="77777777" w:rsidR="002D58E4" w:rsidRPr="007132E3" w:rsidRDefault="00F721D4">
            <w:pPr>
              <w:rPr>
                <w:sz w:val="20"/>
                <w:szCs w:val="20"/>
              </w:rPr>
            </w:pPr>
            <w:r w:rsidRPr="007132E3">
              <w:rPr>
                <w:sz w:val="20"/>
                <w:szCs w:val="20"/>
              </w:rPr>
              <w:t>WCS EIA (p≤0.0002). The reduction in specificity was approximately</w:t>
            </w:r>
          </w:p>
          <w:p w14:paraId="2F679226" w14:textId="77777777" w:rsidR="002D58E4" w:rsidRPr="007132E3" w:rsidRDefault="00F721D4">
            <w:pPr>
              <w:rPr>
                <w:sz w:val="20"/>
                <w:szCs w:val="20"/>
              </w:rPr>
            </w:pPr>
            <w:r w:rsidRPr="007132E3">
              <w:rPr>
                <w:sz w:val="20"/>
                <w:szCs w:val="20"/>
              </w:rPr>
              <w:t>16% using sera from healthy controls and 7.2% using sera from disease controls (serum donors with illnesses other than Lyme disease).</w:t>
            </w:r>
          </w:p>
          <w:p w14:paraId="335E9A5E" w14:textId="77777777" w:rsidR="002D58E4" w:rsidRPr="007132E3" w:rsidRDefault="002D58E4">
            <w:pPr>
              <w:rPr>
                <w:sz w:val="20"/>
                <w:szCs w:val="20"/>
              </w:rPr>
            </w:pPr>
          </w:p>
          <w:p w14:paraId="4F54C477" w14:textId="77777777" w:rsidR="002D58E4" w:rsidRPr="007132E3" w:rsidRDefault="00F721D4">
            <w:pPr>
              <w:rPr>
                <w:sz w:val="20"/>
                <w:szCs w:val="20"/>
              </w:rPr>
            </w:pPr>
            <w:r w:rsidRPr="007132E3">
              <w:rPr>
                <w:sz w:val="20"/>
                <w:szCs w:val="20"/>
              </w:rPr>
              <w:t xml:space="preserve">The overall reduction in specificity of the C6 peptide ELISA in the total group of controls was 11.9%. The C6 peptide ELISA had significantly lower specificity in the WCS ELISA falsely reactive samples compared with the WCS ELISA-negative samples (p&lt; 0.0001). The specificity of the C6 peptide EIA was about 5% higher in the combined group of controls after excluding these samples, but the difference was not statistically significant (p= 0.12). </w:t>
            </w:r>
          </w:p>
        </w:tc>
        <w:tc>
          <w:tcPr>
            <w:tcW w:w="3031" w:type="dxa"/>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0201EB8A" w14:textId="77777777" w:rsidR="002D58E4" w:rsidRDefault="00F721D4">
            <w:pPr>
              <w:rPr>
                <w:sz w:val="20"/>
                <w:szCs w:val="20"/>
              </w:rPr>
            </w:pPr>
            <w:r>
              <w:rPr>
                <w:sz w:val="20"/>
                <w:szCs w:val="20"/>
              </w:rPr>
              <w:t xml:space="preserve">This study demonstrated that the WCS ELISA and the C6 peptide ELISA for antibody to </w:t>
            </w:r>
            <w:r>
              <w:rPr>
                <w:i/>
                <w:sz w:val="20"/>
                <w:szCs w:val="20"/>
              </w:rPr>
              <w:t xml:space="preserve">B. burgdorferi </w:t>
            </w:r>
            <w:r>
              <w:rPr>
                <w:sz w:val="20"/>
                <w:szCs w:val="20"/>
              </w:rPr>
              <w:t>are not independent tests.</w:t>
            </w:r>
            <w:r>
              <w:t xml:space="preserve"> </w:t>
            </w:r>
            <w:r>
              <w:rPr>
                <w:sz w:val="20"/>
                <w:szCs w:val="20"/>
              </w:rPr>
              <w:t>Although the WCS and the C6 peptide ELISAs are not independent tests, the study findings indicate that a two-tier testing algorithm with these ELISAs significantly improves diagnostic specificity compared with either ELISA used alone.</w:t>
            </w:r>
            <w:r>
              <w:t xml:space="preserve"> W</w:t>
            </w:r>
            <w:r>
              <w:rPr>
                <w:sz w:val="20"/>
                <w:szCs w:val="20"/>
              </w:rPr>
              <w:t>hen using the 2-ELISA protocol of a WCS ELISA secondary to the C6 peptide ELISA, the C6 peptide ELISA should not be regarded as a confirmatory test but instead as a supplemental test.</w:t>
            </w:r>
          </w:p>
        </w:tc>
      </w:tr>
      <w:tr w:rsidR="002D58E4" w14:paraId="53F95D90" w14:textId="77777777">
        <w:trPr>
          <w:trHeight w:val="1720"/>
        </w:trPr>
        <w:tc>
          <w:tcPr>
            <w:tcW w:w="138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F76DDA7" w14:textId="77777777" w:rsidR="002D58E4" w:rsidRDefault="00F721D4">
            <w:pPr>
              <w:rPr>
                <w:sz w:val="20"/>
                <w:szCs w:val="20"/>
              </w:rPr>
            </w:pPr>
            <w:r>
              <w:rPr>
                <w:sz w:val="20"/>
                <w:szCs w:val="20"/>
              </w:rPr>
              <w:t>Zwerink, et al., 2018</w:t>
            </w:r>
          </w:p>
          <w:p w14:paraId="4E2238DE" w14:textId="77777777" w:rsidR="002D58E4" w:rsidRDefault="002D58E4">
            <w:pPr>
              <w:rPr>
                <w:sz w:val="20"/>
                <w:szCs w:val="20"/>
              </w:rPr>
            </w:pPr>
          </w:p>
          <w:p w14:paraId="11EC7764" w14:textId="77777777" w:rsidR="002D58E4" w:rsidRDefault="00F721D4">
            <w:pPr>
              <w:rPr>
                <w:sz w:val="20"/>
                <w:szCs w:val="20"/>
              </w:rPr>
            </w:pPr>
            <w:r>
              <w:rPr>
                <w:sz w:val="20"/>
                <w:szCs w:val="20"/>
              </w:rPr>
              <w:t>Apeldoorn, the Netherlands</w:t>
            </w:r>
          </w:p>
        </w:tc>
        <w:tc>
          <w:tcPr>
            <w:tcW w:w="1170" w:type="dxa"/>
            <w:tcBorders>
              <w:top w:val="single" w:sz="6" w:space="0" w:color="AEAEAE"/>
              <w:left w:val="single" w:sz="6" w:space="0" w:color="AEAEAE"/>
              <w:bottom w:val="single" w:sz="6" w:space="0" w:color="AEAEAE"/>
              <w:right w:val="single" w:sz="6" w:space="0" w:color="AEAEAE"/>
            </w:tcBorders>
            <w:vAlign w:val="center"/>
          </w:tcPr>
          <w:p w14:paraId="37ACE988" w14:textId="77777777" w:rsidR="002D58E4" w:rsidRDefault="00F721D4">
            <w:pPr>
              <w:rPr>
                <w:sz w:val="20"/>
                <w:szCs w:val="20"/>
              </w:rPr>
            </w:pPr>
            <w:r>
              <w:rPr>
                <w:sz w:val="20"/>
                <w:szCs w:val="20"/>
              </w:rPr>
              <w:t>Retrospective cohort study</w:t>
            </w:r>
          </w:p>
        </w:tc>
        <w:tc>
          <w:tcPr>
            <w:tcW w:w="2700" w:type="dxa"/>
            <w:tcBorders>
              <w:top w:val="single" w:sz="6" w:space="0" w:color="AEAEAE"/>
              <w:left w:val="single" w:sz="6" w:space="0" w:color="AEAEAE"/>
              <w:bottom w:val="single" w:sz="6" w:space="0" w:color="AEAEAE"/>
              <w:right w:val="single" w:sz="6" w:space="0" w:color="AEAEAE"/>
            </w:tcBorders>
            <w:vAlign w:val="center"/>
          </w:tcPr>
          <w:p w14:paraId="7F87D4B4" w14:textId="77777777" w:rsidR="002D58E4" w:rsidRDefault="00F721D4">
            <w:pPr>
              <w:spacing w:after="120"/>
              <w:rPr>
                <w:sz w:val="20"/>
                <w:szCs w:val="20"/>
              </w:rPr>
            </w:pPr>
            <w:r>
              <w:rPr>
                <w:sz w:val="20"/>
                <w:szCs w:val="20"/>
              </w:rPr>
              <w:t>1454 patients with suspected Lyme borreliosis referred to a tertiary Lyme center were included. Overall, IgG serology was positive in 33.4% (486/1454) of patients. The prevalence of positive IgG serology was higher in patients with disseminated Lyme borreliosis (68.6%) compared to localized Lyme borreliosis (23.8%) (p&lt;0.001). The prevalence of positive IgG serology was above 90% in patients with ACA or Lyme arthritis, and below 50% in patients with LNB or multiple EM.</w:t>
            </w:r>
          </w:p>
        </w:tc>
        <w:tc>
          <w:tcPr>
            <w:tcW w:w="5850"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8F7F67A" w14:textId="77777777" w:rsidR="002D58E4" w:rsidRPr="007132E3" w:rsidRDefault="00F721D4">
            <w:pPr>
              <w:rPr>
                <w:sz w:val="20"/>
                <w:szCs w:val="20"/>
              </w:rPr>
            </w:pPr>
            <w:r w:rsidRPr="007132E3">
              <w:rPr>
                <w:sz w:val="20"/>
                <w:szCs w:val="20"/>
              </w:rPr>
              <w:t>Two-tiered testing was performed with ELISA and Immunoblot. 486</w:t>
            </w:r>
          </w:p>
          <w:p w14:paraId="7BB76E2C" w14:textId="77777777" w:rsidR="002D58E4" w:rsidRPr="007132E3" w:rsidRDefault="00F721D4">
            <w:pPr>
              <w:rPr>
                <w:sz w:val="20"/>
                <w:szCs w:val="20"/>
              </w:rPr>
            </w:pPr>
            <w:r w:rsidRPr="007132E3">
              <w:rPr>
                <w:sz w:val="20"/>
                <w:szCs w:val="20"/>
              </w:rPr>
              <w:t>(33.4%) patients had an indeterminate/positive IgG ELISA with a positive IgG immunoblot, 69 (4.7%) had an indeterminate/positive IgG</w:t>
            </w:r>
          </w:p>
          <w:p w14:paraId="470A959B" w14:textId="77777777" w:rsidR="002D58E4" w:rsidRPr="007132E3" w:rsidRDefault="00F721D4">
            <w:pPr>
              <w:rPr>
                <w:sz w:val="20"/>
                <w:szCs w:val="20"/>
              </w:rPr>
            </w:pPr>
            <w:r w:rsidRPr="007132E3">
              <w:rPr>
                <w:sz w:val="20"/>
                <w:szCs w:val="20"/>
              </w:rPr>
              <w:t>ELISA with an indeterminate IgG immunoblot, and 899 (61.8%) had a negative IgG ELISA or negative IgG immunoblot.</w:t>
            </w:r>
          </w:p>
          <w:p w14:paraId="7C1A2C74" w14:textId="77777777" w:rsidR="002D58E4" w:rsidRPr="007132E3" w:rsidRDefault="002D58E4">
            <w:pPr>
              <w:rPr>
                <w:sz w:val="20"/>
                <w:szCs w:val="20"/>
              </w:rPr>
            </w:pPr>
          </w:p>
          <w:p w14:paraId="1328537B" w14:textId="77777777" w:rsidR="002D58E4" w:rsidRPr="007132E3" w:rsidRDefault="00F721D4">
            <w:pPr>
              <w:rPr>
                <w:sz w:val="20"/>
                <w:szCs w:val="20"/>
              </w:rPr>
            </w:pPr>
            <w:r w:rsidRPr="007132E3">
              <w:rPr>
                <w:sz w:val="20"/>
                <w:szCs w:val="20"/>
              </w:rPr>
              <w:t>At the recommended lower cut-off value of&lt;6 IU/mL, the negative predictive value (NPV) and positive predictive value (PPV) of the ELISA were 95.6% and 64.5%, respectively. The sensitivity was 95.5% and the specificity was 64.9%. At a cut-off value of 200 IU/mL the PPV was 99.3%. When 500 IU/mL and &gt;1000 IU/mL were chosen as upper cut-off values, the PPVs of the ELISA for a positive IgG immunoblot were 100% and 100%, respectively.</w:t>
            </w:r>
          </w:p>
        </w:tc>
        <w:tc>
          <w:tcPr>
            <w:tcW w:w="3031" w:type="dxa"/>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0D175A8C" w14:textId="77777777" w:rsidR="002D58E4" w:rsidRDefault="00F721D4">
            <w:pPr>
              <w:rPr>
                <w:sz w:val="20"/>
                <w:szCs w:val="20"/>
              </w:rPr>
            </w:pPr>
            <w:r>
              <w:rPr>
                <w:sz w:val="20"/>
                <w:szCs w:val="20"/>
              </w:rPr>
              <w:t xml:space="preserve">At IgG levels of 200 IU/mL and higher, an ELISA was sufficient to detect antibodies to </w:t>
            </w:r>
            <w:r>
              <w:rPr>
                <w:i/>
                <w:sz w:val="20"/>
                <w:szCs w:val="20"/>
              </w:rPr>
              <w:t>Borrelia burgdorferi</w:t>
            </w:r>
            <w:r>
              <w:rPr>
                <w:sz w:val="20"/>
                <w:szCs w:val="20"/>
              </w:rPr>
              <w:t xml:space="preserve">. At those IgG levels, a confirmatory immunoblot may be omitted in patients referred to a tertiary Lyme centre. </w:t>
            </w:r>
          </w:p>
        </w:tc>
      </w:tr>
    </w:tbl>
    <w:p w14:paraId="208739B4" w14:textId="77777777" w:rsidR="002D58E4" w:rsidRDefault="002D58E4">
      <w:pPr>
        <w:widowControl w:val="0"/>
        <w:pBdr>
          <w:top w:val="nil"/>
          <w:left w:val="nil"/>
          <w:bottom w:val="nil"/>
          <w:right w:val="nil"/>
          <w:between w:val="nil"/>
        </w:pBdr>
        <w:spacing w:after="0"/>
        <w:rPr>
          <w:b/>
          <w:sz w:val="24"/>
          <w:szCs w:val="24"/>
        </w:rPr>
        <w:sectPr w:rsidR="002D58E4">
          <w:type w:val="continuous"/>
          <w:pgSz w:w="15840" w:h="12240"/>
          <w:pgMar w:top="720" w:right="720" w:bottom="720" w:left="720" w:header="720" w:footer="720" w:gutter="0"/>
          <w:cols w:space="720" w:equalWidth="0">
            <w:col w:w="9360"/>
          </w:cols>
        </w:sectPr>
      </w:pPr>
    </w:p>
    <w:p w14:paraId="7EBD6070" w14:textId="77777777" w:rsidR="002D58E4" w:rsidRDefault="002D58E4">
      <w:pPr>
        <w:rPr>
          <w:b/>
          <w:sz w:val="24"/>
          <w:szCs w:val="24"/>
        </w:rPr>
      </w:pPr>
    </w:p>
    <w:p w14:paraId="4229B5C7" w14:textId="77777777" w:rsidR="002D58E4" w:rsidRDefault="00F721D4">
      <w:pPr>
        <w:numPr>
          <w:ilvl w:val="0"/>
          <w:numId w:val="18"/>
        </w:numPr>
        <w:spacing w:after="0"/>
        <w:rPr>
          <w:b/>
        </w:rPr>
      </w:pPr>
      <w:r w:rsidRPr="009F5BCE">
        <w:rPr>
          <w:b/>
          <w:sz w:val="24"/>
          <w:szCs w:val="24"/>
        </w:rPr>
        <w:t xml:space="preserve">Direct microscopic detection: </w:t>
      </w:r>
      <w:r w:rsidRPr="009F5BCE">
        <w:rPr>
          <w:b/>
          <w:i/>
          <w:sz w:val="24"/>
          <w:szCs w:val="24"/>
        </w:rPr>
        <w:t>B. burgdorferi</w:t>
      </w:r>
      <w:r w:rsidRPr="009F5BCE">
        <w:rPr>
          <w:b/>
          <w:sz w:val="24"/>
          <w:szCs w:val="24"/>
        </w:rPr>
        <w:t xml:space="preserve"> cultures (skin, blood); PCR (skin, blood) – observational studies.</w:t>
      </w:r>
    </w:p>
    <w:p w14:paraId="552F6E54" w14:textId="77777777" w:rsidR="002D58E4" w:rsidRPr="00C10663" w:rsidRDefault="00F721D4" w:rsidP="003A7456">
      <w:pPr>
        <w:spacing w:after="0" w:line="240" w:lineRule="auto"/>
        <w:ind w:left="284"/>
        <w:rPr>
          <w:color w:val="000000"/>
          <w:sz w:val="18"/>
          <w:szCs w:val="18"/>
        </w:rPr>
      </w:pPr>
      <w:r w:rsidRPr="00C10663">
        <w:rPr>
          <w:b/>
          <w:color w:val="000000"/>
          <w:sz w:val="18"/>
          <w:szCs w:val="18"/>
        </w:rPr>
        <w:t>Bibliography:</w:t>
      </w:r>
      <w:r w:rsidRPr="00C10663">
        <w:rPr>
          <w:color w:val="000000"/>
          <w:sz w:val="18"/>
          <w:szCs w:val="18"/>
        </w:rPr>
        <w:t xml:space="preserve"> </w:t>
      </w:r>
    </w:p>
    <w:p w14:paraId="17A880F5" w14:textId="77777777" w:rsidR="002D58E4" w:rsidRDefault="00F721D4" w:rsidP="003A7456">
      <w:pPr>
        <w:spacing w:after="0" w:line="240" w:lineRule="auto"/>
        <w:ind w:left="284"/>
        <w:rPr>
          <w:color w:val="000000"/>
          <w:sz w:val="18"/>
          <w:szCs w:val="18"/>
        </w:rPr>
      </w:pPr>
      <w:r w:rsidRPr="00C10663">
        <w:rPr>
          <w:color w:val="000000"/>
          <w:sz w:val="18"/>
          <w:szCs w:val="18"/>
        </w:rPr>
        <w:t xml:space="preserve">1. Aberer et al. </w:t>
      </w:r>
      <w:r w:rsidRPr="00C10663">
        <w:rPr>
          <w:i/>
          <w:color w:val="000000"/>
          <w:sz w:val="18"/>
          <w:szCs w:val="18"/>
        </w:rPr>
        <w:t>Am J Dermatopathol</w:t>
      </w:r>
      <w:r w:rsidRPr="00C10663">
        <w:rPr>
          <w:color w:val="000000"/>
          <w:sz w:val="18"/>
          <w:szCs w:val="18"/>
        </w:rPr>
        <w:t xml:space="preserve">. 1996 Dec;18(6):571-9; 2. Arnez et al. </w:t>
      </w:r>
      <w:r>
        <w:rPr>
          <w:i/>
          <w:color w:val="000000"/>
          <w:sz w:val="18"/>
          <w:szCs w:val="18"/>
        </w:rPr>
        <w:t>Pediatr Infect Dis</w:t>
      </w:r>
      <w:r>
        <w:rPr>
          <w:color w:val="000000"/>
          <w:sz w:val="18"/>
          <w:szCs w:val="18"/>
        </w:rPr>
        <w:t xml:space="preserve"> J. 2001 Mar;20(3):251-5; 3. Benach et al. </w:t>
      </w:r>
      <w:r>
        <w:rPr>
          <w:i/>
          <w:color w:val="000000"/>
          <w:sz w:val="18"/>
          <w:szCs w:val="18"/>
        </w:rPr>
        <w:t>N Engl J Med</w:t>
      </w:r>
      <w:r>
        <w:rPr>
          <w:color w:val="000000"/>
          <w:sz w:val="18"/>
          <w:szCs w:val="18"/>
        </w:rPr>
        <w:t xml:space="preserve">. 1983 Mar 31;308(13):740-2; 4. Berger et al. </w:t>
      </w:r>
      <w:r>
        <w:rPr>
          <w:i/>
          <w:color w:val="000000"/>
          <w:sz w:val="18"/>
          <w:szCs w:val="18"/>
        </w:rPr>
        <w:t>Am J Dermatopathol</w:t>
      </w:r>
      <w:r>
        <w:rPr>
          <w:color w:val="000000"/>
          <w:sz w:val="18"/>
          <w:szCs w:val="18"/>
        </w:rPr>
        <w:t xml:space="preserve">. 1983 Apr;5(2):111-24; 5. Berger et al. </w:t>
      </w:r>
      <w:r>
        <w:rPr>
          <w:i/>
          <w:color w:val="000000"/>
          <w:sz w:val="18"/>
          <w:szCs w:val="18"/>
        </w:rPr>
        <w:t xml:space="preserve">J Am Acad Dermatol. </w:t>
      </w:r>
      <w:r>
        <w:rPr>
          <w:color w:val="000000"/>
          <w:sz w:val="18"/>
          <w:szCs w:val="18"/>
        </w:rPr>
        <w:t xml:space="preserve">1985 Sep;13(3):444-9; 6. Berger et al. </w:t>
      </w:r>
      <w:r>
        <w:rPr>
          <w:i/>
          <w:color w:val="000000"/>
          <w:sz w:val="18"/>
          <w:szCs w:val="18"/>
        </w:rPr>
        <w:t>J Am Acad Dermatol.</w:t>
      </w:r>
      <w:r>
        <w:rPr>
          <w:color w:val="000000"/>
          <w:sz w:val="18"/>
          <w:szCs w:val="18"/>
        </w:rPr>
        <w:t xml:space="preserve"> </w:t>
      </w:r>
      <w:r w:rsidRPr="00C10663">
        <w:rPr>
          <w:color w:val="000000"/>
          <w:sz w:val="18"/>
          <w:szCs w:val="18"/>
        </w:rPr>
        <w:t xml:space="preserve">1994 Jan;30(1):48-51; 7. Brettschneider et al. </w:t>
      </w:r>
      <w:r w:rsidRPr="00C10663">
        <w:rPr>
          <w:i/>
          <w:color w:val="000000"/>
          <w:sz w:val="18"/>
          <w:szCs w:val="18"/>
        </w:rPr>
        <w:t>J Clin Microbiol</w:t>
      </w:r>
      <w:r w:rsidRPr="00C10663">
        <w:rPr>
          <w:color w:val="000000"/>
          <w:sz w:val="18"/>
          <w:szCs w:val="18"/>
        </w:rPr>
        <w:t xml:space="preserve">. 1998 Sep;36(9):2658-65; 8. Cerar et al. </w:t>
      </w:r>
      <w:r w:rsidRPr="00C10663">
        <w:rPr>
          <w:i/>
          <w:color w:val="000000"/>
          <w:sz w:val="18"/>
          <w:szCs w:val="18"/>
        </w:rPr>
        <w:t>Clin Microbiol Infect</w:t>
      </w:r>
      <w:r w:rsidRPr="00C10663">
        <w:rPr>
          <w:color w:val="000000"/>
          <w:sz w:val="18"/>
          <w:szCs w:val="18"/>
        </w:rPr>
        <w:t xml:space="preserve">. 2008 Jul;14(7):653-8; 9. </w:t>
      </w:r>
      <w:r w:rsidRPr="00E20834">
        <w:rPr>
          <w:color w:val="000000"/>
          <w:sz w:val="18"/>
          <w:szCs w:val="18"/>
          <w:lang w:val="fr-CA"/>
        </w:rPr>
        <w:t xml:space="preserve">Coulter et al. </w:t>
      </w:r>
      <w:r w:rsidRPr="00E20834">
        <w:rPr>
          <w:i/>
          <w:color w:val="000000"/>
          <w:sz w:val="18"/>
          <w:szCs w:val="18"/>
          <w:lang w:val="fr-CA"/>
        </w:rPr>
        <w:t>J Clin Microbiol</w:t>
      </w:r>
      <w:r w:rsidRPr="00E20834">
        <w:rPr>
          <w:color w:val="000000"/>
          <w:sz w:val="18"/>
          <w:szCs w:val="18"/>
          <w:lang w:val="fr-CA"/>
        </w:rPr>
        <w:t xml:space="preserve">. 2005 Oct;43(10):5080-4; 10. de Koning et al. </w:t>
      </w:r>
      <w:r w:rsidRPr="00C10663">
        <w:rPr>
          <w:i/>
          <w:color w:val="000000"/>
          <w:sz w:val="18"/>
          <w:szCs w:val="18"/>
          <w:lang w:val="en-CA"/>
        </w:rPr>
        <w:t>J Med Microbiol.</w:t>
      </w:r>
      <w:r w:rsidRPr="00C10663">
        <w:rPr>
          <w:color w:val="000000"/>
          <w:sz w:val="18"/>
          <w:szCs w:val="18"/>
          <w:lang w:val="en-CA"/>
        </w:rPr>
        <w:t xml:space="preserve"> 1987 May;23(3):261-7; 11. Eisendle et al.  </w:t>
      </w:r>
      <w:r>
        <w:rPr>
          <w:i/>
          <w:color w:val="000000"/>
          <w:sz w:val="18"/>
          <w:szCs w:val="18"/>
        </w:rPr>
        <w:t>Am J Clin Pathol</w:t>
      </w:r>
      <w:r>
        <w:rPr>
          <w:color w:val="000000"/>
          <w:sz w:val="18"/>
          <w:szCs w:val="18"/>
        </w:rPr>
        <w:t xml:space="preserve">. 2007 Feb;127(2):213-22; 12. </w:t>
      </w:r>
      <w:r w:rsidRPr="00C10663">
        <w:rPr>
          <w:color w:val="000000"/>
          <w:sz w:val="18"/>
          <w:szCs w:val="18"/>
          <w:lang w:val="fr-CA"/>
        </w:rPr>
        <w:t xml:space="preserve">Eshoo et al. </w:t>
      </w:r>
      <w:r w:rsidRPr="00C10663">
        <w:rPr>
          <w:i/>
          <w:color w:val="000000"/>
          <w:sz w:val="18"/>
          <w:szCs w:val="18"/>
          <w:lang w:val="fr-CA"/>
        </w:rPr>
        <w:t>PLoS One.</w:t>
      </w:r>
      <w:r w:rsidRPr="00C10663">
        <w:rPr>
          <w:color w:val="000000"/>
          <w:sz w:val="18"/>
          <w:szCs w:val="18"/>
          <w:lang w:val="fr-CA"/>
        </w:rPr>
        <w:t xml:space="preserve"> 2012;7(5):e36825; 13. </w:t>
      </w:r>
      <w:r w:rsidRPr="00F721D4">
        <w:rPr>
          <w:color w:val="000000"/>
          <w:sz w:val="18"/>
          <w:szCs w:val="18"/>
          <w:lang w:val="fr-CA"/>
        </w:rPr>
        <w:t xml:space="preserve">Jurka et al. </w:t>
      </w:r>
      <w:r w:rsidRPr="00F721D4">
        <w:rPr>
          <w:i/>
          <w:color w:val="000000"/>
          <w:sz w:val="18"/>
          <w:szCs w:val="18"/>
          <w:lang w:val="fr-CA"/>
        </w:rPr>
        <w:t>Clin Infect Dis.</w:t>
      </w:r>
      <w:r w:rsidRPr="00F721D4">
        <w:rPr>
          <w:color w:val="000000"/>
          <w:sz w:val="18"/>
          <w:szCs w:val="18"/>
          <w:lang w:val="fr-CA"/>
        </w:rPr>
        <w:t xml:space="preserve"> 1998 Sep;27(3):636-8; 14. Lebech et al. </w:t>
      </w:r>
      <w:r w:rsidRPr="00F721D4">
        <w:rPr>
          <w:i/>
          <w:color w:val="000000"/>
          <w:sz w:val="18"/>
          <w:szCs w:val="18"/>
          <w:lang w:val="fr-CA"/>
        </w:rPr>
        <w:t>Mol Diagn</w:t>
      </w:r>
      <w:r w:rsidRPr="00F721D4">
        <w:rPr>
          <w:color w:val="000000"/>
          <w:sz w:val="18"/>
          <w:szCs w:val="18"/>
          <w:lang w:val="fr-CA"/>
        </w:rPr>
        <w:t xml:space="preserve">. 2000 Jun;5(2):139-50; 15. Li et al. </w:t>
      </w:r>
      <w:r w:rsidRPr="00F721D4">
        <w:rPr>
          <w:i/>
          <w:color w:val="000000"/>
          <w:sz w:val="18"/>
          <w:szCs w:val="18"/>
          <w:lang w:val="fr-CA"/>
        </w:rPr>
        <w:t>Arthritis Rheum</w:t>
      </w:r>
      <w:r w:rsidRPr="00F721D4">
        <w:rPr>
          <w:color w:val="000000"/>
          <w:sz w:val="18"/>
          <w:szCs w:val="18"/>
          <w:lang w:val="fr-CA"/>
        </w:rPr>
        <w:t xml:space="preserve">. 2011 Aug;63(8):2238-47; 16. Liveris et al. </w:t>
      </w:r>
      <w:r w:rsidRPr="00F721D4">
        <w:rPr>
          <w:i/>
          <w:color w:val="000000"/>
          <w:sz w:val="18"/>
          <w:szCs w:val="18"/>
          <w:lang w:val="fr-CA"/>
        </w:rPr>
        <w:t>J Clin Microbiol</w:t>
      </w:r>
      <w:r w:rsidRPr="00F721D4">
        <w:rPr>
          <w:color w:val="000000"/>
          <w:sz w:val="18"/>
          <w:szCs w:val="18"/>
          <w:lang w:val="fr-CA"/>
        </w:rPr>
        <w:t xml:space="preserve">. 2011 Jun;49(6):2166-8; 17. Liveris et al. </w:t>
      </w:r>
      <w:r w:rsidRPr="00F721D4">
        <w:rPr>
          <w:i/>
          <w:color w:val="000000"/>
          <w:sz w:val="18"/>
          <w:szCs w:val="18"/>
          <w:lang w:val="fr-CA"/>
        </w:rPr>
        <w:t>Diagn Microbiol Infect Dis.</w:t>
      </w:r>
      <w:r w:rsidRPr="00F721D4">
        <w:rPr>
          <w:color w:val="000000"/>
          <w:sz w:val="18"/>
          <w:szCs w:val="18"/>
          <w:lang w:val="fr-CA"/>
        </w:rPr>
        <w:t xml:space="preserve"> 2012 Jul;73(3):243-5; 18. </w:t>
      </w:r>
      <w:r>
        <w:rPr>
          <w:color w:val="000000"/>
          <w:sz w:val="18"/>
          <w:szCs w:val="18"/>
        </w:rPr>
        <w:t xml:space="preserve">Mitchell et al. </w:t>
      </w:r>
      <w:r>
        <w:rPr>
          <w:i/>
          <w:color w:val="000000"/>
          <w:sz w:val="18"/>
          <w:szCs w:val="18"/>
        </w:rPr>
        <w:t>Am J Clin Pathol</w:t>
      </w:r>
      <w:r>
        <w:rPr>
          <w:color w:val="000000"/>
          <w:sz w:val="18"/>
          <w:szCs w:val="18"/>
        </w:rPr>
        <w:t xml:space="preserve">. 1993 Jan;99(1):104-7; 19. Moter et al. </w:t>
      </w:r>
      <w:r>
        <w:rPr>
          <w:i/>
          <w:color w:val="000000"/>
          <w:sz w:val="18"/>
          <w:szCs w:val="18"/>
        </w:rPr>
        <w:t>J Clin Microbiol</w:t>
      </w:r>
      <w:r>
        <w:rPr>
          <w:color w:val="000000"/>
          <w:sz w:val="18"/>
          <w:szCs w:val="18"/>
        </w:rPr>
        <w:t xml:space="preserve">. 1994 Dec;32(12):2980-8; 20. Nadelman et al. </w:t>
      </w:r>
      <w:r>
        <w:rPr>
          <w:i/>
          <w:color w:val="000000"/>
          <w:sz w:val="18"/>
          <w:szCs w:val="18"/>
        </w:rPr>
        <w:t>Am J Med</w:t>
      </w:r>
      <w:r>
        <w:rPr>
          <w:color w:val="000000"/>
          <w:sz w:val="18"/>
          <w:szCs w:val="18"/>
        </w:rPr>
        <w:t xml:space="preserve">. 1993 Jun;94(6):583-8; 21. </w:t>
      </w:r>
      <w:r w:rsidRPr="00C10663">
        <w:rPr>
          <w:color w:val="000000"/>
          <w:sz w:val="18"/>
          <w:szCs w:val="18"/>
        </w:rPr>
        <w:t xml:space="preserve">Nowakowski et al. </w:t>
      </w:r>
      <w:r w:rsidRPr="00C10663">
        <w:rPr>
          <w:i/>
          <w:color w:val="000000"/>
          <w:sz w:val="18"/>
          <w:szCs w:val="18"/>
        </w:rPr>
        <w:t>Clin Infect Dis</w:t>
      </w:r>
      <w:r w:rsidRPr="00C10663">
        <w:rPr>
          <w:color w:val="000000"/>
          <w:sz w:val="18"/>
          <w:szCs w:val="18"/>
        </w:rPr>
        <w:t xml:space="preserve">. 2001 Dec 15;33(12):2023-7; 22. O’Rourke et al. </w:t>
      </w:r>
      <w:r w:rsidRPr="00C10663">
        <w:rPr>
          <w:i/>
          <w:color w:val="000000"/>
          <w:sz w:val="18"/>
          <w:szCs w:val="18"/>
        </w:rPr>
        <w:t>PLoS One.</w:t>
      </w:r>
      <w:r w:rsidRPr="00C10663">
        <w:rPr>
          <w:color w:val="000000"/>
          <w:sz w:val="18"/>
          <w:szCs w:val="18"/>
        </w:rPr>
        <w:t xml:space="preserve"> 2013 May 16;8(5):e63968; 23. Pauluzzi et al. </w:t>
      </w:r>
      <w:r w:rsidRPr="00C10663">
        <w:rPr>
          <w:i/>
          <w:color w:val="000000"/>
          <w:sz w:val="18"/>
          <w:szCs w:val="18"/>
        </w:rPr>
        <w:t>Acta Derm Venereol</w:t>
      </w:r>
      <w:r w:rsidRPr="00C10663">
        <w:rPr>
          <w:color w:val="000000"/>
          <w:sz w:val="18"/>
          <w:szCs w:val="18"/>
        </w:rPr>
        <w:t xml:space="preserve">. 2004;84(2):106-10; 24. </w:t>
      </w:r>
      <w:r w:rsidRPr="00C10663">
        <w:rPr>
          <w:color w:val="000000"/>
          <w:sz w:val="18"/>
          <w:szCs w:val="18"/>
          <w:lang w:val="en-CA"/>
        </w:rPr>
        <w:t xml:space="preserve">Picken et al. </w:t>
      </w:r>
      <w:r w:rsidRPr="00C10663">
        <w:rPr>
          <w:i/>
          <w:color w:val="000000"/>
          <w:sz w:val="18"/>
          <w:szCs w:val="18"/>
          <w:lang w:val="en-CA"/>
        </w:rPr>
        <w:t>Mol Pathol</w:t>
      </w:r>
      <w:r w:rsidRPr="00C10663">
        <w:rPr>
          <w:color w:val="000000"/>
          <w:sz w:val="18"/>
          <w:szCs w:val="18"/>
          <w:lang w:val="en-CA"/>
        </w:rPr>
        <w:t xml:space="preserve">. 1997 Aug; 50(4)186-93; 25. Ruzic-Sabljic et al. </w:t>
      </w:r>
      <w:r>
        <w:rPr>
          <w:i/>
          <w:color w:val="000000"/>
          <w:sz w:val="18"/>
          <w:szCs w:val="18"/>
        </w:rPr>
        <w:t>Int J Med Microbiol</w:t>
      </w:r>
      <w:r>
        <w:rPr>
          <w:color w:val="000000"/>
          <w:sz w:val="18"/>
          <w:szCs w:val="18"/>
        </w:rPr>
        <w:t xml:space="preserve">. 2006 May;296 Suppl 40:267-73; 26. Ruzic-Sabljic et al. Clin Microbiol Infect. 2014 Jul;20(7):636-41; 27. Stupica et al. </w:t>
      </w:r>
      <w:r>
        <w:rPr>
          <w:i/>
          <w:color w:val="000000"/>
          <w:sz w:val="18"/>
          <w:szCs w:val="18"/>
        </w:rPr>
        <w:t>PLoS One.</w:t>
      </w:r>
      <w:r>
        <w:rPr>
          <w:color w:val="000000"/>
          <w:sz w:val="18"/>
          <w:szCs w:val="18"/>
        </w:rPr>
        <w:t xml:space="preserve"> 2015 Sep 9;10(9):e0136600; 28. von Stedingk et al. </w:t>
      </w:r>
      <w:r>
        <w:rPr>
          <w:i/>
          <w:color w:val="000000"/>
          <w:sz w:val="18"/>
          <w:szCs w:val="18"/>
        </w:rPr>
        <w:t>Eur J Clin Microbiol Infect Dis</w:t>
      </w:r>
      <w:r>
        <w:rPr>
          <w:color w:val="000000"/>
          <w:sz w:val="18"/>
          <w:szCs w:val="18"/>
        </w:rPr>
        <w:t xml:space="preserve">. 1995 Jan;14(1):1-5; 29. </w:t>
      </w:r>
      <w:r w:rsidRPr="00F721D4">
        <w:rPr>
          <w:color w:val="000000"/>
          <w:sz w:val="18"/>
          <w:szCs w:val="18"/>
          <w:lang w:val="fr-CA"/>
        </w:rPr>
        <w:t xml:space="preserve">Wormser et al. </w:t>
      </w:r>
      <w:r w:rsidRPr="00F721D4">
        <w:rPr>
          <w:i/>
          <w:color w:val="000000"/>
          <w:sz w:val="18"/>
          <w:szCs w:val="18"/>
          <w:lang w:val="fr-CA"/>
        </w:rPr>
        <w:t>J Clin Microbiol</w:t>
      </w:r>
      <w:r w:rsidRPr="00F721D4">
        <w:rPr>
          <w:color w:val="000000"/>
          <w:sz w:val="18"/>
          <w:szCs w:val="18"/>
          <w:lang w:val="fr-CA"/>
        </w:rPr>
        <w:t xml:space="preserve">. 1998 Jan;36(1):296-8; 30. Zore et al. </w:t>
      </w:r>
      <w:r>
        <w:rPr>
          <w:i/>
          <w:color w:val="000000"/>
          <w:sz w:val="18"/>
          <w:szCs w:val="18"/>
        </w:rPr>
        <w:t>Wien Klin Wochenschr</w:t>
      </w:r>
      <w:r>
        <w:rPr>
          <w:color w:val="000000"/>
          <w:sz w:val="18"/>
          <w:szCs w:val="18"/>
        </w:rPr>
        <w:t>. 2002 Jul 31;114(13-14):606-9.</w:t>
      </w:r>
    </w:p>
    <w:p w14:paraId="3667F4D2" w14:textId="77777777" w:rsidR="002D58E4" w:rsidRDefault="002D58E4">
      <w:pPr>
        <w:spacing w:after="0" w:line="240" w:lineRule="auto"/>
        <w:rPr>
          <w:color w:val="000000"/>
          <w:sz w:val="18"/>
          <w:szCs w:val="18"/>
        </w:rPr>
      </w:pPr>
    </w:p>
    <w:tbl>
      <w:tblPr>
        <w:tblStyle w:val="ae"/>
        <w:tblW w:w="14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
        <w:gridCol w:w="3743"/>
        <w:gridCol w:w="4050"/>
        <w:gridCol w:w="5693"/>
      </w:tblGrid>
      <w:tr w:rsidR="002D58E4" w14:paraId="2D7C6DF7" w14:textId="77777777">
        <w:trPr>
          <w:jc w:val="center"/>
        </w:trPr>
        <w:tc>
          <w:tcPr>
            <w:tcW w:w="1041" w:type="dxa"/>
            <w:shd w:val="clear" w:color="auto" w:fill="D9D9D9"/>
          </w:tcPr>
          <w:p w14:paraId="4D27F082" w14:textId="77777777" w:rsidR="002D58E4" w:rsidRDefault="00F721D4">
            <w:pPr>
              <w:ind w:left="-8" w:firstLine="8"/>
              <w:jc w:val="center"/>
              <w:rPr>
                <w:sz w:val="20"/>
                <w:szCs w:val="20"/>
              </w:rPr>
            </w:pPr>
            <w:r>
              <w:rPr>
                <w:b/>
                <w:color w:val="000000"/>
                <w:sz w:val="20"/>
                <w:szCs w:val="20"/>
              </w:rPr>
              <w:t>Study and Location</w:t>
            </w:r>
          </w:p>
        </w:tc>
        <w:tc>
          <w:tcPr>
            <w:tcW w:w="3743" w:type="dxa"/>
            <w:shd w:val="clear" w:color="auto" w:fill="D9D9D9"/>
          </w:tcPr>
          <w:p w14:paraId="10428B5D" w14:textId="77777777" w:rsidR="002D58E4" w:rsidRDefault="00F721D4">
            <w:pPr>
              <w:jc w:val="center"/>
              <w:rPr>
                <w:b/>
                <w:color w:val="000000"/>
                <w:sz w:val="20"/>
                <w:szCs w:val="20"/>
              </w:rPr>
            </w:pPr>
            <w:r>
              <w:rPr>
                <w:b/>
                <w:color w:val="000000"/>
                <w:sz w:val="20"/>
                <w:szCs w:val="20"/>
              </w:rPr>
              <w:t>Population / Sample Characteristics</w:t>
            </w:r>
          </w:p>
        </w:tc>
        <w:tc>
          <w:tcPr>
            <w:tcW w:w="4050" w:type="dxa"/>
            <w:shd w:val="clear" w:color="auto" w:fill="D9D9D9"/>
          </w:tcPr>
          <w:p w14:paraId="63E923FB" w14:textId="77777777" w:rsidR="002D58E4" w:rsidRDefault="00F721D4">
            <w:pPr>
              <w:jc w:val="center"/>
              <w:rPr>
                <w:sz w:val="20"/>
                <w:szCs w:val="20"/>
              </w:rPr>
            </w:pPr>
            <w:r>
              <w:rPr>
                <w:b/>
                <w:color w:val="000000"/>
                <w:sz w:val="20"/>
                <w:szCs w:val="20"/>
              </w:rPr>
              <w:t>Diagnostic Method details</w:t>
            </w:r>
          </w:p>
        </w:tc>
        <w:tc>
          <w:tcPr>
            <w:tcW w:w="5693" w:type="dxa"/>
            <w:shd w:val="clear" w:color="auto" w:fill="D9D9D9"/>
          </w:tcPr>
          <w:p w14:paraId="0216530B" w14:textId="77777777" w:rsidR="002D58E4" w:rsidRDefault="00F721D4">
            <w:pPr>
              <w:jc w:val="center"/>
              <w:rPr>
                <w:sz w:val="20"/>
                <w:szCs w:val="20"/>
              </w:rPr>
            </w:pPr>
            <w:r>
              <w:rPr>
                <w:b/>
                <w:color w:val="000000"/>
                <w:sz w:val="20"/>
                <w:szCs w:val="20"/>
              </w:rPr>
              <w:t>Study Conclusions</w:t>
            </w:r>
          </w:p>
        </w:tc>
      </w:tr>
      <w:tr w:rsidR="002D58E4" w14:paraId="48C5ACE3" w14:textId="77777777">
        <w:trPr>
          <w:jc w:val="center"/>
        </w:trPr>
        <w:tc>
          <w:tcPr>
            <w:tcW w:w="14527" w:type="dxa"/>
            <w:gridSpan w:val="4"/>
            <w:shd w:val="clear" w:color="auto" w:fill="A6A6A6"/>
          </w:tcPr>
          <w:p w14:paraId="19937394" w14:textId="77777777" w:rsidR="002D58E4" w:rsidRDefault="00F721D4">
            <w:pPr>
              <w:jc w:val="center"/>
              <w:rPr>
                <w:b/>
                <w:color w:val="000000"/>
                <w:sz w:val="20"/>
                <w:szCs w:val="20"/>
              </w:rPr>
            </w:pPr>
            <w:r>
              <w:rPr>
                <w:b/>
                <w:sz w:val="24"/>
                <w:szCs w:val="24"/>
              </w:rPr>
              <w:t xml:space="preserve">Direct microscopy </w:t>
            </w:r>
            <w:r>
              <w:rPr>
                <w:b/>
              </w:rPr>
              <w:t>(Sn range 25% - 93.8%)</w:t>
            </w:r>
          </w:p>
        </w:tc>
      </w:tr>
      <w:tr w:rsidR="002D58E4" w14:paraId="6634886D" w14:textId="77777777">
        <w:trPr>
          <w:jc w:val="center"/>
        </w:trPr>
        <w:tc>
          <w:tcPr>
            <w:tcW w:w="1041" w:type="dxa"/>
            <w:vAlign w:val="center"/>
          </w:tcPr>
          <w:p w14:paraId="62865C2D" w14:textId="77777777" w:rsidR="002D58E4" w:rsidRDefault="00F721D4">
            <w:pPr>
              <w:rPr>
                <w:sz w:val="20"/>
                <w:szCs w:val="20"/>
              </w:rPr>
            </w:pPr>
            <w:r>
              <w:rPr>
                <w:sz w:val="20"/>
                <w:szCs w:val="20"/>
              </w:rPr>
              <w:t>Aberer, 1996;</w:t>
            </w:r>
          </w:p>
          <w:p w14:paraId="578B10C6" w14:textId="77777777" w:rsidR="002D58E4" w:rsidRDefault="002D58E4">
            <w:pPr>
              <w:rPr>
                <w:sz w:val="20"/>
                <w:szCs w:val="20"/>
              </w:rPr>
            </w:pPr>
          </w:p>
          <w:p w14:paraId="0D0F6163" w14:textId="77777777" w:rsidR="002D58E4" w:rsidRDefault="00F721D4">
            <w:pPr>
              <w:rPr>
                <w:sz w:val="20"/>
                <w:szCs w:val="20"/>
              </w:rPr>
            </w:pPr>
            <w:r>
              <w:rPr>
                <w:sz w:val="20"/>
                <w:szCs w:val="20"/>
              </w:rPr>
              <w:t>Austria</w:t>
            </w:r>
          </w:p>
        </w:tc>
        <w:tc>
          <w:tcPr>
            <w:tcW w:w="3743" w:type="dxa"/>
            <w:vAlign w:val="center"/>
          </w:tcPr>
          <w:p w14:paraId="2217C432" w14:textId="77777777" w:rsidR="002D58E4" w:rsidRDefault="00F721D4">
            <w:pPr>
              <w:spacing w:after="120"/>
              <w:rPr>
                <w:sz w:val="20"/>
                <w:szCs w:val="20"/>
              </w:rPr>
            </w:pPr>
            <w:r>
              <w:rPr>
                <w:sz w:val="20"/>
                <w:szCs w:val="20"/>
              </w:rPr>
              <w:t>(1) Skin-punch biopsies of 19 European patients with untreated EM, 21 patients with ACA, and 60 patients with other conditions (morphea, granuloma annulare lichen sclerosus et atrophicus, basal cell carcinoma, perichondritis nodularis helicis, lupus erythematosus, lichen planus, pemphigus vulgaris, and bullous pemphigoid).</w:t>
            </w:r>
          </w:p>
          <w:p w14:paraId="04CE729B" w14:textId="77777777" w:rsidR="002D58E4" w:rsidRDefault="002D58E4">
            <w:pPr>
              <w:spacing w:after="120"/>
              <w:rPr>
                <w:sz w:val="20"/>
                <w:szCs w:val="20"/>
              </w:rPr>
            </w:pPr>
          </w:p>
        </w:tc>
        <w:tc>
          <w:tcPr>
            <w:tcW w:w="4050" w:type="dxa"/>
            <w:vAlign w:val="center"/>
          </w:tcPr>
          <w:p w14:paraId="7F0F5FE0" w14:textId="77777777" w:rsidR="002D58E4" w:rsidRDefault="00F721D4">
            <w:pPr>
              <w:rPr>
                <w:sz w:val="20"/>
                <w:szCs w:val="20"/>
              </w:rPr>
            </w:pPr>
            <w:r>
              <w:rPr>
                <w:sz w:val="20"/>
                <w:szCs w:val="20"/>
              </w:rPr>
              <w:t xml:space="preserve">(1) </w:t>
            </w:r>
            <w:r>
              <w:rPr>
                <w:b/>
                <w:sz w:val="20"/>
                <w:szCs w:val="20"/>
              </w:rPr>
              <w:t>High-power resolution videomicroscopy</w:t>
            </w:r>
            <w:r>
              <w:rPr>
                <w:sz w:val="20"/>
                <w:szCs w:val="20"/>
              </w:rPr>
              <w:t xml:space="preserve"> and </w:t>
            </w:r>
            <w:r>
              <w:rPr>
                <w:b/>
                <w:sz w:val="20"/>
                <w:szCs w:val="20"/>
              </w:rPr>
              <w:t>staining with</w:t>
            </w:r>
            <w:r>
              <w:rPr>
                <w:sz w:val="20"/>
                <w:szCs w:val="20"/>
              </w:rPr>
              <w:t xml:space="preserve"> the </w:t>
            </w:r>
            <w:r>
              <w:rPr>
                <w:i/>
                <w:sz w:val="20"/>
                <w:szCs w:val="20"/>
              </w:rPr>
              <w:t>Borrelia</w:t>
            </w:r>
            <w:r>
              <w:rPr>
                <w:sz w:val="20"/>
                <w:szCs w:val="20"/>
              </w:rPr>
              <w:t xml:space="preserve"> genus-specific </w:t>
            </w:r>
            <w:r>
              <w:rPr>
                <w:b/>
                <w:sz w:val="20"/>
                <w:szCs w:val="20"/>
              </w:rPr>
              <w:t>monoclonal flagellar antibody H972</w:t>
            </w:r>
            <w:r>
              <w:rPr>
                <w:sz w:val="20"/>
                <w:szCs w:val="20"/>
              </w:rPr>
              <w:t>4 (stained by an avidin biotin-immunoperoxidase method using the H9724 monoclonal Ab in PBS/1% bovine serum albumin as primary antibody 1:50).</w:t>
            </w:r>
          </w:p>
          <w:p w14:paraId="0BDDFDBA" w14:textId="77777777" w:rsidR="002D58E4" w:rsidRDefault="00F721D4">
            <w:pPr>
              <w:rPr>
                <w:sz w:val="20"/>
                <w:szCs w:val="20"/>
              </w:rPr>
            </w:pPr>
            <w:r>
              <w:rPr>
                <w:sz w:val="20"/>
                <w:szCs w:val="20"/>
              </w:rPr>
              <w:t>Negative controls included sections from each investigated biopsy that were not incubated with the primary antibody.</w:t>
            </w:r>
          </w:p>
        </w:tc>
        <w:tc>
          <w:tcPr>
            <w:tcW w:w="5693" w:type="dxa"/>
            <w:vAlign w:val="center"/>
          </w:tcPr>
          <w:p w14:paraId="5E5B8B08" w14:textId="77777777" w:rsidR="002D58E4" w:rsidRDefault="00F721D4">
            <w:pPr>
              <w:rPr>
                <w:sz w:val="20"/>
                <w:szCs w:val="20"/>
              </w:rPr>
            </w:pPr>
            <w:r>
              <w:rPr>
                <w:sz w:val="20"/>
                <w:szCs w:val="20"/>
              </w:rPr>
              <w:t>(1) In culture-positive biopsies of EM, “single or aggregated, delicate or heavily stained borrelial structures of various and sometimes bizarre morphology were discovered.”</w:t>
            </w:r>
          </w:p>
          <w:p w14:paraId="78F1902A" w14:textId="77777777" w:rsidR="002D58E4" w:rsidRDefault="00F721D4">
            <w:pPr>
              <w:rPr>
                <w:sz w:val="20"/>
                <w:szCs w:val="20"/>
              </w:rPr>
            </w:pPr>
            <w:r>
              <w:rPr>
                <w:i/>
                <w:sz w:val="20"/>
                <w:szCs w:val="20"/>
              </w:rPr>
              <w:t>Borrelia</w:t>
            </w:r>
            <w:r>
              <w:rPr>
                <w:sz w:val="20"/>
                <w:szCs w:val="20"/>
              </w:rPr>
              <w:t xml:space="preserve"> were detected in </w:t>
            </w:r>
            <w:r>
              <w:rPr>
                <w:b/>
                <w:sz w:val="20"/>
                <w:szCs w:val="20"/>
              </w:rPr>
              <w:t>25%</w:t>
            </w:r>
            <w:r>
              <w:rPr>
                <w:sz w:val="20"/>
                <w:szCs w:val="20"/>
              </w:rPr>
              <w:t xml:space="preserve"> of ECM, ACA, and morphea cases. In biopsies of all other investigated dermatoses and in normal skin, spirochetal structures could not be identified with certainty by the H9724 monoclonal antibody. No stained borrelia structures were detected on negative control sections from which the primary antibody was omitted. </w:t>
            </w:r>
          </w:p>
        </w:tc>
      </w:tr>
      <w:tr w:rsidR="002D58E4" w14:paraId="1AC185C6" w14:textId="77777777">
        <w:trPr>
          <w:jc w:val="center"/>
        </w:trPr>
        <w:tc>
          <w:tcPr>
            <w:tcW w:w="1041" w:type="dxa"/>
            <w:vAlign w:val="center"/>
          </w:tcPr>
          <w:p w14:paraId="0862B077" w14:textId="77777777" w:rsidR="002D58E4" w:rsidRDefault="00F721D4">
            <w:pPr>
              <w:rPr>
                <w:sz w:val="20"/>
                <w:szCs w:val="20"/>
              </w:rPr>
            </w:pPr>
            <w:r>
              <w:rPr>
                <w:sz w:val="20"/>
                <w:szCs w:val="20"/>
              </w:rPr>
              <w:t>Berger, 1983;</w:t>
            </w:r>
          </w:p>
          <w:p w14:paraId="4D188A2A" w14:textId="77777777" w:rsidR="002D58E4" w:rsidRDefault="002D58E4">
            <w:pPr>
              <w:rPr>
                <w:sz w:val="20"/>
                <w:szCs w:val="20"/>
              </w:rPr>
            </w:pPr>
          </w:p>
          <w:p w14:paraId="41794B4B" w14:textId="77777777" w:rsidR="002D58E4" w:rsidRDefault="00F721D4">
            <w:pPr>
              <w:rPr>
                <w:sz w:val="20"/>
                <w:szCs w:val="20"/>
              </w:rPr>
            </w:pPr>
            <w:r>
              <w:rPr>
                <w:sz w:val="20"/>
                <w:szCs w:val="20"/>
              </w:rPr>
              <w:t>NY state, USA</w:t>
            </w:r>
          </w:p>
        </w:tc>
        <w:tc>
          <w:tcPr>
            <w:tcW w:w="3743" w:type="dxa"/>
            <w:vAlign w:val="center"/>
          </w:tcPr>
          <w:p w14:paraId="654A5482" w14:textId="77777777" w:rsidR="002D58E4" w:rsidRDefault="00F721D4">
            <w:pPr>
              <w:spacing w:after="120"/>
              <w:rPr>
                <w:sz w:val="20"/>
                <w:szCs w:val="20"/>
              </w:rPr>
            </w:pPr>
            <w:r>
              <w:rPr>
                <w:sz w:val="20"/>
                <w:szCs w:val="20"/>
              </w:rPr>
              <w:t>18 skin biopsies from patients with ECM (n=14).</w:t>
            </w:r>
          </w:p>
        </w:tc>
        <w:tc>
          <w:tcPr>
            <w:tcW w:w="4050" w:type="dxa"/>
            <w:vAlign w:val="center"/>
          </w:tcPr>
          <w:p w14:paraId="6F98FE61" w14:textId="77777777" w:rsidR="002D58E4" w:rsidRDefault="00F721D4">
            <w:pPr>
              <w:rPr>
                <w:sz w:val="20"/>
                <w:szCs w:val="20"/>
              </w:rPr>
            </w:pPr>
            <w:r>
              <w:rPr>
                <w:b/>
                <w:sz w:val="20"/>
                <w:szCs w:val="20"/>
              </w:rPr>
              <w:t>Light microscopy</w:t>
            </w:r>
            <w:r>
              <w:rPr>
                <w:sz w:val="20"/>
                <w:szCs w:val="20"/>
              </w:rPr>
              <w:t xml:space="preserve"> with silver stain (</w:t>
            </w:r>
            <w:r>
              <w:rPr>
                <w:b/>
                <w:sz w:val="20"/>
                <w:szCs w:val="20"/>
              </w:rPr>
              <w:t>Warthin-Starry stain</w:t>
            </w:r>
            <w:r>
              <w:rPr>
                <w:sz w:val="20"/>
                <w:szCs w:val="20"/>
              </w:rPr>
              <w:t>).</w:t>
            </w:r>
          </w:p>
        </w:tc>
        <w:tc>
          <w:tcPr>
            <w:tcW w:w="5693" w:type="dxa"/>
            <w:vAlign w:val="center"/>
          </w:tcPr>
          <w:p w14:paraId="5B63B271" w14:textId="77777777" w:rsidR="002D58E4" w:rsidRDefault="00F721D4">
            <w:pPr>
              <w:rPr>
                <w:sz w:val="20"/>
                <w:szCs w:val="20"/>
              </w:rPr>
            </w:pPr>
            <w:r>
              <w:rPr>
                <w:sz w:val="20"/>
                <w:szCs w:val="20"/>
              </w:rPr>
              <w:t>Spirochetes were found in 6 specimens from 4 patients (</w:t>
            </w:r>
            <w:r>
              <w:rPr>
                <w:b/>
                <w:sz w:val="20"/>
                <w:szCs w:val="20"/>
              </w:rPr>
              <w:t>Sn 28.6%</w:t>
            </w:r>
            <w:r>
              <w:rPr>
                <w:sz w:val="20"/>
                <w:szCs w:val="20"/>
              </w:rPr>
              <w:t xml:space="preserve">). The organisms were more likely to be found in the specimens taken from the periphery than from the center of EM lesions. </w:t>
            </w:r>
          </w:p>
        </w:tc>
      </w:tr>
      <w:tr w:rsidR="002D58E4" w14:paraId="0467F21E" w14:textId="77777777">
        <w:trPr>
          <w:jc w:val="center"/>
        </w:trPr>
        <w:tc>
          <w:tcPr>
            <w:tcW w:w="1041" w:type="dxa"/>
            <w:vAlign w:val="center"/>
          </w:tcPr>
          <w:p w14:paraId="0D35C5EA" w14:textId="77777777" w:rsidR="002D58E4" w:rsidRDefault="00F721D4">
            <w:pPr>
              <w:rPr>
                <w:sz w:val="20"/>
                <w:szCs w:val="20"/>
              </w:rPr>
            </w:pPr>
            <w:r>
              <w:rPr>
                <w:sz w:val="20"/>
                <w:szCs w:val="20"/>
              </w:rPr>
              <w:t>De Koning, 1987;</w:t>
            </w:r>
          </w:p>
          <w:p w14:paraId="62F65256" w14:textId="77777777" w:rsidR="002D58E4" w:rsidRDefault="002D58E4">
            <w:pPr>
              <w:rPr>
                <w:sz w:val="20"/>
                <w:szCs w:val="20"/>
              </w:rPr>
            </w:pPr>
          </w:p>
          <w:p w14:paraId="1EC18D27" w14:textId="77777777" w:rsidR="002D58E4" w:rsidRDefault="00F721D4">
            <w:pPr>
              <w:rPr>
                <w:sz w:val="20"/>
                <w:szCs w:val="20"/>
              </w:rPr>
            </w:pPr>
            <w:r>
              <w:rPr>
                <w:sz w:val="20"/>
                <w:szCs w:val="20"/>
              </w:rPr>
              <w:lastRenderedPageBreak/>
              <w:t>Netherlands</w:t>
            </w:r>
          </w:p>
        </w:tc>
        <w:tc>
          <w:tcPr>
            <w:tcW w:w="3743" w:type="dxa"/>
            <w:vAlign w:val="center"/>
          </w:tcPr>
          <w:p w14:paraId="0250D7D4" w14:textId="77777777" w:rsidR="002D58E4" w:rsidRDefault="00F721D4">
            <w:pPr>
              <w:spacing w:after="120"/>
              <w:rPr>
                <w:sz w:val="20"/>
                <w:szCs w:val="20"/>
              </w:rPr>
            </w:pPr>
            <w:r>
              <w:rPr>
                <w:sz w:val="20"/>
                <w:szCs w:val="20"/>
              </w:rPr>
              <w:lastRenderedPageBreak/>
              <w:t xml:space="preserve">Skin biopsies from patients with ECM (n=10) and lymphadenosis benigna cutis (LABC, a.k.a. borrelial lymphocytoma) (n=7). The </w:t>
            </w:r>
            <w:r>
              <w:rPr>
                <w:sz w:val="20"/>
                <w:szCs w:val="20"/>
              </w:rPr>
              <w:lastRenderedPageBreak/>
              <w:t xml:space="preserve">study also evaluated synovial sections from 4 patients with Lyme arthritis. </w:t>
            </w:r>
          </w:p>
          <w:p w14:paraId="72749E81" w14:textId="77777777" w:rsidR="002D58E4" w:rsidRDefault="00F721D4">
            <w:pPr>
              <w:spacing w:after="120"/>
              <w:rPr>
                <w:sz w:val="20"/>
                <w:szCs w:val="20"/>
              </w:rPr>
            </w:pPr>
            <w:r>
              <w:rPr>
                <w:sz w:val="20"/>
                <w:szCs w:val="20"/>
              </w:rPr>
              <w:t>Biopsies of lesions from 35 patients with other conditions (eczema (5), granuloma annulare (10), erythema annulare centrifugum (3), malignant lymphoma (5), traumatic bursitis (5), and synovial sections from patients with rheumatoid arthritis (7)) were negative controls.</w:t>
            </w:r>
          </w:p>
        </w:tc>
        <w:tc>
          <w:tcPr>
            <w:tcW w:w="4050" w:type="dxa"/>
            <w:vAlign w:val="center"/>
          </w:tcPr>
          <w:p w14:paraId="7EF1A76F" w14:textId="77777777" w:rsidR="002D58E4" w:rsidRDefault="00F721D4">
            <w:pPr>
              <w:rPr>
                <w:sz w:val="20"/>
                <w:szCs w:val="20"/>
              </w:rPr>
            </w:pPr>
            <w:r>
              <w:rPr>
                <w:b/>
                <w:sz w:val="20"/>
                <w:szCs w:val="20"/>
              </w:rPr>
              <w:lastRenderedPageBreak/>
              <w:t>Light microscop</w:t>
            </w:r>
            <w:r>
              <w:rPr>
                <w:sz w:val="20"/>
                <w:szCs w:val="20"/>
              </w:rPr>
              <w:t xml:space="preserve">y with modified Steiner silver stains: </w:t>
            </w:r>
            <w:r>
              <w:rPr>
                <w:b/>
                <w:sz w:val="20"/>
                <w:szCs w:val="20"/>
              </w:rPr>
              <w:t>Warthin-Starry</w:t>
            </w:r>
            <w:r>
              <w:rPr>
                <w:sz w:val="20"/>
                <w:szCs w:val="20"/>
              </w:rPr>
              <w:t xml:space="preserve"> and </w:t>
            </w:r>
            <w:r>
              <w:rPr>
                <w:b/>
                <w:sz w:val="20"/>
                <w:szCs w:val="20"/>
              </w:rPr>
              <w:t>Bosma-Steiner</w:t>
            </w:r>
            <w:r>
              <w:rPr>
                <w:sz w:val="20"/>
                <w:szCs w:val="20"/>
              </w:rPr>
              <w:t xml:space="preserve"> modifications. </w:t>
            </w:r>
          </w:p>
        </w:tc>
        <w:tc>
          <w:tcPr>
            <w:tcW w:w="5693" w:type="dxa"/>
            <w:vAlign w:val="center"/>
          </w:tcPr>
          <w:p w14:paraId="17B145BD" w14:textId="77777777" w:rsidR="002D58E4" w:rsidRDefault="00F721D4">
            <w:pPr>
              <w:rPr>
                <w:sz w:val="20"/>
                <w:szCs w:val="20"/>
              </w:rPr>
            </w:pPr>
            <w:r>
              <w:rPr>
                <w:sz w:val="20"/>
                <w:szCs w:val="20"/>
              </w:rPr>
              <w:t>“Lyme spirochetes were demonstrated in all skin preparations [</w:t>
            </w:r>
            <w:r>
              <w:rPr>
                <w:b/>
                <w:sz w:val="20"/>
                <w:szCs w:val="20"/>
              </w:rPr>
              <w:t>Sn 100%</w:t>
            </w:r>
            <w:r>
              <w:rPr>
                <w:sz w:val="20"/>
                <w:szCs w:val="20"/>
              </w:rPr>
              <w:t xml:space="preserve">] from patients with proven Lyme disease by the Bosma-Steiner stain. By contrast, the Warthin-Starry stain showed only undulating </w:t>
            </w:r>
            <w:r>
              <w:rPr>
                <w:sz w:val="20"/>
                <w:szCs w:val="20"/>
              </w:rPr>
              <w:lastRenderedPageBreak/>
              <w:t>structures in the epidermis and subepidermal zone and spirochetes were not seen with the Steiner stain.”</w:t>
            </w:r>
          </w:p>
          <w:p w14:paraId="06CD133E" w14:textId="77777777" w:rsidR="002D58E4" w:rsidRDefault="00F721D4">
            <w:pPr>
              <w:rPr>
                <w:sz w:val="20"/>
                <w:szCs w:val="20"/>
              </w:rPr>
            </w:pPr>
            <w:r>
              <w:rPr>
                <w:sz w:val="20"/>
                <w:szCs w:val="20"/>
              </w:rPr>
              <w:t>Spirochetes were demonstrated in none of the specimens from patients in the control group.</w:t>
            </w:r>
          </w:p>
        </w:tc>
      </w:tr>
      <w:tr w:rsidR="002D58E4" w14:paraId="34B85F05" w14:textId="77777777">
        <w:trPr>
          <w:jc w:val="center"/>
        </w:trPr>
        <w:tc>
          <w:tcPr>
            <w:tcW w:w="1041" w:type="dxa"/>
            <w:vAlign w:val="center"/>
          </w:tcPr>
          <w:p w14:paraId="22C00C0B" w14:textId="77777777" w:rsidR="002D58E4" w:rsidRDefault="00F721D4">
            <w:pPr>
              <w:rPr>
                <w:sz w:val="20"/>
                <w:szCs w:val="20"/>
              </w:rPr>
            </w:pPr>
            <w:r>
              <w:rPr>
                <w:sz w:val="20"/>
                <w:szCs w:val="20"/>
              </w:rPr>
              <w:lastRenderedPageBreak/>
              <w:t>Eisendle, 2007 (</w:t>
            </w:r>
            <w:r>
              <w:rPr>
                <w:i/>
                <w:sz w:val="20"/>
                <w:szCs w:val="20"/>
              </w:rPr>
              <w:t>see below</w:t>
            </w:r>
            <w:r>
              <w:rPr>
                <w:sz w:val="20"/>
                <w:szCs w:val="20"/>
              </w:rPr>
              <w:t>);</w:t>
            </w:r>
          </w:p>
          <w:p w14:paraId="3C9ABCBE" w14:textId="77777777" w:rsidR="002D58E4" w:rsidRDefault="002D58E4">
            <w:pPr>
              <w:rPr>
                <w:sz w:val="20"/>
                <w:szCs w:val="20"/>
              </w:rPr>
            </w:pPr>
          </w:p>
          <w:p w14:paraId="17478816" w14:textId="77777777" w:rsidR="002D58E4" w:rsidRDefault="00F721D4">
            <w:pPr>
              <w:rPr>
                <w:sz w:val="20"/>
                <w:szCs w:val="20"/>
              </w:rPr>
            </w:pPr>
            <w:r>
              <w:rPr>
                <w:sz w:val="20"/>
                <w:szCs w:val="20"/>
              </w:rPr>
              <w:t>Austria</w:t>
            </w:r>
          </w:p>
        </w:tc>
        <w:tc>
          <w:tcPr>
            <w:tcW w:w="3743" w:type="dxa"/>
            <w:vAlign w:val="center"/>
          </w:tcPr>
          <w:p w14:paraId="2E3C7D46" w14:textId="77777777" w:rsidR="002D58E4" w:rsidRDefault="00F721D4">
            <w:pPr>
              <w:spacing w:after="120"/>
              <w:rPr>
                <w:sz w:val="20"/>
                <w:szCs w:val="20"/>
              </w:rPr>
            </w:pPr>
            <w:r>
              <w:rPr>
                <w:sz w:val="20"/>
                <w:szCs w:val="20"/>
              </w:rPr>
              <w:t>Archived H&amp;E-stained sections of 309 specimens from patients with cutaneous borreliosis were re-examined and diagnoses confirmed. 109 negative control samples were also examined.</w:t>
            </w:r>
          </w:p>
          <w:p w14:paraId="619EB2A1" w14:textId="77777777" w:rsidR="002D58E4" w:rsidRDefault="00F721D4">
            <w:pPr>
              <w:spacing w:after="120"/>
              <w:rPr>
                <w:sz w:val="20"/>
                <w:szCs w:val="20"/>
              </w:rPr>
            </w:pPr>
            <w:r>
              <w:rPr>
                <w:sz w:val="20"/>
                <w:szCs w:val="20"/>
              </w:rPr>
              <w:t>Diagnoses were further verified by clinico-pathologic correlation from patients’ records or by contacting the referring clinician.</w:t>
            </w:r>
          </w:p>
        </w:tc>
        <w:tc>
          <w:tcPr>
            <w:tcW w:w="4050" w:type="dxa"/>
            <w:vAlign w:val="center"/>
          </w:tcPr>
          <w:p w14:paraId="2037C047" w14:textId="77777777" w:rsidR="002D58E4" w:rsidRDefault="00F721D4">
            <w:pPr>
              <w:rPr>
                <w:sz w:val="20"/>
                <w:szCs w:val="20"/>
              </w:rPr>
            </w:pPr>
            <w:r>
              <w:rPr>
                <w:sz w:val="20"/>
                <w:szCs w:val="20"/>
              </w:rPr>
              <w:t xml:space="preserve">(1) </w:t>
            </w:r>
            <w:r>
              <w:rPr>
                <w:b/>
                <w:sz w:val="20"/>
                <w:szCs w:val="20"/>
              </w:rPr>
              <w:t>Focus floating microscopy</w:t>
            </w:r>
            <w:r>
              <w:rPr>
                <w:sz w:val="20"/>
                <w:szCs w:val="20"/>
              </w:rPr>
              <w:t xml:space="preserve"> (FFM, a modified immunohistochemical technique);</w:t>
            </w:r>
          </w:p>
          <w:p w14:paraId="15D82BF4" w14:textId="77777777" w:rsidR="002D58E4" w:rsidRDefault="002D58E4">
            <w:pPr>
              <w:rPr>
                <w:sz w:val="20"/>
                <w:szCs w:val="20"/>
              </w:rPr>
            </w:pPr>
          </w:p>
          <w:p w14:paraId="211AE00C" w14:textId="77777777" w:rsidR="002D58E4" w:rsidRDefault="00F721D4">
            <w:pPr>
              <w:rPr>
                <w:sz w:val="20"/>
                <w:szCs w:val="20"/>
              </w:rPr>
            </w:pPr>
            <w:r>
              <w:rPr>
                <w:sz w:val="20"/>
                <w:szCs w:val="20"/>
              </w:rPr>
              <w:t xml:space="preserve">(2) Skin biopsy samples were also tested for presence of </w:t>
            </w:r>
            <w:r>
              <w:rPr>
                <w:i/>
                <w:sz w:val="20"/>
                <w:szCs w:val="20"/>
              </w:rPr>
              <w:t>B. burgdorferi</w:t>
            </w:r>
            <w:r>
              <w:rPr>
                <w:sz w:val="20"/>
                <w:szCs w:val="20"/>
              </w:rPr>
              <w:t xml:space="preserve"> DNA by </w:t>
            </w:r>
            <w:r>
              <w:rPr>
                <w:b/>
                <w:sz w:val="20"/>
                <w:szCs w:val="20"/>
              </w:rPr>
              <w:t>PCR</w:t>
            </w:r>
            <w:r>
              <w:rPr>
                <w:sz w:val="20"/>
                <w:szCs w:val="20"/>
              </w:rPr>
              <w:t xml:space="preserve"> (</w:t>
            </w:r>
            <w:r>
              <w:rPr>
                <w:i/>
                <w:sz w:val="20"/>
                <w:szCs w:val="20"/>
              </w:rPr>
              <w:t>see results below</w:t>
            </w:r>
            <w:r>
              <w:rPr>
                <w:sz w:val="20"/>
                <w:szCs w:val="20"/>
              </w:rPr>
              <w:t xml:space="preserve">). </w:t>
            </w:r>
          </w:p>
          <w:p w14:paraId="1F11ECE0" w14:textId="77777777" w:rsidR="002D58E4" w:rsidRDefault="002D58E4">
            <w:pPr>
              <w:rPr>
                <w:sz w:val="20"/>
                <w:szCs w:val="20"/>
              </w:rPr>
            </w:pPr>
          </w:p>
          <w:p w14:paraId="0DB90FEA" w14:textId="77777777" w:rsidR="002D58E4" w:rsidRDefault="002D58E4">
            <w:pPr>
              <w:rPr>
                <w:sz w:val="20"/>
                <w:szCs w:val="20"/>
              </w:rPr>
            </w:pPr>
          </w:p>
        </w:tc>
        <w:tc>
          <w:tcPr>
            <w:tcW w:w="5693" w:type="dxa"/>
            <w:vAlign w:val="center"/>
          </w:tcPr>
          <w:p w14:paraId="0FA442E0" w14:textId="77777777" w:rsidR="002D58E4" w:rsidRDefault="00F721D4">
            <w:pPr>
              <w:rPr>
                <w:sz w:val="20"/>
                <w:szCs w:val="20"/>
              </w:rPr>
            </w:pPr>
            <w:r>
              <w:rPr>
                <w:i/>
                <w:sz w:val="20"/>
                <w:szCs w:val="20"/>
              </w:rPr>
              <w:t>(1) Borrelia</w:t>
            </w:r>
            <w:r>
              <w:rPr>
                <w:sz w:val="20"/>
                <w:szCs w:val="20"/>
              </w:rPr>
              <w:t xml:space="preserve"> were detected</w:t>
            </w:r>
            <w:r>
              <w:t xml:space="preserve"> </w:t>
            </w:r>
            <w:r>
              <w:rPr>
                <w:sz w:val="20"/>
                <w:szCs w:val="20"/>
              </w:rPr>
              <w:t xml:space="preserve">in 30 out of 32 EM </w:t>
            </w:r>
            <w:r>
              <w:rPr>
                <w:b/>
                <w:sz w:val="20"/>
                <w:szCs w:val="20"/>
              </w:rPr>
              <w:t>(Sn 93.8%)</w:t>
            </w:r>
            <w:r>
              <w:rPr>
                <w:sz w:val="20"/>
                <w:szCs w:val="20"/>
              </w:rPr>
              <w:t xml:space="preserve"> and in 50 of 51 (Sn 98.0%) ACA cases by FFM.  All 169 control cases, except 1 false-positive case of secondary syphilis, were negative with FFM (</w:t>
            </w:r>
            <w:r>
              <w:rPr>
                <w:b/>
                <w:sz w:val="20"/>
                <w:szCs w:val="20"/>
              </w:rPr>
              <w:t>Sp 99.4%).</w:t>
            </w:r>
            <w:r>
              <w:rPr>
                <w:sz w:val="20"/>
                <w:szCs w:val="20"/>
              </w:rPr>
              <w:t xml:space="preserve"> </w:t>
            </w:r>
          </w:p>
          <w:p w14:paraId="2BA64E10" w14:textId="77777777" w:rsidR="002D58E4" w:rsidRDefault="002D58E4">
            <w:pPr>
              <w:rPr>
                <w:sz w:val="20"/>
                <w:szCs w:val="20"/>
              </w:rPr>
            </w:pPr>
          </w:p>
          <w:p w14:paraId="260D889E" w14:textId="77777777" w:rsidR="002D58E4" w:rsidRDefault="00F721D4">
            <w:pPr>
              <w:rPr>
                <w:sz w:val="20"/>
                <w:szCs w:val="20"/>
              </w:rPr>
            </w:pPr>
            <w:r>
              <w:rPr>
                <w:sz w:val="20"/>
                <w:szCs w:val="20"/>
              </w:rPr>
              <w:t xml:space="preserve">Among all samples from patients with borreliosis and controls, focus floating microscopy (FFM) was more sensitive than PCR (96.0% vs. 45.2%) and nearly equally specific (99.4% vs. 100%). </w:t>
            </w:r>
          </w:p>
          <w:p w14:paraId="703ECFD7" w14:textId="77777777" w:rsidR="002D58E4" w:rsidRDefault="00F721D4">
            <w:pPr>
              <w:rPr>
                <w:i/>
                <w:sz w:val="20"/>
                <w:szCs w:val="20"/>
              </w:rPr>
            </w:pPr>
            <w:r>
              <w:rPr>
                <w:sz w:val="20"/>
                <w:szCs w:val="20"/>
              </w:rPr>
              <w:t xml:space="preserve">The authors concluded that FFM is an easy, quick, and inexpensive method to reliably detect </w:t>
            </w:r>
            <w:r>
              <w:rPr>
                <w:i/>
                <w:sz w:val="20"/>
                <w:szCs w:val="20"/>
              </w:rPr>
              <w:t>Borrelia</w:t>
            </w:r>
            <w:r>
              <w:rPr>
                <w:sz w:val="20"/>
                <w:szCs w:val="20"/>
              </w:rPr>
              <w:t xml:space="preserve"> in cutaneous tissue sections.</w:t>
            </w:r>
          </w:p>
        </w:tc>
      </w:tr>
      <w:tr w:rsidR="002D58E4" w14:paraId="57B22AB4" w14:textId="77777777">
        <w:trPr>
          <w:jc w:val="center"/>
        </w:trPr>
        <w:tc>
          <w:tcPr>
            <w:tcW w:w="14527" w:type="dxa"/>
            <w:gridSpan w:val="4"/>
            <w:shd w:val="clear" w:color="auto" w:fill="A6A6A6"/>
            <w:vAlign w:val="center"/>
          </w:tcPr>
          <w:p w14:paraId="20221CA8" w14:textId="77777777" w:rsidR="002D58E4" w:rsidRDefault="00F721D4">
            <w:pPr>
              <w:jc w:val="center"/>
              <w:rPr>
                <w:i/>
                <w:sz w:val="20"/>
                <w:szCs w:val="20"/>
              </w:rPr>
            </w:pPr>
            <w:r>
              <w:rPr>
                <w:b/>
                <w:i/>
                <w:sz w:val="24"/>
                <w:szCs w:val="24"/>
              </w:rPr>
              <w:t>B. burgdorferi</w:t>
            </w:r>
            <w:r>
              <w:rPr>
                <w:b/>
                <w:sz w:val="24"/>
                <w:szCs w:val="24"/>
              </w:rPr>
              <w:t xml:space="preserve"> cultures</w:t>
            </w:r>
          </w:p>
        </w:tc>
      </w:tr>
      <w:tr w:rsidR="002D58E4" w14:paraId="1BB30AE2" w14:textId="77777777">
        <w:trPr>
          <w:jc w:val="center"/>
        </w:trPr>
        <w:tc>
          <w:tcPr>
            <w:tcW w:w="14527" w:type="dxa"/>
            <w:gridSpan w:val="4"/>
            <w:shd w:val="clear" w:color="auto" w:fill="D9D9D9"/>
            <w:vAlign w:val="center"/>
          </w:tcPr>
          <w:p w14:paraId="691D14C7" w14:textId="77777777" w:rsidR="002D58E4" w:rsidRDefault="00F721D4">
            <w:pPr>
              <w:jc w:val="center"/>
              <w:rPr>
                <w:b/>
                <w:i/>
                <w:sz w:val="24"/>
                <w:szCs w:val="24"/>
              </w:rPr>
            </w:pPr>
            <w:r>
              <w:rPr>
                <w:b/>
              </w:rPr>
              <w:t>Skin cultures (Sn range: 25.0% - 83.3%)</w:t>
            </w:r>
          </w:p>
        </w:tc>
      </w:tr>
      <w:tr w:rsidR="002D58E4" w14:paraId="079483BF" w14:textId="77777777">
        <w:trPr>
          <w:jc w:val="center"/>
        </w:trPr>
        <w:tc>
          <w:tcPr>
            <w:tcW w:w="1041" w:type="dxa"/>
            <w:vAlign w:val="center"/>
          </w:tcPr>
          <w:p w14:paraId="3EB54BDB" w14:textId="77777777" w:rsidR="002D58E4" w:rsidRDefault="00F721D4">
            <w:pPr>
              <w:rPr>
                <w:sz w:val="20"/>
                <w:szCs w:val="20"/>
              </w:rPr>
            </w:pPr>
            <w:r>
              <w:rPr>
                <w:sz w:val="20"/>
                <w:szCs w:val="20"/>
              </w:rPr>
              <w:t>Aberer, 1996 (</w:t>
            </w:r>
            <w:r>
              <w:rPr>
                <w:i/>
                <w:sz w:val="20"/>
                <w:szCs w:val="20"/>
              </w:rPr>
              <w:t>see above</w:t>
            </w:r>
            <w:r>
              <w:rPr>
                <w:sz w:val="20"/>
                <w:szCs w:val="20"/>
              </w:rPr>
              <w:t>);</w:t>
            </w:r>
          </w:p>
          <w:p w14:paraId="4C2BDC89" w14:textId="77777777" w:rsidR="002D58E4" w:rsidRDefault="002D58E4">
            <w:pPr>
              <w:rPr>
                <w:sz w:val="20"/>
                <w:szCs w:val="20"/>
              </w:rPr>
            </w:pPr>
          </w:p>
          <w:p w14:paraId="49B854A7" w14:textId="77777777" w:rsidR="002D58E4" w:rsidRDefault="00F721D4">
            <w:pPr>
              <w:rPr>
                <w:sz w:val="20"/>
                <w:szCs w:val="20"/>
              </w:rPr>
            </w:pPr>
            <w:r>
              <w:rPr>
                <w:sz w:val="20"/>
                <w:szCs w:val="20"/>
              </w:rPr>
              <w:t>Austria</w:t>
            </w:r>
          </w:p>
        </w:tc>
        <w:tc>
          <w:tcPr>
            <w:tcW w:w="3743" w:type="dxa"/>
            <w:vAlign w:val="center"/>
          </w:tcPr>
          <w:p w14:paraId="3F945F30" w14:textId="77777777" w:rsidR="002D58E4" w:rsidRDefault="00F721D4">
            <w:pPr>
              <w:rPr>
                <w:sz w:val="20"/>
                <w:szCs w:val="20"/>
              </w:rPr>
            </w:pPr>
            <w:r>
              <w:rPr>
                <w:sz w:val="20"/>
                <w:szCs w:val="20"/>
              </w:rPr>
              <w:t>(2) Skin specimens adjacent to sites biopsied for histologic procedures were taken from skin lesions of patients with ECM (n = 35) and ACA (n=20) and cultured using BSK II culture medium.</w:t>
            </w:r>
          </w:p>
        </w:tc>
        <w:tc>
          <w:tcPr>
            <w:tcW w:w="4050" w:type="dxa"/>
            <w:vAlign w:val="center"/>
          </w:tcPr>
          <w:p w14:paraId="3A148A15" w14:textId="77777777" w:rsidR="002D58E4" w:rsidRDefault="00F721D4">
            <w:pPr>
              <w:rPr>
                <w:sz w:val="20"/>
                <w:szCs w:val="20"/>
              </w:rPr>
            </w:pPr>
            <w:r>
              <w:rPr>
                <w:sz w:val="20"/>
                <w:szCs w:val="20"/>
              </w:rPr>
              <w:t xml:space="preserve">(2) </w:t>
            </w:r>
            <w:r>
              <w:rPr>
                <w:i/>
                <w:sz w:val="20"/>
                <w:szCs w:val="20"/>
              </w:rPr>
              <w:t>B. burgdorferi</w:t>
            </w:r>
            <w:r>
              <w:rPr>
                <w:sz w:val="20"/>
                <w:szCs w:val="20"/>
              </w:rPr>
              <w:t xml:space="preserve"> </w:t>
            </w:r>
            <w:r>
              <w:rPr>
                <w:b/>
                <w:sz w:val="20"/>
                <w:szCs w:val="20"/>
                <w:u w:val="single"/>
              </w:rPr>
              <w:t>skin</w:t>
            </w:r>
            <w:r>
              <w:rPr>
                <w:b/>
                <w:sz w:val="20"/>
                <w:szCs w:val="20"/>
              </w:rPr>
              <w:t xml:space="preserve"> culture using Barbour-Stoenner-Kelly (BSK) II</w:t>
            </w:r>
            <w:r>
              <w:rPr>
                <w:sz w:val="20"/>
                <w:szCs w:val="20"/>
              </w:rPr>
              <w:t xml:space="preserve"> culture medium.</w:t>
            </w:r>
          </w:p>
        </w:tc>
        <w:tc>
          <w:tcPr>
            <w:tcW w:w="5693" w:type="dxa"/>
            <w:vAlign w:val="center"/>
          </w:tcPr>
          <w:p w14:paraId="410212B5" w14:textId="77777777" w:rsidR="002D58E4" w:rsidRDefault="00F721D4">
            <w:pPr>
              <w:rPr>
                <w:sz w:val="20"/>
                <w:szCs w:val="20"/>
              </w:rPr>
            </w:pPr>
            <w:r>
              <w:rPr>
                <w:sz w:val="20"/>
                <w:szCs w:val="20"/>
              </w:rPr>
              <w:t xml:space="preserve">2) </w:t>
            </w:r>
            <w:r>
              <w:rPr>
                <w:i/>
                <w:sz w:val="20"/>
                <w:szCs w:val="20"/>
              </w:rPr>
              <w:t>B. burgdorferi</w:t>
            </w:r>
            <w:r>
              <w:rPr>
                <w:sz w:val="20"/>
                <w:szCs w:val="20"/>
              </w:rPr>
              <w:t xml:space="preserve"> was cultured from biopsies of 9 patients with ECM (</w:t>
            </w:r>
            <w:r>
              <w:rPr>
                <w:b/>
                <w:sz w:val="20"/>
                <w:szCs w:val="20"/>
              </w:rPr>
              <w:t>Sn 25.7%)</w:t>
            </w:r>
            <w:r>
              <w:rPr>
                <w:sz w:val="20"/>
                <w:szCs w:val="20"/>
              </w:rPr>
              <w:t xml:space="preserve"> and from 3 patients with ACA (Sn 15%).</w:t>
            </w:r>
          </w:p>
        </w:tc>
      </w:tr>
      <w:tr w:rsidR="002D58E4" w14:paraId="0E72DB21" w14:textId="77777777">
        <w:trPr>
          <w:jc w:val="center"/>
        </w:trPr>
        <w:tc>
          <w:tcPr>
            <w:tcW w:w="1041" w:type="dxa"/>
            <w:vAlign w:val="center"/>
          </w:tcPr>
          <w:p w14:paraId="678EEFA1" w14:textId="77777777" w:rsidR="002D58E4" w:rsidRDefault="00F721D4">
            <w:pPr>
              <w:rPr>
                <w:sz w:val="20"/>
                <w:szCs w:val="20"/>
              </w:rPr>
            </w:pPr>
            <w:r>
              <w:rPr>
                <w:sz w:val="20"/>
                <w:szCs w:val="20"/>
              </w:rPr>
              <w:t>Berger, 1985;</w:t>
            </w:r>
          </w:p>
          <w:p w14:paraId="718BEAFF" w14:textId="77777777" w:rsidR="002D58E4" w:rsidRDefault="002D58E4">
            <w:pPr>
              <w:rPr>
                <w:sz w:val="20"/>
                <w:szCs w:val="20"/>
              </w:rPr>
            </w:pPr>
          </w:p>
          <w:p w14:paraId="1FC32DFA" w14:textId="77777777" w:rsidR="002D58E4" w:rsidRDefault="00F721D4">
            <w:pPr>
              <w:rPr>
                <w:sz w:val="20"/>
                <w:szCs w:val="20"/>
              </w:rPr>
            </w:pPr>
            <w:r>
              <w:rPr>
                <w:sz w:val="20"/>
                <w:szCs w:val="20"/>
              </w:rPr>
              <w:t>NY state, USA</w:t>
            </w:r>
          </w:p>
        </w:tc>
        <w:tc>
          <w:tcPr>
            <w:tcW w:w="3743" w:type="dxa"/>
            <w:vAlign w:val="center"/>
          </w:tcPr>
          <w:p w14:paraId="1DC794AF" w14:textId="77777777" w:rsidR="002D58E4" w:rsidRDefault="00F721D4">
            <w:pPr>
              <w:rPr>
                <w:sz w:val="20"/>
                <w:szCs w:val="20"/>
              </w:rPr>
            </w:pPr>
            <w:r>
              <w:rPr>
                <w:sz w:val="20"/>
                <w:szCs w:val="20"/>
              </w:rPr>
              <w:t>Skin biopsy specimens of 14 patients with EM</w:t>
            </w:r>
          </w:p>
        </w:tc>
        <w:tc>
          <w:tcPr>
            <w:tcW w:w="4050" w:type="dxa"/>
            <w:vAlign w:val="center"/>
          </w:tcPr>
          <w:p w14:paraId="0C9FAE48"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skin</w:t>
            </w:r>
            <w:r>
              <w:rPr>
                <w:b/>
                <w:sz w:val="20"/>
                <w:szCs w:val="20"/>
              </w:rPr>
              <w:t xml:space="preserve"> culture using modified Kelly's medium</w:t>
            </w:r>
          </w:p>
        </w:tc>
        <w:tc>
          <w:tcPr>
            <w:tcW w:w="5693" w:type="dxa"/>
            <w:vAlign w:val="center"/>
          </w:tcPr>
          <w:p w14:paraId="64EDB62D" w14:textId="77777777" w:rsidR="002D58E4" w:rsidRDefault="00F721D4">
            <w:pPr>
              <w:rPr>
                <w:sz w:val="20"/>
                <w:szCs w:val="20"/>
              </w:rPr>
            </w:pPr>
            <w:r>
              <w:rPr>
                <w:i/>
                <w:sz w:val="20"/>
                <w:szCs w:val="20"/>
              </w:rPr>
              <w:t>B. burgdorferi</w:t>
            </w:r>
            <w:r>
              <w:rPr>
                <w:sz w:val="20"/>
                <w:szCs w:val="20"/>
              </w:rPr>
              <w:t xml:space="preserve"> was cultured from biopsies of 6 out of 14 patients (</w:t>
            </w:r>
            <w:r>
              <w:rPr>
                <w:b/>
                <w:sz w:val="20"/>
                <w:szCs w:val="20"/>
              </w:rPr>
              <w:t>Sn 42.9%)</w:t>
            </w:r>
          </w:p>
        </w:tc>
      </w:tr>
      <w:tr w:rsidR="002D58E4" w14:paraId="646F8B34" w14:textId="77777777">
        <w:trPr>
          <w:jc w:val="center"/>
        </w:trPr>
        <w:tc>
          <w:tcPr>
            <w:tcW w:w="1041" w:type="dxa"/>
            <w:vAlign w:val="center"/>
          </w:tcPr>
          <w:p w14:paraId="674D415A" w14:textId="77777777" w:rsidR="002D58E4" w:rsidRDefault="00F721D4">
            <w:pPr>
              <w:rPr>
                <w:sz w:val="20"/>
                <w:szCs w:val="20"/>
              </w:rPr>
            </w:pPr>
            <w:r>
              <w:rPr>
                <w:sz w:val="20"/>
                <w:szCs w:val="20"/>
              </w:rPr>
              <w:t>Cerar, 2008 (</w:t>
            </w:r>
            <w:r>
              <w:rPr>
                <w:i/>
                <w:sz w:val="20"/>
                <w:szCs w:val="20"/>
              </w:rPr>
              <w:t>see below</w:t>
            </w:r>
            <w:r>
              <w:rPr>
                <w:sz w:val="20"/>
                <w:szCs w:val="20"/>
              </w:rPr>
              <w:t>);</w:t>
            </w:r>
          </w:p>
          <w:p w14:paraId="19D0F4A9" w14:textId="77777777" w:rsidR="002D58E4" w:rsidRDefault="002D58E4">
            <w:pPr>
              <w:rPr>
                <w:sz w:val="20"/>
                <w:szCs w:val="20"/>
              </w:rPr>
            </w:pPr>
          </w:p>
          <w:p w14:paraId="0046BE81" w14:textId="77777777" w:rsidR="002D58E4" w:rsidRDefault="00F721D4">
            <w:pPr>
              <w:rPr>
                <w:sz w:val="20"/>
                <w:szCs w:val="20"/>
              </w:rPr>
            </w:pPr>
            <w:r>
              <w:rPr>
                <w:sz w:val="20"/>
                <w:szCs w:val="20"/>
              </w:rPr>
              <w:t>Slovenia</w:t>
            </w:r>
          </w:p>
        </w:tc>
        <w:tc>
          <w:tcPr>
            <w:tcW w:w="3743" w:type="dxa"/>
            <w:vAlign w:val="center"/>
          </w:tcPr>
          <w:p w14:paraId="35071CCD" w14:textId="77777777" w:rsidR="002D58E4" w:rsidRDefault="00F721D4">
            <w:pPr>
              <w:rPr>
                <w:sz w:val="20"/>
                <w:szCs w:val="20"/>
              </w:rPr>
            </w:pPr>
            <w:r>
              <w:rPr>
                <w:sz w:val="20"/>
                <w:szCs w:val="20"/>
              </w:rPr>
              <w:lastRenderedPageBreak/>
              <w:t xml:space="preserve">Skin biopsy specimens of 150 patients with EM (periphery of the lesion). </w:t>
            </w:r>
          </w:p>
        </w:tc>
        <w:tc>
          <w:tcPr>
            <w:tcW w:w="4050" w:type="dxa"/>
            <w:vAlign w:val="center"/>
          </w:tcPr>
          <w:p w14:paraId="6CE8B851" w14:textId="77777777" w:rsidR="002D58E4" w:rsidRDefault="00F721D4">
            <w:pPr>
              <w:rPr>
                <w:b/>
                <w:sz w:val="20"/>
                <w:szCs w:val="20"/>
              </w:rPr>
            </w:pPr>
            <w:r>
              <w:rPr>
                <w:i/>
                <w:sz w:val="20"/>
                <w:szCs w:val="20"/>
              </w:rPr>
              <w:t>B. burgdorferi</w:t>
            </w:r>
            <w:r>
              <w:rPr>
                <w:sz w:val="20"/>
                <w:szCs w:val="20"/>
              </w:rPr>
              <w:t xml:space="preserve"> </w:t>
            </w:r>
            <w:r>
              <w:rPr>
                <w:b/>
                <w:sz w:val="20"/>
                <w:szCs w:val="20"/>
                <w:u w:val="single"/>
              </w:rPr>
              <w:t>skin</w:t>
            </w:r>
            <w:r>
              <w:rPr>
                <w:b/>
                <w:sz w:val="20"/>
                <w:szCs w:val="20"/>
              </w:rPr>
              <w:t xml:space="preserve"> culture using modified Kelly–Pettenkofer medium.</w:t>
            </w:r>
          </w:p>
          <w:p w14:paraId="36F3ED78" w14:textId="77777777" w:rsidR="002D58E4" w:rsidRDefault="00F721D4">
            <w:pPr>
              <w:rPr>
                <w:sz w:val="20"/>
                <w:szCs w:val="20"/>
              </w:rPr>
            </w:pPr>
            <w:r>
              <w:rPr>
                <w:sz w:val="20"/>
                <w:szCs w:val="20"/>
              </w:rPr>
              <w:lastRenderedPageBreak/>
              <w:t xml:space="preserve">The study also tested two PCR methods on the same collection of skin biopsy samples. </w:t>
            </w:r>
          </w:p>
        </w:tc>
        <w:tc>
          <w:tcPr>
            <w:tcW w:w="5693" w:type="dxa"/>
            <w:vAlign w:val="center"/>
          </w:tcPr>
          <w:p w14:paraId="46E9D9C1" w14:textId="77777777" w:rsidR="002D58E4" w:rsidRDefault="00F721D4">
            <w:pPr>
              <w:rPr>
                <w:sz w:val="20"/>
                <w:szCs w:val="20"/>
              </w:rPr>
            </w:pPr>
            <w:r>
              <w:rPr>
                <w:i/>
                <w:sz w:val="20"/>
                <w:szCs w:val="20"/>
              </w:rPr>
              <w:lastRenderedPageBreak/>
              <w:t>B. burgdorferi</w:t>
            </w:r>
            <w:r>
              <w:rPr>
                <w:sz w:val="20"/>
                <w:szCs w:val="20"/>
              </w:rPr>
              <w:t xml:space="preserve"> sensu lato was isolated from 73 (</w:t>
            </w:r>
            <w:r>
              <w:rPr>
                <w:b/>
                <w:sz w:val="20"/>
                <w:szCs w:val="20"/>
              </w:rPr>
              <w:t>Sn 48.7%</w:t>
            </w:r>
            <w:r>
              <w:rPr>
                <w:sz w:val="20"/>
                <w:szCs w:val="20"/>
              </w:rPr>
              <w:t>) of 150 skin biopsy specimens.</w:t>
            </w:r>
          </w:p>
          <w:p w14:paraId="14538DB1" w14:textId="77777777" w:rsidR="002D58E4" w:rsidRDefault="00F721D4">
            <w:pPr>
              <w:rPr>
                <w:sz w:val="20"/>
                <w:szCs w:val="20"/>
              </w:rPr>
            </w:pPr>
            <w:r>
              <w:rPr>
                <w:sz w:val="20"/>
                <w:szCs w:val="20"/>
              </w:rPr>
              <w:lastRenderedPageBreak/>
              <w:t xml:space="preserve">Overall, </w:t>
            </w:r>
            <w:r>
              <w:rPr>
                <w:b/>
                <w:sz w:val="20"/>
                <w:szCs w:val="20"/>
              </w:rPr>
              <w:t xml:space="preserve">nested PCR was the most sensitive method for the demonstration of </w:t>
            </w:r>
            <w:r>
              <w:rPr>
                <w:b/>
                <w:i/>
                <w:sz w:val="20"/>
                <w:szCs w:val="20"/>
              </w:rPr>
              <w:t>Borrelia</w:t>
            </w:r>
            <w:r>
              <w:rPr>
                <w:b/>
                <w:sz w:val="20"/>
                <w:szCs w:val="20"/>
              </w:rPr>
              <w:t xml:space="preserve"> spp. in EM skin lesions, followed by culture and PCR targeting</w:t>
            </w:r>
            <w:r>
              <w:rPr>
                <w:sz w:val="20"/>
                <w:szCs w:val="20"/>
              </w:rPr>
              <w:t xml:space="preserve"> </w:t>
            </w:r>
            <w:r>
              <w:rPr>
                <w:b/>
                <w:sz w:val="20"/>
                <w:szCs w:val="20"/>
              </w:rPr>
              <w:t>the flagellin gene.</w:t>
            </w:r>
          </w:p>
        </w:tc>
      </w:tr>
      <w:tr w:rsidR="002D58E4" w14:paraId="48D5401C" w14:textId="77777777">
        <w:trPr>
          <w:jc w:val="center"/>
        </w:trPr>
        <w:tc>
          <w:tcPr>
            <w:tcW w:w="1041" w:type="dxa"/>
            <w:vAlign w:val="center"/>
          </w:tcPr>
          <w:p w14:paraId="263C23CE" w14:textId="77777777" w:rsidR="002D58E4" w:rsidRDefault="00F721D4">
            <w:pPr>
              <w:rPr>
                <w:sz w:val="20"/>
                <w:szCs w:val="20"/>
              </w:rPr>
            </w:pPr>
            <w:r>
              <w:rPr>
                <w:sz w:val="20"/>
                <w:szCs w:val="20"/>
              </w:rPr>
              <w:lastRenderedPageBreak/>
              <w:t>Coulter, 2005;</w:t>
            </w:r>
          </w:p>
          <w:p w14:paraId="6C366E79" w14:textId="77777777" w:rsidR="002D58E4" w:rsidRDefault="002D58E4">
            <w:pPr>
              <w:rPr>
                <w:sz w:val="20"/>
                <w:szCs w:val="20"/>
              </w:rPr>
            </w:pPr>
          </w:p>
          <w:p w14:paraId="7F391396" w14:textId="77777777" w:rsidR="002D58E4" w:rsidRDefault="00F721D4">
            <w:pPr>
              <w:rPr>
                <w:sz w:val="20"/>
                <w:szCs w:val="20"/>
              </w:rPr>
            </w:pPr>
            <w:r>
              <w:rPr>
                <w:sz w:val="20"/>
                <w:szCs w:val="20"/>
              </w:rPr>
              <w:t>MD and PA, USA</w:t>
            </w:r>
          </w:p>
        </w:tc>
        <w:tc>
          <w:tcPr>
            <w:tcW w:w="3743" w:type="dxa"/>
            <w:vAlign w:val="center"/>
          </w:tcPr>
          <w:p w14:paraId="4BB1569B" w14:textId="77777777" w:rsidR="002D58E4" w:rsidRDefault="00F721D4">
            <w:pPr>
              <w:rPr>
                <w:sz w:val="20"/>
                <w:szCs w:val="20"/>
              </w:rPr>
            </w:pPr>
            <w:r>
              <w:rPr>
                <w:sz w:val="20"/>
                <w:szCs w:val="20"/>
              </w:rPr>
              <w:t>This study examined and followed 86 patients who had “findings suspicious for Lyme disease” and were classified as “probable”, “possible”, or “unlikely” to have LD. The patients were tested with</w:t>
            </w:r>
            <w:r>
              <w:t xml:space="preserve"> </w:t>
            </w:r>
            <w:r>
              <w:rPr>
                <w:sz w:val="20"/>
                <w:szCs w:val="20"/>
              </w:rPr>
              <w:t>high-volume blood culture, skin biopsy culture, skin and plasma PCR, and serologic assays.  The only result we were able to use was cultures from skin biopsies of those with “typical” EM (n=28).</w:t>
            </w:r>
          </w:p>
        </w:tc>
        <w:tc>
          <w:tcPr>
            <w:tcW w:w="4050" w:type="dxa"/>
            <w:vAlign w:val="center"/>
          </w:tcPr>
          <w:p w14:paraId="6D544E8C" w14:textId="77777777" w:rsidR="002D58E4" w:rsidRDefault="00F721D4">
            <w:pPr>
              <w:rPr>
                <w:sz w:val="20"/>
                <w:szCs w:val="20"/>
              </w:rPr>
            </w:pPr>
            <w:r>
              <w:rPr>
                <w:b/>
                <w:sz w:val="20"/>
                <w:szCs w:val="20"/>
                <w:u w:val="single"/>
              </w:rPr>
              <w:t>Skin</w:t>
            </w:r>
            <w:r>
              <w:rPr>
                <w:sz w:val="20"/>
                <w:szCs w:val="20"/>
              </w:rPr>
              <w:t xml:space="preserve"> biopsy samples were </w:t>
            </w:r>
            <w:r>
              <w:rPr>
                <w:b/>
                <w:sz w:val="20"/>
                <w:szCs w:val="20"/>
              </w:rPr>
              <w:t xml:space="preserve">cultured using BSK II medium. </w:t>
            </w:r>
          </w:p>
        </w:tc>
        <w:tc>
          <w:tcPr>
            <w:tcW w:w="5693" w:type="dxa"/>
            <w:vAlign w:val="center"/>
          </w:tcPr>
          <w:p w14:paraId="565653AF" w14:textId="77777777" w:rsidR="002D58E4" w:rsidRDefault="00F721D4">
            <w:pPr>
              <w:rPr>
                <w:i/>
                <w:sz w:val="20"/>
                <w:szCs w:val="20"/>
              </w:rPr>
            </w:pPr>
            <w:r>
              <w:rPr>
                <w:i/>
                <w:sz w:val="20"/>
                <w:szCs w:val="20"/>
              </w:rPr>
              <w:t>B. burgdorferi</w:t>
            </w:r>
            <w:r>
              <w:rPr>
                <w:sz w:val="20"/>
                <w:szCs w:val="20"/>
              </w:rPr>
              <w:t xml:space="preserve"> was cultured from biopsies of 7 out of 28 patients with typical EM (</w:t>
            </w:r>
            <w:r>
              <w:rPr>
                <w:b/>
                <w:sz w:val="20"/>
                <w:szCs w:val="20"/>
              </w:rPr>
              <w:t xml:space="preserve">Sn 25.0%) </w:t>
            </w:r>
            <w:r>
              <w:rPr>
                <w:sz w:val="20"/>
                <w:szCs w:val="20"/>
              </w:rPr>
              <w:t>or in 15 out of 47</w:t>
            </w:r>
            <w:r>
              <w:rPr>
                <w:b/>
                <w:sz w:val="20"/>
                <w:szCs w:val="20"/>
              </w:rPr>
              <w:t xml:space="preserve"> (31.9%) </w:t>
            </w:r>
            <w:r>
              <w:rPr>
                <w:sz w:val="20"/>
                <w:szCs w:val="20"/>
              </w:rPr>
              <w:t>biopsies from those with typical and atypical lesions.</w:t>
            </w:r>
          </w:p>
        </w:tc>
      </w:tr>
      <w:tr w:rsidR="002D58E4" w14:paraId="06626E4D" w14:textId="77777777">
        <w:trPr>
          <w:jc w:val="center"/>
        </w:trPr>
        <w:tc>
          <w:tcPr>
            <w:tcW w:w="1041" w:type="dxa"/>
            <w:vAlign w:val="center"/>
          </w:tcPr>
          <w:p w14:paraId="38093C5A" w14:textId="77777777" w:rsidR="002D58E4" w:rsidRDefault="00F721D4">
            <w:pPr>
              <w:rPr>
                <w:sz w:val="20"/>
                <w:szCs w:val="20"/>
              </w:rPr>
            </w:pPr>
            <w:r>
              <w:rPr>
                <w:sz w:val="20"/>
                <w:szCs w:val="20"/>
              </w:rPr>
              <w:t>Jurka, 1998;</w:t>
            </w:r>
          </w:p>
          <w:p w14:paraId="555D1BCA" w14:textId="77777777" w:rsidR="002D58E4" w:rsidRDefault="002D58E4">
            <w:pPr>
              <w:rPr>
                <w:sz w:val="20"/>
                <w:szCs w:val="20"/>
              </w:rPr>
            </w:pPr>
          </w:p>
          <w:p w14:paraId="6FFFFF14" w14:textId="77777777" w:rsidR="002D58E4" w:rsidRDefault="00F721D4">
            <w:pPr>
              <w:rPr>
                <w:sz w:val="20"/>
                <w:szCs w:val="20"/>
              </w:rPr>
            </w:pPr>
            <w:r>
              <w:rPr>
                <w:sz w:val="20"/>
                <w:szCs w:val="20"/>
              </w:rPr>
              <w:t>Slovenia</w:t>
            </w:r>
          </w:p>
        </w:tc>
        <w:tc>
          <w:tcPr>
            <w:tcW w:w="3743" w:type="dxa"/>
            <w:vAlign w:val="center"/>
          </w:tcPr>
          <w:p w14:paraId="4AE99548" w14:textId="77777777" w:rsidR="002D58E4" w:rsidRDefault="00F721D4">
            <w:pPr>
              <w:rPr>
                <w:sz w:val="20"/>
                <w:szCs w:val="20"/>
              </w:rPr>
            </w:pPr>
            <w:r>
              <w:rPr>
                <w:sz w:val="20"/>
                <w:szCs w:val="20"/>
              </w:rPr>
              <w:t xml:space="preserve">Two biopsy specimens (one from the margin and the other from the center of the lesion) were taken from each of 53 adult patients with EM. </w:t>
            </w:r>
          </w:p>
        </w:tc>
        <w:tc>
          <w:tcPr>
            <w:tcW w:w="4050" w:type="dxa"/>
            <w:vAlign w:val="center"/>
          </w:tcPr>
          <w:p w14:paraId="7E10BE19"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skin</w:t>
            </w:r>
            <w:r>
              <w:rPr>
                <w:b/>
                <w:sz w:val="20"/>
                <w:szCs w:val="20"/>
              </w:rPr>
              <w:t xml:space="preserve"> culture using modified Kelly/Preac-Mursic (MKP) medium.</w:t>
            </w:r>
          </w:p>
        </w:tc>
        <w:tc>
          <w:tcPr>
            <w:tcW w:w="5693" w:type="dxa"/>
            <w:vAlign w:val="center"/>
          </w:tcPr>
          <w:p w14:paraId="6359C834" w14:textId="77777777" w:rsidR="002D58E4" w:rsidRDefault="00F721D4">
            <w:pPr>
              <w:rPr>
                <w:sz w:val="20"/>
                <w:szCs w:val="20"/>
              </w:rPr>
            </w:pPr>
            <w:r>
              <w:rPr>
                <w:sz w:val="20"/>
                <w:szCs w:val="20"/>
              </w:rPr>
              <w:t>34 (32.1%) of the 106 biopsy specimens and 23 (</w:t>
            </w:r>
            <w:r>
              <w:rPr>
                <w:b/>
                <w:sz w:val="20"/>
                <w:szCs w:val="20"/>
              </w:rPr>
              <w:t>Sn 43.4%)</w:t>
            </w:r>
            <w:r>
              <w:rPr>
                <w:sz w:val="20"/>
                <w:szCs w:val="20"/>
              </w:rPr>
              <w:t xml:space="preserve"> of the 53 patients were culture-positive. Spirochetes were isolated in 19 (35.9%) of the 53 central and 15 (28.3%) of the 53 peripheral biopsies (non-significant difference).</w:t>
            </w:r>
          </w:p>
        </w:tc>
      </w:tr>
      <w:tr w:rsidR="002D58E4" w14:paraId="14FCC83A" w14:textId="77777777">
        <w:trPr>
          <w:jc w:val="center"/>
        </w:trPr>
        <w:tc>
          <w:tcPr>
            <w:tcW w:w="1041" w:type="dxa"/>
            <w:vAlign w:val="center"/>
          </w:tcPr>
          <w:p w14:paraId="092E39AC" w14:textId="77777777" w:rsidR="002D58E4" w:rsidRDefault="00F721D4">
            <w:pPr>
              <w:rPr>
                <w:sz w:val="20"/>
                <w:szCs w:val="20"/>
              </w:rPr>
            </w:pPr>
            <w:r>
              <w:rPr>
                <w:sz w:val="20"/>
                <w:szCs w:val="20"/>
              </w:rPr>
              <w:t xml:space="preserve">Lebech, 2000 </w:t>
            </w:r>
            <w:r>
              <w:rPr>
                <w:i/>
                <w:sz w:val="20"/>
                <w:szCs w:val="20"/>
              </w:rPr>
              <w:t>(see below</w:t>
            </w:r>
            <w:r>
              <w:rPr>
                <w:sz w:val="20"/>
                <w:szCs w:val="20"/>
              </w:rPr>
              <w:t>);</w:t>
            </w:r>
          </w:p>
          <w:p w14:paraId="4D6729B7" w14:textId="77777777" w:rsidR="002D58E4" w:rsidRDefault="002D58E4">
            <w:pPr>
              <w:rPr>
                <w:sz w:val="20"/>
                <w:szCs w:val="20"/>
              </w:rPr>
            </w:pPr>
          </w:p>
          <w:p w14:paraId="09B82E18" w14:textId="77777777" w:rsidR="002D58E4" w:rsidRDefault="00F721D4">
            <w:pPr>
              <w:rPr>
                <w:sz w:val="20"/>
                <w:szCs w:val="20"/>
              </w:rPr>
            </w:pPr>
            <w:r>
              <w:rPr>
                <w:sz w:val="20"/>
                <w:szCs w:val="20"/>
              </w:rPr>
              <w:t>Denmark</w:t>
            </w:r>
          </w:p>
        </w:tc>
        <w:tc>
          <w:tcPr>
            <w:tcW w:w="3743" w:type="dxa"/>
            <w:vAlign w:val="center"/>
          </w:tcPr>
          <w:p w14:paraId="79CD15AC" w14:textId="77777777" w:rsidR="002D58E4" w:rsidRDefault="00F721D4">
            <w:pPr>
              <w:spacing w:after="120"/>
              <w:rPr>
                <w:sz w:val="20"/>
                <w:szCs w:val="20"/>
              </w:rPr>
            </w:pPr>
            <w:r>
              <w:rPr>
                <w:sz w:val="20"/>
                <w:szCs w:val="20"/>
              </w:rPr>
              <w:t>Skin biopsy and urine samples from 31 patients with EM.</w:t>
            </w:r>
          </w:p>
          <w:p w14:paraId="4BC56836" w14:textId="77777777" w:rsidR="002D58E4" w:rsidRDefault="00F721D4">
            <w:pPr>
              <w:spacing w:after="120"/>
              <w:rPr>
                <w:sz w:val="20"/>
                <w:szCs w:val="20"/>
              </w:rPr>
            </w:pPr>
            <w:r>
              <w:rPr>
                <w:sz w:val="20"/>
                <w:szCs w:val="20"/>
              </w:rPr>
              <w:t>Skin biopsy specimens from 7 healthy individuals were included as controls.</w:t>
            </w:r>
          </w:p>
        </w:tc>
        <w:tc>
          <w:tcPr>
            <w:tcW w:w="4050" w:type="dxa"/>
            <w:vAlign w:val="center"/>
          </w:tcPr>
          <w:p w14:paraId="6F3BBBDA" w14:textId="77777777" w:rsidR="002D58E4" w:rsidRDefault="00F721D4">
            <w:pPr>
              <w:rPr>
                <w:sz w:val="20"/>
                <w:szCs w:val="20"/>
              </w:rPr>
            </w:pPr>
            <w:r>
              <w:rPr>
                <w:b/>
                <w:sz w:val="20"/>
                <w:szCs w:val="20"/>
                <w:u w:val="single"/>
              </w:rPr>
              <w:t>Skin</w:t>
            </w:r>
            <w:r>
              <w:rPr>
                <w:sz w:val="20"/>
                <w:szCs w:val="20"/>
              </w:rPr>
              <w:t xml:space="preserve"> specimens were </w:t>
            </w:r>
            <w:r>
              <w:rPr>
                <w:b/>
                <w:sz w:val="20"/>
                <w:szCs w:val="20"/>
              </w:rPr>
              <w:t>cultured in BSK</w:t>
            </w:r>
            <w:r>
              <w:rPr>
                <w:sz w:val="20"/>
                <w:szCs w:val="20"/>
              </w:rPr>
              <w:t xml:space="preserve"> </w:t>
            </w:r>
            <w:r>
              <w:rPr>
                <w:b/>
                <w:sz w:val="20"/>
                <w:szCs w:val="20"/>
              </w:rPr>
              <w:t>medium</w:t>
            </w:r>
            <w:r>
              <w:rPr>
                <w:sz w:val="20"/>
                <w:szCs w:val="20"/>
              </w:rPr>
              <w:t>.</w:t>
            </w:r>
          </w:p>
          <w:p w14:paraId="61A28B09" w14:textId="77777777" w:rsidR="002D58E4" w:rsidRDefault="00F721D4">
            <w:pPr>
              <w:rPr>
                <w:sz w:val="20"/>
                <w:szCs w:val="20"/>
              </w:rPr>
            </w:pPr>
            <w:r>
              <w:rPr>
                <w:sz w:val="20"/>
                <w:szCs w:val="20"/>
              </w:rPr>
              <w:t>16S ribosomal RNA-based PCR was also performed of skin samples.</w:t>
            </w:r>
          </w:p>
          <w:p w14:paraId="33BCC764" w14:textId="77777777" w:rsidR="002D58E4" w:rsidRDefault="00F721D4">
            <w:pPr>
              <w:rPr>
                <w:sz w:val="20"/>
                <w:szCs w:val="20"/>
              </w:rPr>
            </w:pPr>
            <w:r>
              <w:rPr>
                <w:sz w:val="20"/>
                <w:szCs w:val="20"/>
              </w:rPr>
              <w:t xml:space="preserve">In addition, serum anti-B burgdorferi IgG and IgM were measured by ELISA assay. </w:t>
            </w:r>
          </w:p>
        </w:tc>
        <w:tc>
          <w:tcPr>
            <w:tcW w:w="5693" w:type="dxa"/>
            <w:vAlign w:val="center"/>
          </w:tcPr>
          <w:p w14:paraId="6C3A091D" w14:textId="77777777" w:rsidR="002D58E4" w:rsidRDefault="00F721D4">
            <w:pPr>
              <w:rPr>
                <w:sz w:val="20"/>
                <w:szCs w:val="20"/>
              </w:rPr>
            </w:pPr>
            <w:r>
              <w:rPr>
                <w:i/>
                <w:sz w:val="20"/>
                <w:szCs w:val="20"/>
              </w:rPr>
              <w:t>B. burgdorferi</w:t>
            </w:r>
            <w:r>
              <w:rPr>
                <w:sz w:val="20"/>
                <w:szCs w:val="20"/>
              </w:rPr>
              <w:t xml:space="preserve"> was </w:t>
            </w:r>
            <w:r>
              <w:rPr>
                <w:b/>
                <w:sz w:val="20"/>
                <w:szCs w:val="20"/>
              </w:rPr>
              <w:t>cultured</w:t>
            </w:r>
            <w:r>
              <w:rPr>
                <w:sz w:val="20"/>
                <w:szCs w:val="20"/>
              </w:rPr>
              <w:t xml:space="preserve"> in </w:t>
            </w:r>
            <w:r>
              <w:rPr>
                <w:b/>
                <w:sz w:val="20"/>
                <w:szCs w:val="20"/>
              </w:rPr>
              <w:t xml:space="preserve">29% </w:t>
            </w:r>
            <w:r>
              <w:rPr>
                <w:sz w:val="20"/>
                <w:szCs w:val="20"/>
              </w:rPr>
              <w:t>of the EM specimens;</w:t>
            </w:r>
          </w:p>
          <w:p w14:paraId="097C89CF" w14:textId="77777777" w:rsidR="002D58E4" w:rsidRDefault="002D58E4">
            <w:pPr>
              <w:rPr>
                <w:sz w:val="20"/>
                <w:szCs w:val="20"/>
              </w:rPr>
            </w:pPr>
          </w:p>
          <w:p w14:paraId="09BF8FD0" w14:textId="77777777" w:rsidR="002D58E4" w:rsidRDefault="00F721D4">
            <w:pPr>
              <w:rPr>
                <w:sz w:val="20"/>
                <w:szCs w:val="20"/>
              </w:rPr>
            </w:pPr>
            <w:r>
              <w:rPr>
                <w:sz w:val="20"/>
                <w:szCs w:val="20"/>
              </w:rPr>
              <w:t>(16S rRNA PCR detected</w:t>
            </w:r>
            <w:r>
              <w:rPr>
                <w:i/>
                <w:sz w:val="20"/>
                <w:szCs w:val="20"/>
              </w:rPr>
              <w:t xml:space="preserve"> B. burgdorferi</w:t>
            </w:r>
            <w:r>
              <w:rPr>
                <w:sz w:val="20"/>
                <w:szCs w:val="20"/>
              </w:rPr>
              <w:t xml:space="preserve"> DNA in 71.0%, and 41% of the patients had </w:t>
            </w:r>
            <w:r>
              <w:rPr>
                <w:i/>
                <w:sz w:val="20"/>
                <w:szCs w:val="20"/>
              </w:rPr>
              <w:t>B. burgdorferi</w:t>
            </w:r>
            <w:r>
              <w:rPr>
                <w:sz w:val="20"/>
                <w:szCs w:val="20"/>
              </w:rPr>
              <w:t xml:space="preserve"> -specific antibodies in serum).</w:t>
            </w:r>
          </w:p>
        </w:tc>
      </w:tr>
      <w:tr w:rsidR="002D58E4" w14:paraId="670F0CB4" w14:textId="77777777">
        <w:trPr>
          <w:jc w:val="center"/>
        </w:trPr>
        <w:tc>
          <w:tcPr>
            <w:tcW w:w="1041" w:type="dxa"/>
            <w:vAlign w:val="center"/>
          </w:tcPr>
          <w:p w14:paraId="409A0C3F" w14:textId="77777777" w:rsidR="002D58E4" w:rsidRDefault="00F721D4">
            <w:pPr>
              <w:rPr>
                <w:sz w:val="20"/>
                <w:szCs w:val="20"/>
              </w:rPr>
            </w:pPr>
            <w:r>
              <w:rPr>
                <w:sz w:val="20"/>
                <w:szCs w:val="20"/>
              </w:rPr>
              <w:t>Li, 2011 (</w:t>
            </w:r>
            <w:r>
              <w:rPr>
                <w:i/>
                <w:sz w:val="20"/>
                <w:szCs w:val="20"/>
              </w:rPr>
              <w:t>see below</w:t>
            </w:r>
            <w:r>
              <w:rPr>
                <w:sz w:val="20"/>
                <w:szCs w:val="20"/>
              </w:rPr>
              <w:t>);</w:t>
            </w:r>
          </w:p>
          <w:p w14:paraId="70D4A90C" w14:textId="77777777" w:rsidR="002D58E4" w:rsidRDefault="002D58E4">
            <w:pPr>
              <w:rPr>
                <w:sz w:val="20"/>
                <w:szCs w:val="20"/>
              </w:rPr>
            </w:pPr>
          </w:p>
          <w:p w14:paraId="29661B3C" w14:textId="77777777" w:rsidR="002D58E4" w:rsidRDefault="00F721D4">
            <w:pPr>
              <w:rPr>
                <w:sz w:val="20"/>
                <w:szCs w:val="20"/>
              </w:rPr>
            </w:pPr>
            <w:r>
              <w:rPr>
                <w:sz w:val="20"/>
                <w:szCs w:val="20"/>
              </w:rPr>
              <w:t>RI and CT, USA</w:t>
            </w:r>
          </w:p>
        </w:tc>
        <w:tc>
          <w:tcPr>
            <w:tcW w:w="3743" w:type="dxa"/>
            <w:vAlign w:val="center"/>
          </w:tcPr>
          <w:p w14:paraId="4D2F9999" w14:textId="77777777" w:rsidR="002D58E4" w:rsidRDefault="00F721D4">
            <w:pPr>
              <w:spacing w:after="120"/>
              <w:rPr>
                <w:sz w:val="20"/>
                <w:szCs w:val="20"/>
              </w:rPr>
            </w:pPr>
            <w:r>
              <w:rPr>
                <w:sz w:val="20"/>
                <w:szCs w:val="20"/>
              </w:rPr>
              <w:t>Skin biopsy samples from 90 patients with EM.</w:t>
            </w:r>
          </w:p>
        </w:tc>
        <w:tc>
          <w:tcPr>
            <w:tcW w:w="4050" w:type="dxa"/>
            <w:vAlign w:val="center"/>
          </w:tcPr>
          <w:p w14:paraId="36246364" w14:textId="77777777" w:rsidR="002D58E4" w:rsidRDefault="002D58E4">
            <w:pPr>
              <w:rPr>
                <w:b/>
                <w:sz w:val="20"/>
                <w:szCs w:val="20"/>
                <w:u w:val="single"/>
              </w:rPr>
            </w:pPr>
          </w:p>
          <w:p w14:paraId="2D05C0E1" w14:textId="77777777" w:rsidR="002D58E4" w:rsidRDefault="00F721D4">
            <w:pPr>
              <w:rPr>
                <w:b/>
                <w:sz w:val="20"/>
                <w:szCs w:val="20"/>
              </w:rPr>
            </w:pPr>
            <w:r>
              <w:rPr>
                <w:b/>
                <w:sz w:val="20"/>
                <w:szCs w:val="20"/>
                <w:u w:val="single"/>
              </w:rPr>
              <w:t>Skin</w:t>
            </w:r>
            <w:r>
              <w:rPr>
                <w:sz w:val="20"/>
                <w:szCs w:val="20"/>
              </w:rPr>
              <w:t xml:space="preserve"> samples were </w:t>
            </w:r>
            <w:r>
              <w:rPr>
                <w:b/>
                <w:sz w:val="20"/>
                <w:szCs w:val="20"/>
              </w:rPr>
              <w:t>cultured using BSK-H medium.</w:t>
            </w:r>
          </w:p>
          <w:p w14:paraId="50C55180" w14:textId="77777777" w:rsidR="002D58E4" w:rsidRDefault="002D58E4">
            <w:pPr>
              <w:rPr>
                <w:b/>
                <w:sz w:val="20"/>
                <w:szCs w:val="20"/>
              </w:rPr>
            </w:pPr>
          </w:p>
          <w:p w14:paraId="3CD48C91" w14:textId="77777777" w:rsidR="002D58E4" w:rsidRDefault="00F721D4">
            <w:pPr>
              <w:rPr>
                <w:sz w:val="20"/>
                <w:szCs w:val="20"/>
              </w:rPr>
            </w:pPr>
            <w:r>
              <w:rPr>
                <w:sz w:val="20"/>
                <w:szCs w:val="20"/>
              </w:rPr>
              <w:t>Standard PCR (targeting</w:t>
            </w:r>
            <w:r>
              <w:t xml:space="preserve"> </w:t>
            </w:r>
            <w:r>
              <w:rPr>
                <w:sz w:val="20"/>
                <w:szCs w:val="20"/>
              </w:rPr>
              <w:t xml:space="preserve">222-bp region of the </w:t>
            </w:r>
            <w:r>
              <w:rPr>
                <w:i/>
                <w:sz w:val="20"/>
                <w:szCs w:val="20"/>
              </w:rPr>
              <w:t>B. burgdorferi</w:t>
            </w:r>
            <w:r>
              <w:rPr>
                <w:sz w:val="20"/>
                <w:szCs w:val="20"/>
              </w:rPr>
              <w:t xml:space="preserve"> recA gene) and quantitative PCR (qPCR, targeting 103-bp region of </w:t>
            </w:r>
            <w:r>
              <w:rPr>
                <w:i/>
                <w:sz w:val="20"/>
                <w:szCs w:val="20"/>
              </w:rPr>
              <w:t>the B burgdorferi</w:t>
            </w:r>
            <w:r>
              <w:rPr>
                <w:sz w:val="20"/>
                <w:szCs w:val="20"/>
              </w:rPr>
              <w:t xml:space="preserve"> flaB gene) techniques were also used on skin and blood</w:t>
            </w:r>
            <w:r>
              <w:rPr>
                <w:sz w:val="20"/>
                <w:szCs w:val="20"/>
                <w:u w:val="single"/>
              </w:rPr>
              <w:t xml:space="preserve"> </w:t>
            </w:r>
            <w:r>
              <w:rPr>
                <w:sz w:val="20"/>
                <w:szCs w:val="20"/>
              </w:rPr>
              <w:t xml:space="preserve">samples. </w:t>
            </w:r>
          </w:p>
        </w:tc>
        <w:tc>
          <w:tcPr>
            <w:tcW w:w="5693" w:type="dxa"/>
            <w:vAlign w:val="center"/>
          </w:tcPr>
          <w:p w14:paraId="41217430" w14:textId="77777777" w:rsidR="002D58E4" w:rsidRDefault="00F721D4">
            <w:pPr>
              <w:rPr>
                <w:b/>
                <w:sz w:val="20"/>
                <w:szCs w:val="20"/>
              </w:rPr>
            </w:pPr>
            <w:r>
              <w:rPr>
                <w:sz w:val="20"/>
                <w:szCs w:val="20"/>
              </w:rPr>
              <w:t>75 out of 90 patients (</w:t>
            </w:r>
            <w:r>
              <w:rPr>
                <w:b/>
                <w:sz w:val="20"/>
                <w:szCs w:val="20"/>
              </w:rPr>
              <w:t>Sn 83.3%</w:t>
            </w:r>
            <w:r>
              <w:rPr>
                <w:sz w:val="20"/>
                <w:szCs w:val="20"/>
              </w:rPr>
              <w:t xml:space="preserve">) had </w:t>
            </w:r>
            <w:r>
              <w:rPr>
                <w:b/>
                <w:sz w:val="20"/>
                <w:szCs w:val="20"/>
              </w:rPr>
              <w:t>positive cultures</w:t>
            </w:r>
            <w:r>
              <w:rPr>
                <w:sz w:val="20"/>
                <w:szCs w:val="20"/>
              </w:rPr>
              <w:t xml:space="preserve"> for B burgdorferi </w:t>
            </w:r>
            <w:r>
              <w:rPr>
                <w:b/>
                <w:sz w:val="20"/>
                <w:szCs w:val="20"/>
              </w:rPr>
              <w:t xml:space="preserve">from EM </w:t>
            </w:r>
            <w:r>
              <w:rPr>
                <w:b/>
                <w:sz w:val="20"/>
                <w:szCs w:val="20"/>
                <w:u w:val="single"/>
              </w:rPr>
              <w:t>skin</w:t>
            </w:r>
            <w:r>
              <w:rPr>
                <w:b/>
                <w:sz w:val="20"/>
                <w:szCs w:val="20"/>
              </w:rPr>
              <w:t xml:space="preserve"> biopsies;</w:t>
            </w:r>
          </w:p>
          <w:p w14:paraId="3B73234A" w14:textId="77777777" w:rsidR="002D58E4" w:rsidRDefault="002D58E4">
            <w:pPr>
              <w:rPr>
                <w:sz w:val="20"/>
                <w:szCs w:val="20"/>
              </w:rPr>
            </w:pPr>
          </w:p>
          <w:p w14:paraId="4B1D9D28" w14:textId="77777777" w:rsidR="002D58E4" w:rsidRDefault="00F721D4">
            <w:pPr>
              <w:rPr>
                <w:sz w:val="20"/>
                <w:szCs w:val="20"/>
              </w:rPr>
            </w:pPr>
            <w:r>
              <w:rPr>
                <w:sz w:val="20"/>
                <w:szCs w:val="20"/>
              </w:rPr>
              <w:t>(85.6% were positive by recA PCR of the skin, 77.8% were positive by qPCR of the skin, and 37.8% were positive by recA PCR of blood samples).</w:t>
            </w:r>
          </w:p>
          <w:p w14:paraId="4A22E81D" w14:textId="77777777" w:rsidR="002D58E4" w:rsidRDefault="00F721D4">
            <w:pPr>
              <w:rPr>
                <w:sz w:val="20"/>
                <w:szCs w:val="20"/>
              </w:rPr>
            </w:pPr>
            <w:r>
              <w:rPr>
                <w:sz w:val="20"/>
                <w:szCs w:val="20"/>
              </w:rPr>
              <w:t>In EM lesions, culture and PCR results were highly concordant.</w:t>
            </w:r>
          </w:p>
          <w:p w14:paraId="382F7F8C" w14:textId="77777777" w:rsidR="002D58E4" w:rsidRDefault="002D58E4">
            <w:pPr>
              <w:rPr>
                <w:sz w:val="20"/>
                <w:szCs w:val="20"/>
              </w:rPr>
            </w:pPr>
          </w:p>
          <w:p w14:paraId="113CDDA0" w14:textId="77777777" w:rsidR="002D58E4" w:rsidRDefault="002D58E4">
            <w:pPr>
              <w:rPr>
                <w:sz w:val="20"/>
                <w:szCs w:val="20"/>
              </w:rPr>
            </w:pPr>
          </w:p>
        </w:tc>
      </w:tr>
      <w:tr w:rsidR="002D58E4" w14:paraId="62571239" w14:textId="77777777">
        <w:trPr>
          <w:jc w:val="center"/>
        </w:trPr>
        <w:tc>
          <w:tcPr>
            <w:tcW w:w="1041" w:type="dxa"/>
            <w:vAlign w:val="center"/>
          </w:tcPr>
          <w:p w14:paraId="47673D77" w14:textId="77777777" w:rsidR="002D58E4" w:rsidRDefault="00F721D4">
            <w:pPr>
              <w:rPr>
                <w:sz w:val="20"/>
                <w:szCs w:val="20"/>
              </w:rPr>
            </w:pPr>
            <w:r>
              <w:rPr>
                <w:sz w:val="20"/>
                <w:szCs w:val="20"/>
              </w:rPr>
              <w:t>Mitchell, 1993;</w:t>
            </w:r>
          </w:p>
          <w:p w14:paraId="5EADE388" w14:textId="77777777" w:rsidR="002D58E4" w:rsidRDefault="002D58E4">
            <w:pPr>
              <w:rPr>
                <w:sz w:val="20"/>
                <w:szCs w:val="20"/>
              </w:rPr>
            </w:pPr>
          </w:p>
          <w:p w14:paraId="4FFEC86C" w14:textId="77777777" w:rsidR="002D58E4" w:rsidRDefault="00F721D4">
            <w:pPr>
              <w:rPr>
                <w:sz w:val="20"/>
                <w:szCs w:val="20"/>
              </w:rPr>
            </w:pPr>
            <w:r>
              <w:rPr>
                <w:sz w:val="20"/>
                <w:szCs w:val="20"/>
              </w:rPr>
              <w:t>WI, USA</w:t>
            </w:r>
          </w:p>
        </w:tc>
        <w:tc>
          <w:tcPr>
            <w:tcW w:w="3743" w:type="dxa"/>
            <w:vAlign w:val="center"/>
          </w:tcPr>
          <w:p w14:paraId="7C5BC646" w14:textId="77777777" w:rsidR="002D58E4" w:rsidRDefault="00F721D4">
            <w:pPr>
              <w:rPr>
                <w:sz w:val="20"/>
                <w:szCs w:val="20"/>
              </w:rPr>
            </w:pPr>
            <w:r>
              <w:rPr>
                <w:sz w:val="20"/>
                <w:szCs w:val="20"/>
              </w:rPr>
              <w:t>Skin biopsy specimens of 34 patients with EM (periphery of the lesion).</w:t>
            </w:r>
          </w:p>
        </w:tc>
        <w:tc>
          <w:tcPr>
            <w:tcW w:w="4050" w:type="dxa"/>
            <w:vAlign w:val="center"/>
          </w:tcPr>
          <w:p w14:paraId="67D272F9" w14:textId="77777777" w:rsidR="002D58E4" w:rsidRDefault="00F721D4">
            <w:pPr>
              <w:rPr>
                <w:i/>
                <w:sz w:val="20"/>
                <w:szCs w:val="20"/>
              </w:rPr>
            </w:pPr>
            <w:r>
              <w:rPr>
                <w:i/>
                <w:sz w:val="20"/>
                <w:szCs w:val="20"/>
              </w:rPr>
              <w:t>B. burgdorferi</w:t>
            </w:r>
            <w:r>
              <w:rPr>
                <w:sz w:val="20"/>
                <w:szCs w:val="20"/>
              </w:rPr>
              <w:t xml:space="preserve"> </w:t>
            </w:r>
            <w:r>
              <w:rPr>
                <w:b/>
                <w:sz w:val="20"/>
                <w:szCs w:val="20"/>
                <w:u w:val="single"/>
              </w:rPr>
              <w:t>skin</w:t>
            </w:r>
            <w:r>
              <w:rPr>
                <w:b/>
                <w:sz w:val="20"/>
                <w:szCs w:val="20"/>
              </w:rPr>
              <w:t xml:space="preserve"> culture using BSK medium.</w:t>
            </w:r>
          </w:p>
        </w:tc>
        <w:tc>
          <w:tcPr>
            <w:tcW w:w="5693" w:type="dxa"/>
            <w:vAlign w:val="center"/>
          </w:tcPr>
          <w:p w14:paraId="0F91AAED" w14:textId="77777777" w:rsidR="002D58E4" w:rsidRDefault="00F721D4">
            <w:pPr>
              <w:rPr>
                <w:sz w:val="20"/>
                <w:szCs w:val="20"/>
              </w:rPr>
            </w:pPr>
            <w:r>
              <w:rPr>
                <w:i/>
                <w:sz w:val="20"/>
                <w:szCs w:val="20"/>
              </w:rPr>
              <w:t>B. burgdorferi</w:t>
            </w:r>
            <w:r>
              <w:rPr>
                <w:sz w:val="20"/>
                <w:szCs w:val="20"/>
              </w:rPr>
              <w:t xml:space="preserve"> was isolated from 24 of 34 skin biopsy specimens (</w:t>
            </w:r>
            <w:r>
              <w:rPr>
                <w:b/>
                <w:sz w:val="20"/>
                <w:szCs w:val="20"/>
              </w:rPr>
              <w:t>Sn 70.6%</w:t>
            </w:r>
            <w:r>
              <w:rPr>
                <w:sz w:val="20"/>
                <w:szCs w:val="20"/>
              </w:rPr>
              <w:t>).</w:t>
            </w:r>
          </w:p>
        </w:tc>
      </w:tr>
      <w:tr w:rsidR="002D58E4" w14:paraId="54C1FE0A" w14:textId="77777777">
        <w:trPr>
          <w:jc w:val="center"/>
        </w:trPr>
        <w:tc>
          <w:tcPr>
            <w:tcW w:w="1041" w:type="dxa"/>
            <w:vAlign w:val="center"/>
          </w:tcPr>
          <w:p w14:paraId="41630387" w14:textId="77777777" w:rsidR="002D58E4" w:rsidRDefault="00F721D4">
            <w:pPr>
              <w:rPr>
                <w:sz w:val="20"/>
                <w:szCs w:val="20"/>
              </w:rPr>
            </w:pPr>
            <w:r>
              <w:rPr>
                <w:sz w:val="20"/>
                <w:szCs w:val="20"/>
              </w:rPr>
              <w:lastRenderedPageBreak/>
              <w:t>Moter, 1994 (</w:t>
            </w:r>
            <w:r>
              <w:rPr>
                <w:i/>
                <w:sz w:val="20"/>
                <w:szCs w:val="20"/>
              </w:rPr>
              <w:t>see below</w:t>
            </w:r>
            <w:r>
              <w:rPr>
                <w:sz w:val="20"/>
                <w:szCs w:val="20"/>
              </w:rPr>
              <w:t xml:space="preserve">); </w:t>
            </w:r>
          </w:p>
          <w:p w14:paraId="0E8B1E53" w14:textId="77777777" w:rsidR="002D58E4" w:rsidRDefault="002D58E4">
            <w:pPr>
              <w:rPr>
                <w:sz w:val="20"/>
                <w:szCs w:val="20"/>
              </w:rPr>
            </w:pPr>
          </w:p>
          <w:p w14:paraId="0A17062F" w14:textId="77777777" w:rsidR="002D58E4" w:rsidRDefault="00F721D4">
            <w:pPr>
              <w:rPr>
                <w:sz w:val="20"/>
                <w:szCs w:val="20"/>
              </w:rPr>
            </w:pPr>
            <w:r>
              <w:rPr>
                <w:sz w:val="20"/>
                <w:szCs w:val="20"/>
              </w:rPr>
              <w:t>Germany</w:t>
            </w:r>
          </w:p>
        </w:tc>
        <w:tc>
          <w:tcPr>
            <w:tcW w:w="3743" w:type="dxa"/>
            <w:vAlign w:val="center"/>
          </w:tcPr>
          <w:p w14:paraId="3054FD1C" w14:textId="77777777" w:rsidR="002D58E4" w:rsidRDefault="00F721D4">
            <w:pPr>
              <w:spacing w:after="120"/>
              <w:rPr>
                <w:sz w:val="20"/>
                <w:szCs w:val="20"/>
              </w:rPr>
            </w:pPr>
            <w:r>
              <w:rPr>
                <w:sz w:val="20"/>
                <w:szCs w:val="20"/>
              </w:rPr>
              <w:t>Skin biopsy samples from 10 untreated patients with EM and 12 patients with ACA.</w:t>
            </w:r>
          </w:p>
          <w:p w14:paraId="477EF250" w14:textId="77777777" w:rsidR="002D58E4" w:rsidRDefault="002D58E4">
            <w:pPr>
              <w:spacing w:after="120"/>
              <w:rPr>
                <w:sz w:val="20"/>
                <w:szCs w:val="20"/>
              </w:rPr>
            </w:pPr>
          </w:p>
        </w:tc>
        <w:tc>
          <w:tcPr>
            <w:tcW w:w="4050" w:type="dxa"/>
            <w:vAlign w:val="center"/>
          </w:tcPr>
          <w:p w14:paraId="6C22CA6A" w14:textId="77777777" w:rsidR="002D58E4" w:rsidRDefault="00F721D4">
            <w:pPr>
              <w:rPr>
                <w:b/>
                <w:sz w:val="20"/>
                <w:szCs w:val="20"/>
              </w:rPr>
            </w:pPr>
            <w:r>
              <w:rPr>
                <w:b/>
                <w:sz w:val="20"/>
                <w:szCs w:val="20"/>
                <w:u w:val="single"/>
              </w:rPr>
              <w:t>Skin</w:t>
            </w:r>
            <w:r>
              <w:rPr>
                <w:sz w:val="20"/>
                <w:szCs w:val="20"/>
              </w:rPr>
              <w:t xml:space="preserve"> samples were </w:t>
            </w:r>
            <w:r>
              <w:rPr>
                <w:b/>
                <w:sz w:val="20"/>
                <w:szCs w:val="20"/>
              </w:rPr>
              <w:t xml:space="preserve">cultured in BSK medium. </w:t>
            </w:r>
          </w:p>
          <w:p w14:paraId="0DBC3F2B" w14:textId="77777777" w:rsidR="002D58E4" w:rsidRDefault="00F721D4">
            <w:pPr>
              <w:rPr>
                <w:b/>
                <w:sz w:val="20"/>
                <w:szCs w:val="20"/>
              </w:rPr>
            </w:pPr>
            <w:r>
              <w:rPr>
                <w:sz w:val="20"/>
                <w:szCs w:val="20"/>
              </w:rPr>
              <w:t xml:space="preserve">Nested PCR of the skin using outer surface protein A (OspA) gene as a target was performed. </w:t>
            </w:r>
          </w:p>
        </w:tc>
        <w:tc>
          <w:tcPr>
            <w:tcW w:w="5693" w:type="dxa"/>
            <w:vAlign w:val="center"/>
          </w:tcPr>
          <w:p w14:paraId="09D01570" w14:textId="77777777" w:rsidR="002D58E4" w:rsidRDefault="00F721D4">
            <w:pPr>
              <w:rPr>
                <w:sz w:val="20"/>
                <w:szCs w:val="20"/>
              </w:rPr>
            </w:pPr>
            <w:r>
              <w:rPr>
                <w:i/>
                <w:sz w:val="20"/>
                <w:szCs w:val="20"/>
              </w:rPr>
              <w:t xml:space="preserve">B. burgdorferi </w:t>
            </w:r>
            <w:r>
              <w:rPr>
                <w:sz w:val="20"/>
                <w:szCs w:val="20"/>
              </w:rPr>
              <w:t xml:space="preserve">was </w:t>
            </w:r>
            <w:r>
              <w:rPr>
                <w:b/>
                <w:sz w:val="20"/>
                <w:szCs w:val="20"/>
              </w:rPr>
              <w:t>cultivated</w:t>
            </w:r>
            <w:r>
              <w:rPr>
                <w:sz w:val="20"/>
                <w:szCs w:val="20"/>
              </w:rPr>
              <w:t xml:space="preserve"> in 3 out of 10 </w:t>
            </w:r>
            <w:r>
              <w:rPr>
                <w:b/>
                <w:sz w:val="20"/>
                <w:szCs w:val="20"/>
              </w:rPr>
              <w:t>(30.0%)</w:t>
            </w:r>
            <w:r>
              <w:rPr>
                <w:sz w:val="20"/>
                <w:szCs w:val="20"/>
              </w:rPr>
              <w:t xml:space="preserve"> </w:t>
            </w:r>
            <w:r>
              <w:rPr>
                <w:b/>
                <w:sz w:val="20"/>
                <w:szCs w:val="20"/>
              </w:rPr>
              <w:t>EM biopsy</w:t>
            </w:r>
            <w:r>
              <w:rPr>
                <w:sz w:val="20"/>
                <w:szCs w:val="20"/>
              </w:rPr>
              <w:t xml:space="preserve"> samples; </w:t>
            </w:r>
          </w:p>
          <w:p w14:paraId="0ED321BD" w14:textId="77777777" w:rsidR="002D58E4" w:rsidRDefault="00F721D4">
            <w:pPr>
              <w:rPr>
                <w:sz w:val="20"/>
                <w:szCs w:val="20"/>
              </w:rPr>
            </w:pPr>
            <w:r>
              <w:rPr>
                <w:sz w:val="20"/>
                <w:szCs w:val="20"/>
              </w:rPr>
              <w:t>(80.0% skin samples from EM patients tested positive by nested PCR).</w:t>
            </w:r>
          </w:p>
        </w:tc>
      </w:tr>
      <w:tr w:rsidR="002D58E4" w14:paraId="415528C6" w14:textId="77777777">
        <w:trPr>
          <w:jc w:val="center"/>
        </w:trPr>
        <w:tc>
          <w:tcPr>
            <w:tcW w:w="1041" w:type="dxa"/>
            <w:vAlign w:val="center"/>
          </w:tcPr>
          <w:p w14:paraId="313BB02F" w14:textId="77777777" w:rsidR="002D58E4" w:rsidRDefault="00F721D4">
            <w:pPr>
              <w:rPr>
                <w:sz w:val="20"/>
                <w:szCs w:val="20"/>
              </w:rPr>
            </w:pPr>
            <w:r>
              <w:rPr>
                <w:sz w:val="20"/>
                <w:szCs w:val="20"/>
              </w:rPr>
              <w:t>Nadelman, 1993;</w:t>
            </w:r>
          </w:p>
          <w:p w14:paraId="59E2B9CA" w14:textId="77777777" w:rsidR="002D58E4" w:rsidRDefault="002D58E4">
            <w:pPr>
              <w:rPr>
                <w:sz w:val="20"/>
                <w:szCs w:val="20"/>
              </w:rPr>
            </w:pPr>
          </w:p>
          <w:p w14:paraId="69FE557E" w14:textId="77777777" w:rsidR="002D58E4" w:rsidRDefault="00F721D4">
            <w:pPr>
              <w:rPr>
                <w:sz w:val="20"/>
                <w:szCs w:val="20"/>
              </w:rPr>
            </w:pPr>
            <w:r>
              <w:rPr>
                <w:sz w:val="20"/>
                <w:szCs w:val="20"/>
              </w:rPr>
              <w:t>NY state, USA</w:t>
            </w:r>
          </w:p>
        </w:tc>
        <w:tc>
          <w:tcPr>
            <w:tcW w:w="3743" w:type="dxa"/>
            <w:vAlign w:val="center"/>
          </w:tcPr>
          <w:p w14:paraId="5D22BE2E" w14:textId="77777777" w:rsidR="002D58E4" w:rsidRDefault="00F721D4">
            <w:pPr>
              <w:rPr>
                <w:sz w:val="20"/>
                <w:szCs w:val="20"/>
              </w:rPr>
            </w:pPr>
            <w:r>
              <w:rPr>
                <w:sz w:val="20"/>
                <w:szCs w:val="20"/>
              </w:rPr>
              <w:t xml:space="preserve">Skin biopsy specimens of 44 patients with EM. </w:t>
            </w:r>
          </w:p>
          <w:p w14:paraId="18E6CAC6" w14:textId="77777777" w:rsidR="002D58E4" w:rsidRDefault="00F721D4">
            <w:pPr>
              <w:rPr>
                <w:sz w:val="20"/>
                <w:szCs w:val="20"/>
              </w:rPr>
            </w:pPr>
            <w:r>
              <w:rPr>
                <w:sz w:val="20"/>
                <w:szCs w:val="20"/>
              </w:rPr>
              <w:t xml:space="preserve">In culture-positive patients, subsequent biopsies adjacent to the original biopsy cite were performed upon completion of treatment with antibiotics. </w:t>
            </w:r>
          </w:p>
        </w:tc>
        <w:tc>
          <w:tcPr>
            <w:tcW w:w="4050" w:type="dxa"/>
            <w:vAlign w:val="center"/>
          </w:tcPr>
          <w:p w14:paraId="68FDBC29"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skin</w:t>
            </w:r>
            <w:r>
              <w:rPr>
                <w:b/>
                <w:sz w:val="20"/>
                <w:szCs w:val="20"/>
              </w:rPr>
              <w:t xml:space="preserve"> culture using BSK medium.</w:t>
            </w:r>
          </w:p>
        </w:tc>
        <w:tc>
          <w:tcPr>
            <w:tcW w:w="5693" w:type="dxa"/>
            <w:vAlign w:val="center"/>
          </w:tcPr>
          <w:p w14:paraId="69284D81" w14:textId="77777777" w:rsidR="002D58E4" w:rsidRDefault="00F721D4">
            <w:pPr>
              <w:rPr>
                <w:sz w:val="20"/>
                <w:szCs w:val="20"/>
              </w:rPr>
            </w:pPr>
            <w:r>
              <w:rPr>
                <w:sz w:val="20"/>
                <w:szCs w:val="20"/>
              </w:rPr>
              <w:t>Cultures were positive in 21 of all 38 evaluable patients (</w:t>
            </w:r>
            <w:r>
              <w:rPr>
                <w:b/>
                <w:sz w:val="20"/>
                <w:szCs w:val="20"/>
              </w:rPr>
              <w:t>55.3%</w:t>
            </w:r>
            <w:r>
              <w:rPr>
                <w:sz w:val="20"/>
                <w:szCs w:val="20"/>
              </w:rPr>
              <w:t xml:space="preserve">), which amounted to </w:t>
            </w:r>
            <w:r>
              <w:rPr>
                <w:b/>
                <w:sz w:val="20"/>
                <w:szCs w:val="20"/>
              </w:rPr>
              <w:t>72.4%</w:t>
            </w:r>
            <w:r>
              <w:rPr>
                <w:sz w:val="20"/>
                <w:szCs w:val="20"/>
              </w:rPr>
              <w:t xml:space="preserve"> among 29 patients who were evaluated </w:t>
            </w:r>
            <w:r>
              <w:rPr>
                <w:b/>
                <w:sz w:val="20"/>
                <w:szCs w:val="20"/>
              </w:rPr>
              <w:t>prior to treatment</w:t>
            </w:r>
            <w:r>
              <w:rPr>
                <w:sz w:val="20"/>
                <w:szCs w:val="20"/>
              </w:rPr>
              <w:t xml:space="preserve"> (but in none of 9 patients evaluated during treatment).</w:t>
            </w:r>
          </w:p>
          <w:p w14:paraId="4A323B2F" w14:textId="77777777" w:rsidR="002D58E4" w:rsidRDefault="002D58E4">
            <w:pPr>
              <w:rPr>
                <w:sz w:val="20"/>
                <w:szCs w:val="20"/>
              </w:rPr>
            </w:pPr>
          </w:p>
          <w:p w14:paraId="04155471" w14:textId="77777777" w:rsidR="002D58E4" w:rsidRDefault="00F721D4">
            <w:pPr>
              <w:rPr>
                <w:sz w:val="20"/>
                <w:szCs w:val="20"/>
              </w:rPr>
            </w:pPr>
            <w:r>
              <w:rPr>
                <w:i/>
                <w:sz w:val="20"/>
                <w:szCs w:val="20"/>
              </w:rPr>
              <w:t>B. burgdorferi</w:t>
            </w:r>
            <w:r>
              <w:rPr>
                <w:sz w:val="20"/>
                <w:szCs w:val="20"/>
              </w:rPr>
              <w:t xml:space="preserve"> could not be reisolated from any of 18 evaluable subsequent biopsies of skin from 13 culture-positive patients 4 to 209 days after completion of a course of antimicrobial therapy.</w:t>
            </w:r>
          </w:p>
        </w:tc>
      </w:tr>
      <w:tr w:rsidR="002D58E4" w14:paraId="7FA79BAF" w14:textId="77777777">
        <w:trPr>
          <w:jc w:val="center"/>
        </w:trPr>
        <w:tc>
          <w:tcPr>
            <w:tcW w:w="1041" w:type="dxa"/>
            <w:vAlign w:val="center"/>
          </w:tcPr>
          <w:p w14:paraId="7B0A16D5" w14:textId="77777777" w:rsidR="002D58E4" w:rsidRDefault="00F721D4">
            <w:pPr>
              <w:rPr>
                <w:sz w:val="20"/>
                <w:szCs w:val="20"/>
              </w:rPr>
            </w:pPr>
            <w:r>
              <w:rPr>
                <w:sz w:val="20"/>
                <w:szCs w:val="20"/>
              </w:rPr>
              <w:t>O’Rourke, 2013 (</w:t>
            </w:r>
            <w:r>
              <w:rPr>
                <w:i/>
                <w:sz w:val="20"/>
                <w:szCs w:val="20"/>
              </w:rPr>
              <w:t>see below</w:t>
            </w:r>
            <w:r>
              <w:rPr>
                <w:sz w:val="20"/>
                <w:szCs w:val="20"/>
              </w:rPr>
              <w:t>);</w:t>
            </w:r>
          </w:p>
          <w:p w14:paraId="4D1AE097" w14:textId="77777777" w:rsidR="002D58E4" w:rsidRDefault="002D58E4">
            <w:pPr>
              <w:rPr>
                <w:sz w:val="20"/>
                <w:szCs w:val="20"/>
              </w:rPr>
            </w:pPr>
          </w:p>
          <w:p w14:paraId="1B26DA66" w14:textId="77777777" w:rsidR="002D58E4" w:rsidRDefault="00F721D4">
            <w:pPr>
              <w:rPr>
                <w:sz w:val="20"/>
                <w:szCs w:val="20"/>
              </w:rPr>
            </w:pPr>
            <w:r>
              <w:rPr>
                <w:sz w:val="20"/>
                <w:szCs w:val="20"/>
              </w:rPr>
              <w:t>Slovenia</w:t>
            </w:r>
          </w:p>
        </w:tc>
        <w:tc>
          <w:tcPr>
            <w:tcW w:w="3743" w:type="dxa"/>
            <w:vAlign w:val="center"/>
          </w:tcPr>
          <w:p w14:paraId="3C9530DB" w14:textId="77777777" w:rsidR="002D58E4" w:rsidRDefault="00F721D4">
            <w:pPr>
              <w:rPr>
                <w:sz w:val="20"/>
                <w:szCs w:val="20"/>
              </w:rPr>
            </w:pPr>
            <w:r>
              <w:rPr>
                <w:sz w:val="20"/>
                <w:szCs w:val="20"/>
              </w:rPr>
              <w:t>Skin biopsy specimens of 121 patients with solitary EM.</w:t>
            </w:r>
          </w:p>
        </w:tc>
        <w:tc>
          <w:tcPr>
            <w:tcW w:w="4050" w:type="dxa"/>
            <w:vAlign w:val="center"/>
          </w:tcPr>
          <w:p w14:paraId="42800512" w14:textId="77777777" w:rsidR="002D58E4" w:rsidRDefault="00F721D4">
            <w:pPr>
              <w:rPr>
                <w:b/>
                <w:sz w:val="20"/>
                <w:szCs w:val="20"/>
              </w:rPr>
            </w:pPr>
            <w:r>
              <w:rPr>
                <w:b/>
                <w:sz w:val="20"/>
                <w:szCs w:val="20"/>
                <w:u w:val="single"/>
              </w:rPr>
              <w:t>Skin</w:t>
            </w:r>
            <w:r>
              <w:rPr>
                <w:b/>
                <w:sz w:val="20"/>
                <w:szCs w:val="20"/>
              </w:rPr>
              <w:t xml:space="preserve"> </w:t>
            </w:r>
            <w:r>
              <w:rPr>
                <w:sz w:val="20"/>
                <w:szCs w:val="20"/>
              </w:rPr>
              <w:t>samples were</w:t>
            </w:r>
            <w:r>
              <w:rPr>
                <w:b/>
                <w:sz w:val="20"/>
                <w:szCs w:val="20"/>
              </w:rPr>
              <w:t xml:space="preserve"> cultured using modified BSK medium (BSK-B).</w:t>
            </w:r>
          </w:p>
          <w:p w14:paraId="444F5044" w14:textId="77777777" w:rsidR="002D58E4" w:rsidRDefault="00F721D4">
            <w:pPr>
              <w:rPr>
                <w:i/>
                <w:sz w:val="20"/>
                <w:szCs w:val="20"/>
              </w:rPr>
            </w:pPr>
            <w:r>
              <w:rPr>
                <w:i/>
                <w:sz w:val="20"/>
                <w:szCs w:val="20"/>
              </w:rPr>
              <w:t>Borrelia</w:t>
            </w:r>
            <w:r>
              <w:rPr>
                <w:sz w:val="20"/>
                <w:szCs w:val="20"/>
              </w:rPr>
              <w:t xml:space="preserve"> 16S rRNA Real-Time PCR was performed (duplex quantitative real-time PCR assay targeting the </w:t>
            </w:r>
            <w:r>
              <w:rPr>
                <w:i/>
                <w:sz w:val="20"/>
                <w:szCs w:val="20"/>
              </w:rPr>
              <w:t>Borrelia</w:t>
            </w:r>
            <w:r>
              <w:rPr>
                <w:sz w:val="20"/>
                <w:szCs w:val="20"/>
              </w:rPr>
              <w:t xml:space="preserve"> 16S rRNA and using human RNAseP genes as an internal positive control - to compensate for variations arising from the DNA extraction procedure and/or the size and quality of the biopsy).</w:t>
            </w:r>
          </w:p>
        </w:tc>
        <w:tc>
          <w:tcPr>
            <w:tcW w:w="5693" w:type="dxa"/>
            <w:vAlign w:val="center"/>
          </w:tcPr>
          <w:p w14:paraId="31C71A8B" w14:textId="77777777" w:rsidR="002D58E4" w:rsidRDefault="00F721D4">
            <w:pPr>
              <w:rPr>
                <w:sz w:val="20"/>
                <w:szCs w:val="20"/>
              </w:rPr>
            </w:pPr>
            <w:r>
              <w:rPr>
                <w:sz w:val="20"/>
                <w:szCs w:val="20"/>
              </w:rPr>
              <w:t>65 out of 118 (</w:t>
            </w:r>
            <w:r>
              <w:rPr>
                <w:b/>
                <w:sz w:val="20"/>
                <w:szCs w:val="20"/>
              </w:rPr>
              <w:t>55.1%)</w:t>
            </w:r>
            <w:r>
              <w:rPr>
                <w:sz w:val="20"/>
                <w:szCs w:val="20"/>
              </w:rPr>
              <w:t xml:space="preserve"> biopsies were </w:t>
            </w:r>
            <w:r>
              <w:rPr>
                <w:b/>
                <w:sz w:val="20"/>
                <w:szCs w:val="20"/>
              </w:rPr>
              <w:t>positive by culture</w:t>
            </w:r>
            <w:r>
              <w:rPr>
                <w:sz w:val="20"/>
                <w:szCs w:val="20"/>
              </w:rPr>
              <w:t xml:space="preserve">, and 94/121 (77.7%) were positive by PCR. </w:t>
            </w:r>
          </w:p>
          <w:p w14:paraId="3E52182B" w14:textId="77777777" w:rsidR="002D58E4" w:rsidRDefault="002D58E4">
            <w:pPr>
              <w:rPr>
                <w:sz w:val="20"/>
                <w:szCs w:val="20"/>
              </w:rPr>
            </w:pPr>
          </w:p>
          <w:p w14:paraId="6E760302" w14:textId="77777777" w:rsidR="002D58E4" w:rsidRDefault="00F721D4">
            <w:pPr>
              <w:rPr>
                <w:sz w:val="20"/>
                <w:szCs w:val="20"/>
              </w:rPr>
            </w:pPr>
            <w:r>
              <w:rPr>
                <w:sz w:val="20"/>
                <w:szCs w:val="20"/>
              </w:rPr>
              <w:t>PCR testing identified more positive biopsy samples than culture and correctly identified all specimens scored as culture positive.</w:t>
            </w:r>
          </w:p>
          <w:p w14:paraId="405E5851" w14:textId="77777777" w:rsidR="002D58E4" w:rsidRDefault="002D58E4">
            <w:pPr>
              <w:rPr>
                <w:sz w:val="20"/>
                <w:szCs w:val="20"/>
              </w:rPr>
            </w:pPr>
          </w:p>
          <w:p w14:paraId="7E6EE72D" w14:textId="77777777" w:rsidR="002D58E4" w:rsidRDefault="00F721D4">
            <w:pPr>
              <w:rPr>
                <w:sz w:val="20"/>
                <w:szCs w:val="20"/>
              </w:rPr>
            </w:pPr>
            <w:r>
              <w:rPr>
                <w:sz w:val="20"/>
                <w:szCs w:val="20"/>
              </w:rPr>
              <w:t>The majority of isolates were B. afzelii (96.8%).</w:t>
            </w:r>
          </w:p>
        </w:tc>
      </w:tr>
      <w:tr w:rsidR="002D58E4" w14:paraId="529F733F" w14:textId="77777777">
        <w:trPr>
          <w:jc w:val="center"/>
        </w:trPr>
        <w:tc>
          <w:tcPr>
            <w:tcW w:w="1041" w:type="dxa"/>
            <w:vAlign w:val="center"/>
          </w:tcPr>
          <w:p w14:paraId="5C0C8FF8" w14:textId="77777777" w:rsidR="002D58E4" w:rsidRDefault="00F721D4">
            <w:pPr>
              <w:rPr>
                <w:sz w:val="20"/>
                <w:szCs w:val="20"/>
              </w:rPr>
            </w:pPr>
            <w:r>
              <w:rPr>
                <w:sz w:val="20"/>
                <w:szCs w:val="20"/>
              </w:rPr>
              <w:t>Picken, 1997 (</w:t>
            </w:r>
            <w:r>
              <w:rPr>
                <w:i/>
                <w:sz w:val="20"/>
                <w:szCs w:val="20"/>
              </w:rPr>
              <w:t>see below</w:t>
            </w:r>
            <w:r>
              <w:rPr>
                <w:sz w:val="20"/>
                <w:szCs w:val="20"/>
              </w:rPr>
              <w:t>);</w:t>
            </w:r>
          </w:p>
          <w:p w14:paraId="68FBFF9F" w14:textId="77777777" w:rsidR="002D58E4" w:rsidRDefault="002D58E4">
            <w:pPr>
              <w:rPr>
                <w:sz w:val="20"/>
                <w:szCs w:val="20"/>
              </w:rPr>
            </w:pPr>
          </w:p>
          <w:p w14:paraId="268A717F" w14:textId="77777777" w:rsidR="002D58E4" w:rsidRDefault="00F721D4">
            <w:pPr>
              <w:rPr>
                <w:sz w:val="20"/>
                <w:szCs w:val="20"/>
              </w:rPr>
            </w:pPr>
            <w:r>
              <w:rPr>
                <w:sz w:val="20"/>
                <w:szCs w:val="20"/>
              </w:rPr>
              <w:t>Slovenia</w:t>
            </w:r>
          </w:p>
          <w:p w14:paraId="2830DCD8" w14:textId="77777777" w:rsidR="002D58E4" w:rsidRDefault="002D58E4">
            <w:pPr>
              <w:rPr>
                <w:sz w:val="20"/>
                <w:szCs w:val="20"/>
              </w:rPr>
            </w:pPr>
          </w:p>
        </w:tc>
        <w:tc>
          <w:tcPr>
            <w:tcW w:w="3743" w:type="dxa"/>
            <w:vAlign w:val="center"/>
          </w:tcPr>
          <w:p w14:paraId="75951DC9" w14:textId="77777777" w:rsidR="002D58E4" w:rsidRDefault="00F721D4">
            <w:pPr>
              <w:rPr>
                <w:sz w:val="20"/>
                <w:szCs w:val="20"/>
              </w:rPr>
            </w:pPr>
            <w:r>
              <w:rPr>
                <w:sz w:val="20"/>
                <w:szCs w:val="20"/>
              </w:rPr>
              <w:t>Skin biopsy specimens from EM and ACA lesions (n=758).</w:t>
            </w:r>
          </w:p>
        </w:tc>
        <w:tc>
          <w:tcPr>
            <w:tcW w:w="4050" w:type="dxa"/>
            <w:vAlign w:val="center"/>
          </w:tcPr>
          <w:p w14:paraId="74A4A79F" w14:textId="77777777" w:rsidR="002D58E4" w:rsidRDefault="00F721D4">
            <w:pPr>
              <w:rPr>
                <w:sz w:val="20"/>
                <w:szCs w:val="20"/>
              </w:rPr>
            </w:pPr>
            <w:r>
              <w:rPr>
                <w:sz w:val="20"/>
                <w:szCs w:val="20"/>
              </w:rPr>
              <w:t xml:space="preserve">Specimens were tested by PCR amplification assay and </w:t>
            </w:r>
            <w:r>
              <w:rPr>
                <w:b/>
                <w:sz w:val="20"/>
                <w:szCs w:val="20"/>
                <w:u w:val="single"/>
              </w:rPr>
              <w:t xml:space="preserve">skin </w:t>
            </w:r>
            <w:r>
              <w:rPr>
                <w:b/>
                <w:sz w:val="20"/>
                <w:szCs w:val="20"/>
              </w:rPr>
              <w:t>cultures</w:t>
            </w:r>
            <w:r>
              <w:rPr>
                <w:sz w:val="20"/>
                <w:szCs w:val="20"/>
              </w:rPr>
              <w:t xml:space="preserve"> </w:t>
            </w:r>
            <w:r>
              <w:rPr>
                <w:b/>
                <w:sz w:val="20"/>
                <w:szCs w:val="20"/>
              </w:rPr>
              <w:t>using two artificial growth media, Barbour-Stoenner-Kelly II (BSK II) and modified Kelly-Pettenkofer (MKP).</w:t>
            </w:r>
          </w:p>
        </w:tc>
        <w:tc>
          <w:tcPr>
            <w:tcW w:w="5693" w:type="dxa"/>
            <w:vAlign w:val="center"/>
          </w:tcPr>
          <w:p w14:paraId="6BBF657C" w14:textId="77777777" w:rsidR="002D58E4" w:rsidRDefault="00F721D4">
            <w:pPr>
              <w:rPr>
                <w:sz w:val="20"/>
                <w:szCs w:val="20"/>
              </w:rPr>
            </w:pPr>
            <w:r>
              <w:rPr>
                <w:sz w:val="20"/>
                <w:szCs w:val="20"/>
              </w:rPr>
              <w:t xml:space="preserve">For classic EM lesions, </w:t>
            </w:r>
            <w:r>
              <w:rPr>
                <w:b/>
                <w:sz w:val="20"/>
                <w:szCs w:val="20"/>
              </w:rPr>
              <w:t>the sensitivity of MKP culture was 35.9%</w:t>
            </w:r>
            <w:r>
              <w:rPr>
                <w:sz w:val="20"/>
                <w:szCs w:val="20"/>
              </w:rPr>
              <w:t xml:space="preserve"> (272 out of 758), and for </w:t>
            </w:r>
            <w:r>
              <w:rPr>
                <w:b/>
                <w:sz w:val="20"/>
                <w:szCs w:val="20"/>
              </w:rPr>
              <w:t>BSK II culture it was 23.6%</w:t>
            </w:r>
            <w:r>
              <w:rPr>
                <w:sz w:val="20"/>
                <w:szCs w:val="20"/>
              </w:rPr>
              <w:t xml:space="preserve"> (179 out of 758). </w:t>
            </w:r>
          </w:p>
          <w:p w14:paraId="28A54773" w14:textId="77777777" w:rsidR="002D58E4" w:rsidRDefault="002D58E4">
            <w:pPr>
              <w:rPr>
                <w:sz w:val="20"/>
                <w:szCs w:val="20"/>
              </w:rPr>
            </w:pPr>
          </w:p>
          <w:p w14:paraId="67B2D4ED" w14:textId="77777777" w:rsidR="002D58E4" w:rsidRDefault="00F721D4">
            <w:pPr>
              <w:rPr>
                <w:sz w:val="20"/>
                <w:szCs w:val="20"/>
              </w:rPr>
            </w:pPr>
            <w:r>
              <w:rPr>
                <w:sz w:val="20"/>
                <w:szCs w:val="20"/>
              </w:rPr>
              <w:t>In classic EM lesions, 408 out of 758 specimens tested positive by at least one of the methods (53.8%).  Among positive specimens, the highest success rate was obtained by MKP culture alone (272 of 408 positive samples (67%), followed by PCR assay alone (189 of 408 (46%), followed by BSK II culture alone (179 of 408 (44%).</w:t>
            </w:r>
          </w:p>
        </w:tc>
      </w:tr>
      <w:tr w:rsidR="002D58E4" w14:paraId="73614F54" w14:textId="77777777">
        <w:trPr>
          <w:jc w:val="center"/>
        </w:trPr>
        <w:tc>
          <w:tcPr>
            <w:tcW w:w="1041" w:type="dxa"/>
            <w:vAlign w:val="center"/>
          </w:tcPr>
          <w:p w14:paraId="4A1507FC" w14:textId="77777777" w:rsidR="002D58E4" w:rsidRDefault="00F721D4">
            <w:pPr>
              <w:rPr>
                <w:sz w:val="20"/>
                <w:szCs w:val="20"/>
              </w:rPr>
            </w:pPr>
            <w:r>
              <w:rPr>
                <w:sz w:val="20"/>
                <w:szCs w:val="20"/>
              </w:rPr>
              <w:t>Ruzic-Sabljic, 2006;</w:t>
            </w:r>
          </w:p>
          <w:p w14:paraId="23E02F0E" w14:textId="77777777" w:rsidR="002D58E4" w:rsidRDefault="00F721D4">
            <w:pPr>
              <w:rPr>
                <w:sz w:val="20"/>
                <w:szCs w:val="20"/>
              </w:rPr>
            </w:pPr>
            <w:r>
              <w:rPr>
                <w:sz w:val="20"/>
                <w:szCs w:val="20"/>
              </w:rPr>
              <w:t>Slovenia</w:t>
            </w:r>
          </w:p>
        </w:tc>
        <w:tc>
          <w:tcPr>
            <w:tcW w:w="3743" w:type="dxa"/>
            <w:vAlign w:val="center"/>
          </w:tcPr>
          <w:p w14:paraId="6A7A0420" w14:textId="77777777" w:rsidR="002D58E4" w:rsidRDefault="00F721D4">
            <w:pPr>
              <w:rPr>
                <w:sz w:val="20"/>
                <w:szCs w:val="20"/>
              </w:rPr>
            </w:pPr>
            <w:r>
              <w:rPr>
                <w:sz w:val="20"/>
                <w:szCs w:val="20"/>
              </w:rPr>
              <w:t>Skin biopsy specimens of 96 patients with EM (periphery of the lesion).</w:t>
            </w:r>
          </w:p>
        </w:tc>
        <w:tc>
          <w:tcPr>
            <w:tcW w:w="4050" w:type="dxa"/>
            <w:vAlign w:val="center"/>
          </w:tcPr>
          <w:p w14:paraId="65FD29DF"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 xml:space="preserve">skin </w:t>
            </w:r>
            <w:r>
              <w:rPr>
                <w:b/>
                <w:sz w:val="20"/>
                <w:szCs w:val="20"/>
              </w:rPr>
              <w:t>cultures</w:t>
            </w:r>
            <w:r>
              <w:rPr>
                <w:sz w:val="20"/>
                <w:szCs w:val="20"/>
              </w:rPr>
              <w:t xml:space="preserve"> </w:t>
            </w:r>
            <w:r>
              <w:rPr>
                <w:b/>
                <w:sz w:val="20"/>
                <w:szCs w:val="20"/>
              </w:rPr>
              <w:t xml:space="preserve">using </w:t>
            </w:r>
            <w:r>
              <w:rPr>
                <w:sz w:val="20"/>
                <w:szCs w:val="20"/>
              </w:rPr>
              <w:t xml:space="preserve">two media: </w:t>
            </w:r>
            <w:r>
              <w:rPr>
                <w:b/>
                <w:sz w:val="20"/>
                <w:szCs w:val="20"/>
              </w:rPr>
              <w:t xml:space="preserve">modified Kelly-Pettenkofer (MKP) </w:t>
            </w:r>
            <w:r>
              <w:rPr>
                <w:sz w:val="20"/>
                <w:szCs w:val="20"/>
              </w:rPr>
              <w:t xml:space="preserve">and </w:t>
            </w:r>
            <w:r>
              <w:rPr>
                <w:b/>
                <w:sz w:val="20"/>
                <w:szCs w:val="20"/>
              </w:rPr>
              <w:t>Barbour–Stoenner–Kelly II (BSK II).</w:t>
            </w:r>
          </w:p>
        </w:tc>
        <w:tc>
          <w:tcPr>
            <w:tcW w:w="5693" w:type="dxa"/>
            <w:vAlign w:val="center"/>
          </w:tcPr>
          <w:p w14:paraId="3C3C3F95" w14:textId="77777777" w:rsidR="002D58E4" w:rsidRDefault="00F721D4">
            <w:pPr>
              <w:rPr>
                <w:sz w:val="20"/>
                <w:szCs w:val="20"/>
              </w:rPr>
            </w:pPr>
            <w:r>
              <w:rPr>
                <w:i/>
                <w:sz w:val="20"/>
                <w:szCs w:val="20"/>
              </w:rPr>
              <w:t>Borrelia</w:t>
            </w:r>
            <w:r>
              <w:rPr>
                <w:sz w:val="20"/>
                <w:szCs w:val="20"/>
              </w:rPr>
              <w:t xml:space="preserve"> strains were isolated from 48/96 skin lesions (</w:t>
            </w:r>
            <w:r>
              <w:rPr>
                <w:b/>
                <w:sz w:val="20"/>
                <w:szCs w:val="20"/>
              </w:rPr>
              <w:t>50%</w:t>
            </w:r>
            <w:r>
              <w:rPr>
                <w:sz w:val="20"/>
                <w:szCs w:val="20"/>
              </w:rPr>
              <w:t xml:space="preserve">) using </w:t>
            </w:r>
            <w:r>
              <w:rPr>
                <w:b/>
                <w:sz w:val="20"/>
                <w:szCs w:val="20"/>
              </w:rPr>
              <w:t>either of the mediums</w:t>
            </w:r>
            <w:r>
              <w:rPr>
                <w:sz w:val="20"/>
                <w:szCs w:val="20"/>
              </w:rPr>
              <w:t xml:space="preserve">. There was no difference in the isolation rate when comparing MKP and BSK-II medium (37 positive cultures in each particular medium = </w:t>
            </w:r>
            <w:r>
              <w:rPr>
                <w:b/>
                <w:sz w:val="20"/>
                <w:szCs w:val="20"/>
              </w:rPr>
              <w:t>38.5%</w:t>
            </w:r>
            <w:r>
              <w:rPr>
                <w:sz w:val="20"/>
                <w:szCs w:val="20"/>
              </w:rPr>
              <w:t>).</w:t>
            </w:r>
          </w:p>
          <w:p w14:paraId="6E5FFC5C" w14:textId="77777777" w:rsidR="002D58E4" w:rsidRDefault="00F721D4">
            <w:pPr>
              <w:rPr>
                <w:sz w:val="20"/>
                <w:szCs w:val="20"/>
              </w:rPr>
            </w:pPr>
            <w:r>
              <w:rPr>
                <w:sz w:val="20"/>
                <w:szCs w:val="20"/>
              </w:rPr>
              <w:t xml:space="preserve">89% were </w:t>
            </w:r>
            <w:r>
              <w:rPr>
                <w:i/>
                <w:sz w:val="20"/>
                <w:szCs w:val="20"/>
              </w:rPr>
              <w:t>B. afzelii</w:t>
            </w:r>
            <w:r>
              <w:rPr>
                <w:sz w:val="20"/>
                <w:szCs w:val="20"/>
              </w:rPr>
              <w:t>, and 11% -</w:t>
            </w:r>
            <w:r>
              <w:rPr>
                <w:i/>
                <w:sz w:val="20"/>
                <w:szCs w:val="20"/>
              </w:rPr>
              <w:t>B. garinii.</w:t>
            </w:r>
          </w:p>
        </w:tc>
      </w:tr>
      <w:tr w:rsidR="002D58E4" w14:paraId="718AC25F" w14:textId="77777777">
        <w:trPr>
          <w:jc w:val="center"/>
        </w:trPr>
        <w:tc>
          <w:tcPr>
            <w:tcW w:w="1041" w:type="dxa"/>
            <w:vAlign w:val="center"/>
          </w:tcPr>
          <w:p w14:paraId="772D37BB" w14:textId="77777777" w:rsidR="002D58E4" w:rsidRDefault="00F721D4">
            <w:pPr>
              <w:rPr>
                <w:sz w:val="20"/>
                <w:szCs w:val="20"/>
              </w:rPr>
            </w:pPr>
            <w:r>
              <w:rPr>
                <w:sz w:val="20"/>
                <w:szCs w:val="20"/>
              </w:rPr>
              <w:lastRenderedPageBreak/>
              <w:t>Ruzic-Sabljic, 2014;</w:t>
            </w:r>
          </w:p>
          <w:p w14:paraId="1CC008A2" w14:textId="77777777" w:rsidR="002D58E4" w:rsidRDefault="00F721D4">
            <w:pPr>
              <w:rPr>
                <w:sz w:val="20"/>
                <w:szCs w:val="20"/>
              </w:rPr>
            </w:pPr>
            <w:r>
              <w:rPr>
                <w:sz w:val="20"/>
                <w:szCs w:val="20"/>
              </w:rPr>
              <w:t>Slovenia</w:t>
            </w:r>
          </w:p>
        </w:tc>
        <w:tc>
          <w:tcPr>
            <w:tcW w:w="3743" w:type="dxa"/>
            <w:vAlign w:val="center"/>
          </w:tcPr>
          <w:p w14:paraId="0E17E088" w14:textId="77777777" w:rsidR="002D58E4" w:rsidRDefault="00F721D4">
            <w:pPr>
              <w:rPr>
                <w:sz w:val="20"/>
                <w:szCs w:val="20"/>
              </w:rPr>
            </w:pPr>
            <w:r>
              <w:rPr>
                <w:sz w:val="20"/>
                <w:szCs w:val="20"/>
              </w:rPr>
              <w:t>Skin biopsy specimens of 235 patients with EM.</w:t>
            </w:r>
          </w:p>
        </w:tc>
        <w:tc>
          <w:tcPr>
            <w:tcW w:w="4050" w:type="dxa"/>
            <w:vAlign w:val="center"/>
          </w:tcPr>
          <w:p w14:paraId="450D854B"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 xml:space="preserve">skin </w:t>
            </w:r>
            <w:r>
              <w:rPr>
                <w:b/>
                <w:sz w:val="20"/>
                <w:szCs w:val="20"/>
              </w:rPr>
              <w:t>cultures</w:t>
            </w:r>
            <w:r>
              <w:rPr>
                <w:sz w:val="20"/>
                <w:szCs w:val="20"/>
              </w:rPr>
              <w:t xml:space="preserve"> </w:t>
            </w:r>
            <w:r>
              <w:rPr>
                <w:b/>
                <w:sz w:val="20"/>
                <w:szCs w:val="20"/>
              </w:rPr>
              <w:t xml:space="preserve">using </w:t>
            </w:r>
            <w:r>
              <w:rPr>
                <w:sz w:val="20"/>
                <w:szCs w:val="20"/>
              </w:rPr>
              <w:t xml:space="preserve">two media: </w:t>
            </w:r>
            <w:r>
              <w:rPr>
                <w:b/>
                <w:sz w:val="20"/>
                <w:szCs w:val="20"/>
              </w:rPr>
              <w:t xml:space="preserve">modified Kelly-Pettenkofer (MKP) </w:t>
            </w:r>
            <w:r>
              <w:rPr>
                <w:sz w:val="20"/>
                <w:szCs w:val="20"/>
              </w:rPr>
              <w:t xml:space="preserve">and </w:t>
            </w:r>
            <w:r>
              <w:rPr>
                <w:b/>
                <w:sz w:val="20"/>
                <w:szCs w:val="20"/>
              </w:rPr>
              <w:t>Barbour–Stoenner–Kelly-H (BSK-H) .</w:t>
            </w:r>
          </w:p>
        </w:tc>
        <w:tc>
          <w:tcPr>
            <w:tcW w:w="5693" w:type="dxa"/>
            <w:vAlign w:val="center"/>
          </w:tcPr>
          <w:p w14:paraId="32BF5774" w14:textId="77777777" w:rsidR="002D58E4" w:rsidRDefault="00F721D4">
            <w:pPr>
              <w:rPr>
                <w:sz w:val="20"/>
                <w:szCs w:val="20"/>
              </w:rPr>
            </w:pPr>
            <w:r>
              <w:rPr>
                <w:i/>
                <w:sz w:val="20"/>
                <w:szCs w:val="20"/>
              </w:rPr>
              <w:t>Borrelia</w:t>
            </w:r>
            <w:r>
              <w:rPr>
                <w:sz w:val="20"/>
                <w:szCs w:val="20"/>
              </w:rPr>
              <w:t xml:space="preserve"> growth was ascertained in 59/235 </w:t>
            </w:r>
            <w:r>
              <w:rPr>
                <w:b/>
                <w:sz w:val="20"/>
                <w:szCs w:val="20"/>
              </w:rPr>
              <w:t>(25.1%) BSK-H</w:t>
            </w:r>
            <w:r>
              <w:rPr>
                <w:sz w:val="20"/>
                <w:szCs w:val="20"/>
              </w:rPr>
              <w:t xml:space="preserve"> and 102/235 </w:t>
            </w:r>
            <w:r>
              <w:rPr>
                <w:b/>
                <w:sz w:val="20"/>
                <w:szCs w:val="20"/>
              </w:rPr>
              <w:t>(43.4%) MKP</w:t>
            </w:r>
            <w:r>
              <w:rPr>
                <w:sz w:val="20"/>
                <w:szCs w:val="20"/>
              </w:rPr>
              <w:t xml:space="preserve"> cultures (p &lt;0.0001);</w:t>
            </w:r>
          </w:p>
        </w:tc>
      </w:tr>
      <w:tr w:rsidR="002D58E4" w14:paraId="3CE87159" w14:textId="77777777">
        <w:trPr>
          <w:jc w:val="center"/>
        </w:trPr>
        <w:tc>
          <w:tcPr>
            <w:tcW w:w="1041" w:type="dxa"/>
            <w:vAlign w:val="center"/>
          </w:tcPr>
          <w:p w14:paraId="734FB06B" w14:textId="77777777" w:rsidR="002D58E4" w:rsidRDefault="00F721D4">
            <w:pPr>
              <w:rPr>
                <w:sz w:val="20"/>
                <w:szCs w:val="20"/>
              </w:rPr>
            </w:pPr>
            <w:r>
              <w:rPr>
                <w:sz w:val="20"/>
                <w:szCs w:val="20"/>
              </w:rPr>
              <w:t>Stupica, 2015 (</w:t>
            </w:r>
            <w:r>
              <w:rPr>
                <w:i/>
                <w:sz w:val="20"/>
                <w:szCs w:val="20"/>
              </w:rPr>
              <w:t>see below</w:t>
            </w:r>
            <w:r>
              <w:rPr>
                <w:sz w:val="20"/>
                <w:szCs w:val="20"/>
              </w:rPr>
              <w:t>);</w:t>
            </w:r>
          </w:p>
          <w:p w14:paraId="532FE717" w14:textId="77777777" w:rsidR="002D58E4" w:rsidRDefault="00F721D4">
            <w:pPr>
              <w:rPr>
                <w:sz w:val="20"/>
                <w:szCs w:val="20"/>
              </w:rPr>
            </w:pPr>
            <w:r>
              <w:rPr>
                <w:sz w:val="20"/>
                <w:szCs w:val="20"/>
              </w:rPr>
              <w:t>Slovenia</w:t>
            </w:r>
          </w:p>
        </w:tc>
        <w:tc>
          <w:tcPr>
            <w:tcW w:w="3743" w:type="dxa"/>
            <w:vAlign w:val="center"/>
          </w:tcPr>
          <w:p w14:paraId="6FC13EAF" w14:textId="77777777" w:rsidR="002D58E4" w:rsidRDefault="00F721D4">
            <w:pPr>
              <w:rPr>
                <w:sz w:val="20"/>
                <w:szCs w:val="20"/>
              </w:rPr>
            </w:pPr>
            <w:r>
              <w:rPr>
                <w:sz w:val="20"/>
                <w:szCs w:val="20"/>
              </w:rPr>
              <w:t>Skin biopsy specimens of 121 patients with EM.</w:t>
            </w:r>
          </w:p>
        </w:tc>
        <w:tc>
          <w:tcPr>
            <w:tcW w:w="4050" w:type="dxa"/>
            <w:vAlign w:val="center"/>
          </w:tcPr>
          <w:p w14:paraId="638EBDE7" w14:textId="77777777" w:rsidR="002D58E4" w:rsidRDefault="00F721D4">
            <w:pPr>
              <w:rPr>
                <w:sz w:val="20"/>
                <w:szCs w:val="20"/>
              </w:rPr>
            </w:pPr>
            <w:r>
              <w:rPr>
                <w:b/>
                <w:sz w:val="20"/>
                <w:szCs w:val="20"/>
                <w:u w:val="single"/>
              </w:rPr>
              <w:t>Skin</w:t>
            </w:r>
            <w:r>
              <w:rPr>
                <w:sz w:val="20"/>
                <w:szCs w:val="20"/>
              </w:rPr>
              <w:t xml:space="preserve"> biopsy specimens were </w:t>
            </w:r>
            <w:r>
              <w:rPr>
                <w:b/>
                <w:sz w:val="20"/>
                <w:szCs w:val="20"/>
              </w:rPr>
              <w:t>cultured</w:t>
            </w:r>
            <w:r>
              <w:rPr>
                <w:sz w:val="20"/>
                <w:szCs w:val="20"/>
              </w:rPr>
              <w:t xml:space="preserve"> </w:t>
            </w:r>
            <w:r>
              <w:rPr>
                <w:b/>
                <w:sz w:val="20"/>
                <w:szCs w:val="20"/>
              </w:rPr>
              <w:t>using BSK-B medium</w:t>
            </w:r>
            <w:r>
              <w:rPr>
                <w:sz w:val="20"/>
                <w:szCs w:val="20"/>
              </w:rPr>
              <w:t xml:space="preserve"> and also analyzed by quantitative PCR for the presence of </w:t>
            </w:r>
            <w:r>
              <w:rPr>
                <w:i/>
                <w:sz w:val="20"/>
                <w:szCs w:val="20"/>
              </w:rPr>
              <w:t>Borreliae</w:t>
            </w:r>
            <w:r>
              <w:rPr>
                <w:sz w:val="20"/>
                <w:szCs w:val="20"/>
              </w:rPr>
              <w:t xml:space="preserve">. </w:t>
            </w:r>
          </w:p>
        </w:tc>
        <w:tc>
          <w:tcPr>
            <w:tcW w:w="5693" w:type="dxa"/>
            <w:vAlign w:val="center"/>
          </w:tcPr>
          <w:p w14:paraId="76182A58" w14:textId="77777777" w:rsidR="002D58E4" w:rsidRDefault="00F721D4">
            <w:pPr>
              <w:rPr>
                <w:sz w:val="20"/>
                <w:szCs w:val="20"/>
              </w:rPr>
            </w:pPr>
            <w:r>
              <w:rPr>
                <w:sz w:val="20"/>
                <w:szCs w:val="20"/>
              </w:rPr>
              <w:t xml:space="preserve">65/118 </w:t>
            </w:r>
            <w:r>
              <w:rPr>
                <w:b/>
                <w:sz w:val="20"/>
                <w:szCs w:val="20"/>
              </w:rPr>
              <w:t>(55.1%)</w:t>
            </w:r>
            <w:r>
              <w:rPr>
                <w:sz w:val="20"/>
                <w:szCs w:val="20"/>
              </w:rPr>
              <w:t xml:space="preserve"> patients </w:t>
            </w:r>
            <w:r>
              <w:rPr>
                <w:b/>
                <w:sz w:val="20"/>
                <w:szCs w:val="20"/>
              </w:rPr>
              <w:t>had positive skin culture result</w:t>
            </w:r>
            <w:r>
              <w:rPr>
                <w:sz w:val="20"/>
                <w:szCs w:val="20"/>
              </w:rPr>
              <w:t xml:space="preserve"> (96.8% </w:t>
            </w:r>
            <w:r>
              <w:rPr>
                <w:i/>
                <w:sz w:val="20"/>
                <w:szCs w:val="20"/>
              </w:rPr>
              <w:t>B. afzelii</w:t>
            </w:r>
            <w:r>
              <w:rPr>
                <w:sz w:val="20"/>
                <w:szCs w:val="20"/>
              </w:rPr>
              <w:t xml:space="preserve">, 3.2% </w:t>
            </w:r>
            <w:r>
              <w:rPr>
                <w:i/>
                <w:sz w:val="20"/>
                <w:szCs w:val="20"/>
              </w:rPr>
              <w:t>B. garinii</w:t>
            </w:r>
            <w:r>
              <w:rPr>
                <w:sz w:val="20"/>
                <w:szCs w:val="20"/>
              </w:rPr>
              <w:t xml:space="preserve">); </w:t>
            </w:r>
          </w:p>
          <w:p w14:paraId="181D7399" w14:textId="77777777" w:rsidR="002D58E4" w:rsidRDefault="00F721D4">
            <w:pPr>
              <w:rPr>
                <w:sz w:val="20"/>
                <w:szCs w:val="20"/>
              </w:rPr>
            </w:pPr>
            <w:r>
              <w:rPr>
                <w:sz w:val="20"/>
                <w:szCs w:val="20"/>
              </w:rPr>
              <w:t>(qPCR testing was positive in 77.7% patients).</w:t>
            </w:r>
          </w:p>
        </w:tc>
      </w:tr>
      <w:tr w:rsidR="002D58E4" w14:paraId="5B353118" w14:textId="77777777">
        <w:trPr>
          <w:jc w:val="center"/>
        </w:trPr>
        <w:tc>
          <w:tcPr>
            <w:tcW w:w="1041" w:type="dxa"/>
            <w:vAlign w:val="center"/>
          </w:tcPr>
          <w:p w14:paraId="3C514916" w14:textId="77777777" w:rsidR="002D58E4" w:rsidRDefault="00F721D4">
            <w:pPr>
              <w:rPr>
                <w:sz w:val="20"/>
                <w:szCs w:val="20"/>
              </w:rPr>
            </w:pPr>
            <w:r>
              <w:rPr>
                <w:sz w:val="20"/>
                <w:szCs w:val="20"/>
              </w:rPr>
              <w:t>Zore, 2002 (</w:t>
            </w:r>
            <w:r>
              <w:rPr>
                <w:i/>
                <w:sz w:val="20"/>
                <w:szCs w:val="20"/>
              </w:rPr>
              <w:t>see below</w:t>
            </w:r>
            <w:r>
              <w:rPr>
                <w:sz w:val="20"/>
                <w:szCs w:val="20"/>
              </w:rPr>
              <w:t>);</w:t>
            </w:r>
          </w:p>
          <w:p w14:paraId="156D9E19" w14:textId="77777777" w:rsidR="002D58E4" w:rsidRDefault="00F721D4">
            <w:pPr>
              <w:rPr>
                <w:sz w:val="20"/>
                <w:szCs w:val="20"/>
              </w:rPr>
            </w:pPr>
            <w:r>
              <w:rPr>
                <w:sz w:val="20"/>
                <w:szCs w:val="20"/>
              </w:rPr>
              <w:t>Slovenia (?)</w:t>
            </w:r>
          </w:p>
        </w:tc>
        <w:tc>
          <w:tcPr>
            <w:tcW w:w="3743" w:type="dxa"/>
            <w:vAlign w:val="center"/>
          </w:tcPr>
          <w:p w14:paraId="2956D50A" w14:textId="77777777" w:rsidR="002D58E4" w:rsidRDefault="00F721D4">
            <w:pPr>
              <w:rPr>
                <w:sz w:val="20"/>
                <w:szCs w:val="20"/>
              </w:rPr>
            </w:pPr>
            <w:r>
              <w:rPr>
                <w:sz w:val="20"/>
                <w:szCs w:val="20"/>
              </w:rPr>
              <w:t xml:space="preserve">Skin biopsy samples from 150 patients with EM. </w:t>
            </w:r>
          </w:p>
        </w:tc>
        <w:tc>
          <w:tcPr>
            <w:tcW w:w="4050" w:type="dxa"/>
            <w:vAlign w:val="center"/>
          </w:tcPr>
          <w:p w14:paraId="03379DB4" w14:textId="77777777" w:rsidR="002D58E4" w:rsidRDefault="00F721D4">
            <w:pPr>
              <w:rPr>
                <w:sz w:val="20"/>
                <w:szCs w:val="20"/>
              </w:rPr>
            </w:pPr>
            <w:r>
              <w:rPr>
                <w:b/>
                <w:sz w:val="20"/>
                <w:szCs w:val="20"/>
                <w:u w:val="single"/>
              </w:rPr>
              <w:t>Skin</w:t>
            </w:r>
            <w:r>
              <w:rPr>
                <w:sz w:val="20"/>
                <w:szCs w:val="20"/>
              </w:rPr>
              <w:t xml:space="preserve"> biopsy specimens were </w:t>
            </w:r>
            <w:r>
              <w:rPr>
                <w:b/>
                <w:sz w:val="20"/>
                <w:szCs w:val="20"/>
              </w:rPr>
              <w:t>cultured</w:t>
            </w:r>
            <w:r>
              <w:rPr>
                <w:sz w:val="20"/>
                <w:szCs w:val="20"/>
              </w:rPr>
              <w:t xml:space="preserve"> </w:t>
            </w:r>
            <w:r>
              <w:rPr>
                <w:b/>
                <w:sz w:val="20"/>
                <w:szCs w:val="20"/>
              </w:rPr>
              <w:t>using modified Kelly-Pettenkofer (MKP) medium</w:t>
            </w:r>
            <w:r>
              <w:rPr>
                <w:sz w:val="20"/>
                <w:szCs w:val="20"/>
              </w:rPr>
              <w:t xml:space="preserve"> and also analyzed by two different PCRs using either flagellin or nested OspA primers. </w:t>
            </w:r>
          </w:p>
        </w:tc>
        <w:tc>
          <w:tcPr>
            <w:tcW w:w="5693" w:type="dxa"/>
            <w:vAlign w:val="center"/>
          </w:tcPr>
          <w:p w14:paraId="07A9B74B" w14:textId="77777777" w:rsidR="002D58E4" w:rsidRDefault="00F721D4">
            <w:pPr>
              <w:rPr>
                <w:sz w:val="20"/>
                <w:szCs w:val="20"/>
              </w:rPr>
            </w:pPr>
            <w:r>
              <w:rPr>
                <w:b/>
                <w:sz w:val="20"/>
                <w:szCs w:val="20"/>
              </w:rPr>
              <w:t xml:space="preserve">Cultures </w:t>
            </w:r>
            <w:r>
              <w:rPr>
                <w:sz w:val="20"/>
                <w:szCs w:val="20"/>
              </w:rPr>
              <w:t>were positive in 75 of 150 (</w:t>
            </w:r>
            <w:r>
              <w:rPr>
                <w:b/>
                <w:sz w:val="20"/>
                <w:szCs w:val="20"/>
              </w:rPr>
              <w:t>50%) skin samples</w:t>
            </w:r>
            <w:r>
              <w:rPr>
                <w:sz w:val="20"/>
                <w:szCs w:val="20"/>
              </w:rPr>
              <w:t xml:space="preserve"> (</w:t>
            </w:r>
            <w:r>
              <w:rPr>
                <w:i/>
                <w:sz w:val="20"/>
                <w:szCs w:val="20"/>
              </w:rPr>
              <w:t>B. afzelii</w:t>
            </w:r>
            <w:r>
              <w:rPr>
                <w:sz w:val="20"/>
                <w:szCs w:val="20"/>
              </w:rPr>
              <w:t xml:space="preserve"> 86%, </w:t>
            </w:r>
            <w:r>
              <w:rPr>
                <w:i/>
                <w:sz w:val="20"/>
                <w:szCs w:val="20"/>
              </w:rPr>
              <w:t xml:space="preserve">B. garinii </w:t>
            </w:r>
            <w:r>
              <w:rPr>
                <w:sz w:val="20"/>
                <w:szCs w:val="20"/>
              </w:rPr>
              <w:t xml:space="preserve">14%, typed using pulsed-field gel electrophoresis (PFGE). </w:t>
            </w:r>
          </w:p>
          <w:p w14:paraId="14E974DE" w14:textId="77777777" w:rsidR="002D58E4" w:rsidRDefault="00F721D4">
            <w:pPr>
              <w:rPr>
                <w:sz w:val="20"/>
                <w:szCs w:val="20"/>
              </w:rPr>
            </w:pPr>
            <w:r>
              <w:rPr>
                <w:sz w:val="20"/>
                <w:szCs w:val="20"/>
              </w:rPr>
              <w:t>(PCR with flagellin</w:t>
            </w:r>
            <w:r>
              <w:rPr>
                <w:i/>
                <w:sz w:val="20"/>
                <w:szCs w:val="20"/>
              </w:rPr>
              <w:t xml:space="preserve"> </w:t>
            </w:r>
            <w:r>
              <w:rPr>
                <w:sz w:val="20"/>
                <w:szCs w:val="20"/>
              </w:rPr>
              <w:t>was positive in 28% and PCR with nested OspA primers - in 61% of skin samples).</w:t>
            </w:r>
          </w:p>
        </w:tc>
      </w:tr>
      <w:tr w:rsidR="002D58E4" w14:paraId="5366A22B" w14:textId="77777777">
        <w:trPr>
          <w:jc w:val="center"/>
        </w:trPr>
        <w:tc>
          <w:tcPr>
            <w:tcW w:w="14527" w:type="dxa"/>
            <w:gridSpan w:val="4"/>
            <w:shd w:val="clear" w:color="auto" w:fill="D9D9D9"/>
            <w:vAlign w:val="center"/>
          </w:tcPr>
          <w:p w14:paraId="22A9491D" w14:textId="77777777" w:rsidR="002D58E4" w:rsidRDefault="00F721D4">
            <w:pPr>
              <w:jc w:val="center"/>
              <w:rPr>
                <w:b/>
                <w:sz w:val="20"/>
                <w:szCs w:val="20"/>
              </w:rPr>
            </w:pPr>
            <w:r>
              <w:rPr>
                <w:b/>
              </w:rPr>
              <w:t>Blood cultures (Sn range: 3.8% - 46.2%)</w:t>
            </w:r>
          </w:p>
        </w:tc>
      </w:tr>
      <w:tr w:rsidR="002D58E4" w14:paraId="04AEC642" w14:textId="77777777">
        <w:trPr>
          <w:jc w:val="center"/>
        </w:trPr>
        <w:tc>
          <w:tcPr>
            <w:tcW w:w="1041" w:type="dxa"/>
            <w:vAlign w:val="center"/>
          </w:tcPr>
          <w:p w14:paraId="23683426" w14:textId="77777777" w:rsidR="002D58E4" w:rsidRDefault="00F721D4">
            <w:pPr>
              <w:rPr>
                <w:sz w:val="20"/>
                <w:szCs w:val="20"/>
              </w:rPr>
            </w:pPr>
            <w:r>
              <w:rPr>
                <w:sz w:val="20"/>
                <w:szCs w:val="20"/>
              </w:rPr>
              <w:t>Arnez, 2001;</w:t>
            </w:r>
          </w:p>
          <w:p w14:paraId="6FA55830" w14:textId="77777777" w:rsidR="002D58E4" w:rsidRDefault="002D58E4">
            <w:pPr>
              <w:rPr>
                <w:sz w:val="20"/>
                <w:szCs w:val="20"/>
              </w:rPr>
            </w:pPr>
          </w:p>
          <w:p w14:paraId="35352718" w14:textId="77777777" w:rsidR="002D58E4" w:rsidRDefault="00F721D4">
            <w:pPr>
              <w:rPr>
                <w:sz w:val="20"/>
                <w:szCs w:val="20"/>
              </w:rPr>
            </w:pPr>
            <w:r>
              <w:rPr>
                <w:sz w:val="20"/>
                <w:szCs w:val="20"/>
              </w:rPr>
              <w:t>Slovenia</w:t>
            </w:r>
          </w:p>
        </w:tc>
        <w:tc>
          <w:tcPr>
            <w:tcW w:w="3743" w:type="dxa"/>
            <w:vAlign w:val="center"/>
          </w:tcPr>
          <w:p w14:paraId="53298EB9" w14:textId="77777777" w:rsidR="002D58E4" w:rsidRDefault="00F721D4">
            <w:pPr>
              <w:rPr>
                <w:sz w:val="20"/>
                <w:szCs w:val="20"/>
              </w:rPr>
            </w:pPr>
            <w:r>
              <w:rPr>
                <w:sz w:val="20"/>
                <w:szCs w:val="20"/>
              </w:rPr>
              <w:t>Blood samples from 134 consecutive patients age &lt;15 years old with solitary EM</w:t>
            </w:r>
          </w:p>
        </w:tc>
        <w:tc>
          <w:tcPr>
            <w:tcW w:w="4050" w:type="dxa"/>
            <w:vAlign w:val="center"/>
          </w:tcPr>
          <w:p w14:paraId="7C552239"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 xml:space="preserve">blood </w:t>
            </w:r>
            <w:r>
              <w:rPr>
                <w:b/>
                <w:sz w:val="20"/>
                <w:szCs w:val="20"/>
              </w:rPr>
              <w:t xml:space="preserve">culture using modified Kelly-Pettenkofer </w:t>
            </w:r>
            <w:r>
              <w:rPr>
                <w:sz w:val="20"/>
                <w:szCs w:val="20"/>
              </w:rPr>
              <w:t>medium.</w:t>
            </w:r>
          </w:p>
          <w:p w14:paraId="690EEECC" w14:textId="77777777" w:rsidR="002D58E4" w:rsidRDefault="00F721D4">
            <w:pPr>
              <w:rPr>
                <w:sz w:val="20"/>
                <w:szCs w:val="20"/>
              </w:rPr>
            </w:pPr>
            <w:r>
              <w:rPr>
                <w:sz w:val="20"/>
                <w:szCs w:val="20"/>
              </w:rPr>
              <w:t xml:space="preserve">Isolated </w:t>
            </w:r>
            <w:r>
              <w:rPr>
                <w:i/>
                <w:sz w:val="20"/>
                <w:szCs w:val="20"/>
              </w:rPr>
              <w:t>Borreliae</w:t>
            </w:r>
            <w:r>
              <w:rPr>
                <w:sz w:val="20"/>
                <w:szCs w:val="20"/>
              </w:rPr>
              <w:t xml:space="preserve"> were typed according to LRFP (large-restriction-fragment pattern) analysis.</w:t>
            </w:r>
          </w:p>
        </w:tc>
        <w:tc>
          <w:tcPr>
            <w:tcW w:w="5693" w:type="dxa"/>
            <w:vAlign w:val="center"/>
          </w:tcPr>
          <w:p w14:paraId="7CEBFF51" w14:textId="77777777" w:rsidR="002D58E4" w:rsidRDefault="00F721D4">
            <w:pPr>
              <w:rPr>
                <w:sz w:val="20"/>
                <w:szCs w:val="20"/>
              </w:rPr>
            </w:pPr>
            <w:r>
              <w:rPr>
                <w:i/>
                <w:sz w:val="20"/>
                <w:szCs w:val="20"/>
              </w:rPr>
              <w:t>B. burgdorferi</w:t>
            </w:r>
            <w:r>
              <w:rPr>
                <w:sz w:val="20"/>
                <w:szCs w:val="20"/>
              </w:rPr>
              <w:t xml:space="preserve"> </w:t>
            </w:r>
            <w:r>
              <w:rPr>
                <w:i/>
                <w:sz w:val="20"/>
                <w:szCs w:val="20"/>
              </w:rPr>
              <w:t>sensu lato</w:t>
            </w:r>
            <w:r>
              <w:rPr>
                <w:sz w:val="20"/>
                <w:szCs w:val="20"/>
              </w:rPr>
              <w:t xml:space="preserve"> was isolated in 12 of 134 (</w:t>
            </w:r>
            <w:r>
              <w:rPr>
                <w:b/>
                <w:sz w:val="20"/>
                <w:szCs w:val="20"/>
              </w:rPr>
              <w:t>Sn 9.0%)</w:t>
            </w:r>
            <w:r>
              <w:rPr>
                <w:sz w:val="20"/>
                <w:szCs w:val="20"/>
              </w:rPr>
              <w:t xml:space="preserve"> patients. Eleven blood isolates were typed: 10 were found to be </w:t>
            </w:r>
            <w:r>
              <w:rPr>
                <w:i/>
                <w:sz w:val="20"/>
                <w:szCs w:val="20"/>
              </w:rPr>
              <w:t>B. afzelii</w:t>
            </w:r>
            <w:r>
              <w:rPr>
                <w:sz w:val="20"/>
                <w:szCs w:val="20"/>
              </w:rPr>
              <w:t xml:space="preserve"> and 1 was </w:t>
            </w:r>
            <w:r>
              <w:rPr>
                <w:i/>
                <w:sz w:val="20"/>
                <w:szCs w:val="20"/>
              </w:rPr>
              <w:t>B. garinii.</w:t>
            </w:r>
          </w:p>
        </w:tc>
      </w:tr>
      <w:tr w:rsidR="002D58E4" w14:paraId="43ED474E" w14:textId="77777777">
        <w:trPr>
          <w:jc w:val="center"/>
        </w:trPr>
        <w:tc>
          <w:tcPr>
            <w:tcW w:w="1041" w:type="dxa"/>
            <w:vAlign w:val="center"/>
          </w:tcPr>
          <w:p w14:paraId="3FF880F5" w14:textId="77777777" w:rsidR="002D58E4" w:rsidRDefault="00F721D4">
            <w:pPr>
              <w:rPr>
                <w:sz w:val="20"/>
                <w:szCs w:val="20"/>
              </w:rPr>
            </w:pPr>
            <w:r>
              <w:rPr>
                <w:sz w:val="20"/>
                <w:szCs w:val="20"/>
              </w:rPr>
              <w:t>Benach, 1983;</w:t>
            </w:r>
          </w:p>
          <w:p w14:paraId="3B780C93" w14:textId="77777777" w:rsidR="002D58E4" w:rsidRDefault="002D58E4">
            <w:pPr>
              <w:rPr>
                <w:sz w:val="20"/>
                <w:szCs w:val="20"/>
              </w:rPr>
            </w:pPr>
          </w:p>
          <w:p w14:paraId="07872784" w14:textId="77777777" w:rsidR="002D58E4" w:rsidRDefault="00F721D4">
            <w:pPr>
              <w:rPr>
                <w:sz w:val="20"/>
                <w:szCs w:val="20"/>
              </w:rPr>
            </w:pPr>
            <w:r>
              <w:rPr>
                <w:sz w:val="20"/>
                <w:szCs w:val="20"/>
              </w:rPr>
              <w:t>NY state, USA</w:t>
            </w:r>
          </w:p>
        </w:tc>
        <w:tc>
          <w:tcPr>
            <w:tcW w:w="3743" w:type="dxa"/>
            <w:vAlign w:val="center"/>
          </w:tcPr>
          <w:p w14:paraId="6703AAB3" w14:textId="77777777" w:rsidR="002D58E4" w:rsidRDefault="00F721D4">
            <w:pPr>
              <w:rPr>
                <w:sz w:val="20"/>
                <w:szCs w:val="20"/>
              </w:rPr>
            </w:pPr>
            <w:r>
              <w:rPr>
                <w:sz w:val="20"/>
                <w:szCs w:val="20"/>
              </w:rPr>
              <w:t>Blood samples from 36 patients with EM</w:t>
            </w:r>
          </w:p>
        </w:tc>
        <w:tc>
          <w:tcPr>
            <w:tcW w:w="4050" w:type="dxa"/>
            <w:vAlign w:val="center"/>
          </w:tcPr>
          <w:p w14:paraId="12B87444" w14:textId="77777777" w:rsidR="002D58E4" w:rsidRDefault="00F721D4">
            <w:pPr>
              <w:rPr>
                <w:i/>
                <w:sz w:val="20"/>
                <w:szCs w:val="20"/>
              </w:rPr>
            </w:pPr>
            <w:r>
              <w:rPr>
                <w:i/>
                <w:sz w:val="20"/>
                <w:szCs w:val="20"/>
              </w:rPr>
              <w:t>B. burgdorferi</w:t>
            </w:r>
            <w:r>
              <w:rPr>
                <w:sz w:val="20"/>
                <w:szCs w:val="20"/>
              </w:rPr>
              <w:t xml:space="preserve"> </w:t>
            </w:r>
            <w:r>
              <w:rPr>
                <w:b/>
                <w:sz w:val="20"/>
                <w:szCs w:val="20"/>
                <w:u w:val="single"/>
              </w:rPr>
              <w:t xml:space="preserve">blood </w:t>
            </w:r>
            <w:r>
              <w:rPr>
                <w:b/>
                <w:sz w:val="20"/>
                <w:szCs w:val="20"/>
              </w:rPr>
              <w:t xml:space="preserve">culture </w:t>
            </w:r>
            <w:r>
              <w:rPr>
                <w:sz w:val="20"/>
                <w:szCs w:val="20"/>
              </w:rPr>
              <w:t>(medium unknown).</w:t>
            </w:r>
          </w:p>
        </w:tc>
        <w:tc>
          <w:tcPr>
            <w:tcW w:w="5693" w:type="dxa"/>
            <w:vAlign w:val="center"/>
          </w:tcPr>
          <w:p w14:paraId="49510302" w14:textId="77777777" w:rsidR="002D58E4" w:rsidRDefault="00F721D4">
            <w:pPr>
              <w:rPr>
                <w:i/>
                <w:sz w:val="20"/>
                <w:szCs w:val="20"/>
              </w:rPr>
            </w:pPr>
            <w:r>
              <w:rPr>
                <w:i/>
                <w:sz w:val="20"/>
                <w:szCs w:val="20"/>
              </w:rPr>
              <w:t>B. burgdorferi</w:t>
            </w:r>
            <w:r>
              <w:rPr>
                <w:sz w:val="20"/>
                <w:szCs w:val="20"/>
              </w:rPr>
              <w:t xml:space="preserve"> was cultured from the blood of 2 out of 36 patients (</w:t>
            </w:r>
            <w:r>
              <w:rPr>
                <w:b/>
                <w:sz w:val="20"/>
                <w:szCs w:val="20"/>
              </w:rPr>
              <w:t>Sn 5.6%</w:t>
            </w:r>
            <w:r>
              <w:rPr>
                <w:sz w:val="20"/>
                <w:szCs w:val="20"/>
              </w:rPr>
              <w:t>).</w:t>
            </w:r>
          </w:p>
        </w:tc>
      </w:tr>
      <w:tr w:rsidR="002D58E4" w14:paraId="33411560" w14:textId="77777777">
        <w:trPr>
          <w:jc w:val="center"/>
        </w:trPr>
        <w:tc>
          <w:tcPr>
            <w:tcW w:w="1041" w:type="dxa"/>
            <w:vAlign w:val="center"/>
          </w:tcPr>
          <w:p w14:paraId="00D5648A" w14:textId="77777777" w:rsidR="002D58E4" w:rsidRDefault="00F721D4">
            <w:pPr>
              <w:rPr>
                <w:sz w:val="20"/>
                <w:szCs w:val="20"/>
              </w:rPr>
            </w:pPr>
            <w:r>
              <w:rPr>
                <w:sz w:val="20"/>
                <w:szCs w:val="20"/>
              </w:rPr>
              <w:t>Berger, 1994;</w:t>
            </w:r>
          </w:p>
          <w:p w14:paraId="157EB683" w14:textId="77777777" w:rsidR="002D58E4" w:rsidRDefault="002D58E4">
            <w:pPr>
              <w:rPr>
                <w:sz w:val="20"/>
                <w:szCs w:val="20"/>
              </w:rPr>
            </w:pPr>
          </w:p>
          <w:p w14:paraId="392C71CB" w14:textId="77777777" w:rsidR="002D58E4" w:rsidRDefault="00F721D4">
            <w:pPr>
              <w:rPr>
                <w:sz w:val="20"/>
                <w:szCs w:val="20"/>
              </w:rPr>
            </w:pPr>
            <w:r>
              <w:rPr>
                <w:sz w:val="20"/>
                <w:szCs w:val="20"/>
              </w:rPr>
              <w:t>NY state, USA</w:t>
            </w:r>
          </w:p>
        </w:tc>
        <w:tc>
          <w:tcPr>
            <w:tcW w:w="3743" w:type="dxa"/>
            <w:vAlign w:val="center"/>
          </w:tcPr>
          <w:p w14:paraId="7916528B" w14:textId="77777777" w:rsidR="002D58E4" w:rsidRDefault="00F721D4">
            <w:pPr>
              <w:rPr>
                <w:sz w:val="20"/>
                <w:szCs w:val="20"/>
              </w:rPr>
            </w:pPr>
            <w:r>
              <w:rPr>
                <w:sz w:val="20"/>
                <w:szCs w:val="20"/>
              </w:rPr>
              <w:t>Blood samples from 52 patients with EM with or without</w:t>
            </w:r>
            <w:r>
              <w:t xml:space="preserve"> </w:t>
            </w:r>
            <w:r>
              <w:rPr>
                <w:sz w:val="20"/>
                <w:szCs w:val="20"/>
              </w:rPr>
              <w:t>extracutaneous signs and symptoms (early localized (n=18) or early disseminated (n=34) Lyme disease).</w:t>
            </w:r>
          </w:p>
        </w:tc>
        <w:tc>
          <w:tcPr>
            <w:tcW w:w="4050" w:type="dxa"/>
            <w:vAlign w:val="center"/>
          </w:tcPr>
          <w:p w14:paraId="6869A644"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 xml:space="preserve">blood </w:t>
            </w:r>
            <w:r>
              <w:rPr>
                <w:b/>
                <w:sz w:val="20"/>
                <w:szCs w:val="20"/>
              </w:rPr>
              <w:t>culture using</w:t>
            </w:r>
            <w:r>
              <w:rPr>
                <w:sz w:val="20"/>
                <w:szCs w:val="20"/>
              </w:rPr>
              <w:t xml:space="preserve"> </w:t>
            </w:r>
            <w:r>
              <w:rPr>
                <w:b/>
                <w:sz w:val="20"/>
                <w:szCs w:val="20"/>
              </w:rPr>
              <w:t>modified BSK</w:t>
            </w:r>
            <w:r>
              <w:rPr>
                <w:sz w:val="20"/>
                <w:szCs w:val="20"/>
              </w:rPr>
              <w:t xml:space="preserve"> </w:t>
            </w:r>
            <w:r>
              <w:rPr>
                <w:b/>
                <w:sz w:val="20"/>
                <w:szCs w:val="20"/>
              </w:rPr>
              <w:t>medium.</w:t>
            </w:r>
          </w:p>
        </w:tc>
        <w:tc>
          <w:tcPr>
            <w:tcW w:w="5693" w:type="dxa"/>
            <w:vAlign w:val="center"/>
          </w:tcPr>
          <w:p w14:paraId="381C5DA3" w14:textId="77777777" w:rsidR="002D58E4" w:rsidRDefault="00F721D4">
            <w:pPr>
              <w:rPr>
                <w:sz w:val="20"/>
                <w:szCs w:val="20"/>
              </w:rPr>
            </w:pPr>
            <w:r>
              <w:rPr>
                <w:i/>
                <w:sz w:val="20"/>
                <w:szCs w:val="20"/>
              </w:rPr>
              <w:t>B. burgdorferi</w:t>
            </w:r>
            <w:r>
              <w:rPr>
                <w:sz w:val="20"/>
                <w:szCs w:val="20"/>
              </w:rPr>
              <w:t xml:space="preserve"> was cultured from the blood of 2 out of 52 patients with EM (</w:t>
            </w:r>
            <w:r>
              <w:rPr>
                <w:b/>
                <w:sz w:val="20"/>
                <w:szCs w:val="20"/>
              </w:rPr>
              <w:t>Sn 3.8%</w:t>
            </w:r>
            <w:r>
              <w:rPr>
                <w:sz w:val="20"/>
                <w:szCs w:val="20"/>
              </w:rPr>
              <w:t xml:space="preserve">). The authors concluded that the blood culture of </w:t>
            </w:r>
            <w:r>
              <w:rPr>
                <w:i/>
                <w:sz w:val="20"/>
                <w:szCs w:val="20"/>
              </w:rPr>
              <w:t>B. burgdorferi</w:t>
            </w:r>
            <w:r>
              <w:rPr>
                <w:sz w:val="20"/>
                <w:szCs w:val="20"/>
              </w:rPr>
              <w:t xml:space="preserve"> did not appear to be an efficacious procedure to confirm the diagnosis of early Lyme disease.</w:t>
            </w:r>
          </w:p>
        </w:tc>
      </w:tr>
      <w:tr w:rsidR="002D58E4" w14:paraId="22109073" w14:textId="77777777">
        <w:trPr>
          <w:jc w:val="center"/>
        </w:trPr>
        <w:tc>
          <w:tcPr>
            <w:tcW w:w="1041" w:type="dxa"/>
            <w:vAlign w:val="center"/>
          </w:tcPr>
          <w:p w14:paraId="62DDD193" w14:textId="77777777" w:rsidR="002D58E4" w:rsidRDefault="00F721D4">
            <w:pPr>
              <w:rPr>
                <w:sz w:val="20"/>
                <w:szCs w:val="20"/>
              </w:rPr>
            </w:pPr>
            <w:r>
              <w:rPr>
                <w:sz w:val="20"/>
                <w:szCs w:val="20"/>
              </w:rPr>
              <w:t>Liveris, 2011;</w:t>
            </w:r>
          </w:p>
          <w:p w14:paraId="72BDDC1A" w14:textId="77777777" w:rsidR="002D58E4" w:rsidRDefault="002D58E4">
            <w:pPr>
              <w:rPr>
                <w:sz w:val="20"/>
                <w:szCs w:val="20"/>
              </w:rPr>
            </w:pPr>
          </w:p>
          <w:p w14:paraId="78B1BA44" w14:textId="77777777" w:rsidR="002D58E4" w:rsidRDefault="00F721D4">
            <w:pPr>
              <w:rPr>
                <w:sz w:val="20"/>
                <w:szCs w:val="20"/>
              </w:rPr>
            </w:pPr>
            <w:r>
              <w:rPr>
                <w:sz w:val="20"/>
                <w:szCs w:val="20"/>
              </w:rPr>
              <w:t>NY state, USA</w:t>
            </w:r>
          </w:p>
        </w:tc>
        <w:tc>
          <w:tcPr>
            <w:tcW w:w="3743" w:type="dxa"/>
            <w:vAlign w:val="center"/>
          </w:tcPr>
          <w:p w14:paraId="5543C766" w14:textId="77777777" w:rsidR="002D58E4" w:rsidRDefault="00F721D4">
            <w:pPr>
              <w:rPr>
                <w:sz w:val="20"/>
                <w:szCs w:val="20"/>
              </w:rPr>
            </w:pPr>
            <w:r>
              <w:rPr>
                <w:sz w:val="20"/>
                <w:szCs w:val="20"/>
              </w:rPr>
              <w:t>Blood (plasma) samples from 65 patients with EM.</w:t>
            </w:r>
          </w:p>
        </w:tc>
        <w:tc>
          <w:tcPr>
            <w:tcW w:w="4050" w:type="dxa"/>
            <w:vAlign w:val="center"/>
          </w:tcPr>
          <w:p w14:paraId="24458845"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 xml:space="preserve">blood (plasma) </w:t>
            </w:r>
            <w:r>
              <w:rPr>
                <w:b/>
                <w:sz w:val="20"/>
                <w:szCs w:val="20"/>
              </w:rPr>
              <w:t>culture using BSK medium</w:t>
            </w:r>
            <w:r>
              <w:rPr>
                <w:sz w:val="20"/>
                <w:szCs w:val="20"/>
              </w:rPr>
              <w:t xml:space="preserve"> with </w:t>
            </w:r>
            <w:r>
              <w:rPr>
                <w:b/>
                <w:sz w:val="20"/>
                <w:szCs w:val="20"/>
              </w:rPr>
              <w:t>detection amplified by testing aliquots with qPCR</w:t>
            </w:r>
            <w:r>
              <w:rPr>
                <w:sz w:val="20"/>
                <w:szCs w:val="20"/>
              </w:rPr>
              <w:t xml:space="preserve"> (a combined culture-quantitative PCR).</w:t>
            </w:r>
          </w:p>
        </w:tc>
        <w:tc>
          <w:tcPr>
            <w:tcW w:w="5693" w:type="dxa"/>
            <w:vAlign w:val="center"/>
          </w:tcPr>
          <w:p w14:paraId="1A898E58" w14:textId="77777777" w:rsidR="002D58E4" w:rsidRDefault="00F721D4">
            <w:pPr>
              <w:rPr>
                <w:sz w:val="20"/>
                <w:szCs w:val="20"/>
              </w:rPr>
            </w:pPr>
            <w:r>
              <w:rPr>
                <w:sz w:val="20"/>
                <w:szCs w:val="20"/>
              </w:rPr>
              <w:t xml:space="preserve">When using simple </w:t>
            </w:r>
            <w:r>
              <w:rPr>
                <w:b/>
                <w:sz w:val="20"/>
                <w:szCs w:val="20"/>
              </w:rPr>
              <w:t>microscopic detection</w:t>
            </w:r>
            <w:r>
              <w:rPr>
                <w:sz w:val="20"/>
                <w:szCs w:val="20"/>
              </w:rPr>
              <w:t xml:space="preserve"> of </w:t>
            </w:r>
            <w:r>
              <w:rPr>
                <w:i/>
                <w:sz w:val="20"/>
                <w:szCs w:val="20"/>
              </w:rPr>
              <w:t>B. burgdorferi</w:t>
            </w:r>
            <w:r>
              <w:rPr>
                <w:sz w:val="20"/>
                <w:szCs w:val="20"/>
              </w:rPr>
              <w:t xml:space="preserve"> in BSK cultures, plasma samples of 30 patients were culture-positive (</w:t>
            </w:r>
            <w:r>
              <w:rPr>
                <w:b/>
                <w:sz w:val="20"/>
                <w:szCs w:val="20"/>
              </w:rPr>
              <w:t>Sn 46.2%</w:t>
            </w:r>
            <w:r>
              <w:rPr>
                <w:sz w:val="20"/>
                <w:szCs w:val="20"/>
              </w:rPr>
              <w:t xml:space="preserve">). </w:t>
            </w:r>
          </w:p>
          <w:p w14:paraId="2A268031" w14:textId="77777777" w:rsidR="002D58E4" w:rsidRDefault="00F721D4">
            <w:pPr>
              <w:rPr>
                <w:sz w:val="20"/>
                <w:szCs w:val="20"/>
              </w:rPr>
            </w:pPr>
            <w:r>
              <w:rPr>
                <w:sz w:val="20"/>
                <w:szCs w:val="20"/>
              </w:rPr>
              <w:t xml:space="preserve">The </w:t>
            </w:r>
            <w:r>
              <w:rPr>
                <w:b/>
                <w:sz w:val="20"/>
                <w:szCs w:val="20"/>
              </w:rPr>
              <w:t>combined culture-qPCR technique</w:t>
            </w:r>
            <w:r>
              <w:rPr>
                <w:sz w:val="20"/>
                <w:szCs w:val="20"/>
              </w:rPr>
              <w:t xml:space="preserve"> yielded 46 positive patients, including all the (+) patients revealed with simple microscopic detection (</w:t>
            </w:r>
            <w:r>
              <w:rPr>
                <w:b/>
                <w:sz w:val="20"/>
                <w:szCs w:val="20"/>
              </w:rPr>
              <w:t>Sn 70.8%</w:t>
            </w:r>
            <w:r>
              <w:rPr>
                <w:sz w:val="20"/>
                <w:szCs w:val="20"/>
              </w:rPr>
              <w:t>).</w:t>
            </w:r>
          </w:p>
        </w:tc>
      </w:tr>
      <w:tr w:rsidR="002D58E4" w14:paraId="744C2F76" w14:textId="77777777">
        <w:trPr>
          <w:jc w:val="center"/>
        </w:trPr>
        <w:tc>
          <w:tcPr>
            <w:tcW w:w="1041" w:type="dxa"/>
            <w:vAlign w:val="center"/>
          </w:tcPr>
          <w:p w14:paraId="70824B8A" w14:textId="77777777" w:rsidR="002D58E4" w:rsidRDefault="00F721D4">
            <w:pPr>
              <w:rPr>
                <w:sz w:val="20"/>
                <w:szCs w:val="20"/>
              </w:rPr>
            </w:pPr>
            <w:r>
              <w:rPr>
                <w:sz w:val="20"/>
                <w:szCs w:val="20"/>
              </w:rPr>
              <w:lastRenderedPageBreak/>
              <w:t>Wormser, 1998;</w:t>
            </w:r>
          </w:p>
          <w:p w14:paraId="5198DD13" w14:textId="77777777" w:rsidR="002D58E4" w:rsidRDefault="00F721D4">
            <w:pPr>
              <w:rPr>
                <w:sz w:val="20"/>
                <w:szCs w:val="20"/>
              </w:rPr>
            </w:pPr>
            <w:r>
              <w:rPr>
                <w:sz w:val="20"/>
                <w:szCs w:val="20"/>
              </w:rPr>
              <w:t>NY state, USA</w:t>
            </w:r>
          </w:p>
        </w:tc>
        <w:tc>
          <w:tcPr>
            <w:tcW w:w="3743" w:type="dxa"/>
            <w:vAlign w:val="center"/>
          </w:tcPr>
          <w:p w14:paraId="70660A20" w14:textId="77777777" w:rsidR="002D58E4" w:rsidRDefault="00F721D4">
            <w:pPr>
              <w:rPr>
                <w:sz w:val="20"/>
                <w:szCs w:val="20"/>
              </w:rPr>
            </w:pPr>
            <w:r>
              <w:rPr>
                <w:sz w:val="20"/>
                <w:szCs w:val="20"/>
              </w:rPr>
              <w:t xml:space="preserve">The study determined the effect on the culture positivity rate of culturing different volumes of blood and of culturing </w:t>
            </w:r>
            <w:r>
              <w:rPr>
                <w:b/>
                <w:sz w:val="20"/>
                <w:szCs w:val="20"/>
              </w:rPr>
              <w:t>whole blood or serum from patients with EM.</w:t>
            </w:r>
            <w:r>
              <w:rPr>
                <w:sz w:val="20"/>
                <w:szCs w:val="20"/>
              </w:rPr>
              <w:t xml:space="preserve"> </w:t>
            </w:r>
          </w:p>
        </w:tc>
        <w:tc>
          <w:tcPr>
            <w:tcW w:w="4050" w:type="dxa"/>
            <w:vAlign w:val="center"/>
          </w:tcPr>
          <w:p w14:paraId="159F60DE" w14:textId="77777777" w:rsidR="002D58E4" w:rsidRDefault="00F721D4">
            <w:pPr>
              <w:rPr>
                <w:sz w:val="20"/>
                <w:szCs w:val="20"/>
              </w:rPr>
            </w:pPr>
            <w:r>
              <w:rPr>
                <w:sz w:val="20"/>
                <w:szCs w:val="20"/>
              </w:rPr>
              <w:t xml:space="preserve">Three 3-ml samples of whole blood and three 3-ml samples of serum per patient were collected from a group of patients (group 1; n=31).  In addition, six 3-ml samples of serum per patient were collected from another group of patients (group 2; n=26) a year later. </w:t>
            </w:r>
          </w:p>
          <w:p w14:paraId="1E53E637" w14:textId="77777777" w:rsidR="002D58E4" w:rsidRDefault="00F721D4">
            <w:pPr>
              <w:rPr>
                <w:sz w:val="20"/>
                <w:szCs w:val="20"/>
              </w:rPr>
            </w:pPr>
            <w:r>
              <w:rPr>
                <w:sz w:val="20"/>
                <w:szCs w:val="20"/>
              </w:rPr>
              <w:t>The samples (</w:t>
            </w:r>
            <w:r>
              <w:rPr>
                <w:b/>
                <w:sz w:val="20"/>
                <w:szCs w:val="20"/>
                <w:u w:val="single"/>
              </w:rPr>
              <w:t xml:space="preserve">blood vs. serum) </w:t>
            </w:r>
            <w:r>
              <w:rPr>
                <w:sz w:val="20"/>
                <w:szCs w:val="20"/>
              </w:rPr>
              <w:t xml:space="preserve">were cultured for </w:t>
            </w:r>
            <w:r>
              <w:rPr>
                <w:i/>
                <w:sz w:val="20"/>
                <w:szCs w:val="20"/>
              </w:rPr>
              <w:t>B. burgdorferi</w:t>
            </w:r>
            <w:r>
              <w:rPr>
                <w:sz w:val="20"/>
                <w:szCs w:val="20"/>
              </w:rPr>
              <w:t xml:space="preserve"> </w:t>
            </w:r>
            <w:r>
              <w:rPr>
                <w:b/>
                <w:sz w:val="20"/>
                <w:szCs w:val="20"/>
              </w:rPr>
              <w:t>using</w:t>
            </w:r>
            <w:r>
              <w:rPr>
                <w:sz w:val="20"/>
                <w:szCs w:val="20"/>
              </w:rPr>
              <w:t xml:space="preserve"> </w:t>
            </w:r>
            <w:r>
              <w:rPr>
                <w:b/>
                <w:sz w:val="20"/>
                <w:szCs w:val="20"/>
              </w:rPr>
              <w:t>BSK</w:t>
            </w:r>
            <w:r>
              <w:rPr>
                <w:sz w:val="20"/>
                <w:szCs w:val="20"/>
              </w:rPr>
              <w:t xml:space="preserve"> </w:t>
            </w:r>
            <w:r>
              <w:rPr>
                <w:b/>
                <w:sz w:val="20"/>
                <w:szCs w:val="20"/>
              </w:rPr>
              <w:t>medium.</w:t>
            </w:r>
          </w:p>
        </w:tc>
        <w:tc>
          <w:tcPr>
            <w:tcW w:w="5693" w:type="dxa"/>
            <w:vAlign w:val="center"/>
          </w:tcPr>
          <w:p w14:paraId="13B37CFD" w14:textId="77777777" w:rsidR="002D58E4" w:rsidRDefault="00F721D4">
            <w:pPr>
              <w:rPr>
                <w:sz w:val="20"/>
                <w:szCs w:val="20"/>
              </w:rPr>
            </w:pPr>
            <w:r>
              <w:rPr>
                <w:sz w:val="20"/>
                <w:szCs w:val="20"/>
              </w:rPr>
              <w:t xml:space="preserve">8/31 </w:t>
            </w:r>
            <w:r>
              <w:rPr>
                <w:b/>
                <w:sz w:val="20"/>
                <w:szCs w:val="20"/>
              </w:rPr>
              <w:t>(25.8%)</w:t>
            </w:r>
            <w:r>
              <w:rPr>
                <w:sz w:val="20"/>
                <w:szCs w:val="20"/>
              </w:rPr>
              <w:t xml:space="preserve"> of the patients in group 1 had a positive </w:t>
            </w:r>
            <w:r>
              <w:rPr>
                <w:b/>
                <w:sz w:val="20"/>
                <w:szCs w:val="20"/>
              </w:rPr>
              <w:t>whole-blood or serum</w:t>
            </w:r>
            <w:r>
              <w:rPr>
                <w:sz w:val="20"/>
                <w:szCs w:val="20"/>
              </w:rPr>
              <w:t xml:space="preserve"> culture.  </w:t>
            </w:r>
            <w:r>
              <w:rPr>
                <w:b/>
                <w:sz w:val="20"/>
                <w:szCs w:val="20"/>
              </w:rPr>
              <w:t>Whole blood</w:t>
            </w:r>
            <w:r>
              <w:rPr>
                <w:sz w:val="20"/>
                <w:szCs w:val="20"/>
              </w:rPr>
              <w:t xml:space="preserve"> was culture-positive for 3 (</w:t>
            </w:r>
            <w:r>
              <w:rPr>
                <w:b/>
                <w:sz w:val="20"/>
                <w:szCs w:val="20"/>
              </w:rPr>
              <w:t>10.0%)</w:t>
            </w:r>
            <w:r>
              <w:rPr>
                <w:sz w:val="20"/>
                <w:szCs w:val="20"/>
              </w:rPr>
              <w:t xml:space="preserve"> of the 30 evaluable patients, whereas </w:t>
            </w:r>
            <w:r>
              <w:rPr>
                <w:b/>
                <w:sz w:val="20"/>
                <w:szCs w:val="20"/>
              </w:rPr>
              <w:t>serum</w:t>
            </w:r>
            <w:r>
              <w:rPr>
                <w:sz w:val="20"/>
                <w:szCs w:val="20"/>
              </w:rPr>
              <w:t xml:space="preserve"> cultures were positive for 6/31 (</w:t>
            </w:r>
            <w:r>
              <w:rPr>
                <w:b/>
                <w:sz w:val="20"/>
                <w:szCs w:val="20"/>
              </w:rPr>
              <w:t>19.4%)</w:t>
            </w:r>
            <w:r>
              <w:rPr>
                <w:sz w:val="20"/>
                <w:szCs w:val="20"/>
              </w:rPr>
              <w:t xml:space="preserve"> of patients (P=0.47).  </w:t>
            </w:r>
          </w:p>
          <w:p w14:paraId="67CEA171" w14:textId="77777777" w:rsidR="002D58E4" w:rsidRDefault="002D58E4">
            <w:pPr>
              <w:rPr>
                <w:sz w:val="20"/>
                <w:szCs w:val="20"/>
              </w:rPr>
            </w:pPr>
          </w:p>
          <w:p w14:paraId="7D145A58" w14:textId="77777777" w:rsidR="002D58E4" w:rsidRDefault="00F721D4">
            <w:pPr>
              <w:rPr>
                <w:sz w:val="20"/>
                <w:szCs w:val="20"/>
              </w:rPr>
            </w:pPr>
            <w:r>
              <w:rPr>
                <w:sz w:val="20"/>
                <w:szCs w:val="20"/>
              </w:rPr>
              <w:t xml:space="preserve">In group 2, </w:t>
            </w:r>
            <w:r>
              <w:rPr>
                <w:b/>
                <w:sz w:val="20"/>
                <w:szCs w:val="20"/>
              </w:rPr>
              <w:t>serum</w:t>
            </w:r>
            <w:r>
              <w:rPr>
                <w:sz w:val="20"/>
                <w:szCs w:val="20"/>
              </w:rPr>
              <w:t xml:space="preserve"> samples of 7/26 of patients</w:t>
            </w:r>
            <w:r>
              <w:rPr>
                <w:b/>
                <w:sz w:val="20"/>
                <w:szCs w:val="20"/>
              </w:rPr>
              <w:t xml:space="preserve"> (26.9%)</w:t>
            </w:r>
            <w:r>
              <w:rPr>
                <w:sz w:val="20"/>
                <w:szCs w:val="20"/>
              </w:rPr>
              <w:t xml:space="preserve"> were culture positive for </w:t>
            </w:r>
            <w:r>
              <w:rPr>
                <w:i/>
                <w:sz w:val="20"/>
                <w:szCs w:val="20"/>
              </w:rPr>
              <w:t>B. burgdorferi.</w:t>
            </w:r>
          </w:p>
          <w:p w14:paraId="10DACA32" w14:textId="77777777" w:rsidR="002D58E4" w:rsidRDefault="002D58E4">
            <w:pPr>
              <w:rPr>
                <w:sz w:val="20"/>
                <w:szCs w:val="20"/>
              </w:rPr>
            </w:pPr>
          </w:p>
          <w:p w14:paraId="348BAD1E" w14:textId="77777777" w:rsidR="002D58E4" w:rsidRDefault="00F721D4">
            <w:pPr>
              <w:rPr>
                <w:sz w:val="20"/>
                <w:szCs w:val="20"/>
              </w:rPr>
            </w:pPr>
            <w:r>
              <w:rPr>
                <w:sz w:val="20"/>
                <w:szCs w:val="20"/>
              </w:rPr>
              <w:t>The authors concluded that serum was preferable to whole blood as a source of culture material, and that the volume of</w:t>
            </w:r>
          </w:p>
          <w:p w14:paraId="6D7D2047" w14:textId="77777777" w:rsidR="002D58E4" w:rsidRDefault="00F721D4">
            <w:pPr>
              <w:rPr>
                <w:sz w:val="20"/>
                <w:szCs w:val="20"/>
              </w:rPr>
            </w:pPr>
            <w:r>
              <w:rPr>
                <w:sz w:val="20"/>
                <w:szCs w:val="20"/>
              </w:rPr>
              <w:t xml:space="preserve">blood cultured correlated directly with yield. </w:t>
            </w:r>
          </w:p>
        </w:tc>
      </w:tr>
      <w:tr w:rsidR="002D58E4" w14:paraId="22CFBCFF" w14:textId="77777777">
        <w:trPr>
          <w:jc w:val="center"/>
        </w:trPr>
        <w:tc>
          <w:tcPr>
            <w:tcW w:w="14527" w:type="dxa"/>
            <w:gridSpan w:val="4"/>
            <w:shd w:val="clear" w:color="auto" w:fill="D9D9D9"/>
            <w:vAlign w:val="center"/>
          </w:tcPr>
          <w:p w14:paraId="29C5C2D2" w14:textId="77777777" w:rsidR="002D58E4" w:rsidRDefault="00F721D4">
            <w:pPr>
              <w:jc w:val="center"/>
              <w:rPr>
                <w:sz w:val="20"/>
                <w:szCs w:val="20"/>
              </w:rPr>
            </w:pPr>
            <w:r>
              <w:rPr>
                <w:b/>
              </w:rPr>
              <w:t>Skin or blood cultures</w:t>
            </w:r>
          </w:p>
        </w:tc>
      </w:tr>
      <w:tr w:rsidR="002D58E4" w14:paraId="491EAAF7" w14:textId="77777777">
        <w:trPr>
          <w:jc w:val="center"/>
        </w:trPr>
        <w:tc>
          <w:tcPr>
            <w:tcW w:w="1041" w:type="dxa"/>
            <w:vAlign w:val="center"/>
          </w:tcPr>
          <w:p w14:paraId="169239C9" w14:textId="77777777" w:rsidR="002D58E4" w:rsidRDefault="00F721D4">
            <w:pPr>
              <w:rPr>
                <w:sz w:val="20"/>
                <w:szCs w:val="20"/>
              </w:rPr>
            </w:pPr>
            <w:r>
              <w:rPr>
                <w:sz w:val="20"/>
                <w:szCs w:val="20"/>
              </w:rPr>
              <w:t>Liveris, 2012 (</w:t>
            </w:r>
            <w:r>
              <w:rPr>
                <w:i/>
                <w:sz w:val="20"/>
                <w:szCs w:val="20"/>
              </w:rPr>
              <w:t>see below</w:t>
            </w:r>
            <w:r>
              <w:rPr>
                <w:sz w:val="20"/>
                <w:szCs w:val="20"/>
              </w:rPr>
              <w:t>);</w:t>
            </w:r>
          </w:p>
          <w:p w14:paraId="02BFA1E0" w14:textId="77777777" w:rsidR="002D58E4" w:rsidRDefault="002D58E4">
            <w:pPr>
              <w:rPr>
                <w:sz w:val="20"/>
                <w:szCs w:val="20"/>
              </w:rPr>
            </w:pPr>
          </w:p>
          <w:p w14:paraId="0CB1B74A" w14:textId="77777777" w:rsidR="002D58E4" w:rsidRDefault="00F721D4">
            <w:pPr>
              <w:rPr>
                <w:sz w:val="20"/>
                <w:szCs w:val="20"/>
              </w:rPr>
            </w:pPr>
            <w:r>
              <w:rPr>
                <w:sz w:val="20"/>
                <w:szCs w:val="20"/>
              </w:rPr>
              <w:t>NY, USA</w:t>
            </w:r>
          </w:p>
        </w:tc>
        <w:tc>
          <w:tcPr>
            <w:tcW w:w="3743" w:type="dxa"/>
            <w:vAlign w:val="center"/>
          </w:tcPr>
          <w:p w14:paraId="18D14C1B" w14:textId="77777777" w:rsidR="002D58E4" w:rsidRDefault="00F721D4">
            <w:pPr>
              <w:rPr>
                <w:sz w:val="20"/>
                <w:szCs w:val="20"/>
              </w:rPr>
            </w:pPr>
            <w:r>
              <w:rPr>
                <w:sz w:val="20"/>
                <w:szCs w:val="20"/>
              </w:rPr>
              <w:t>Blood (plasma) samples and skin biopsy specimens from 66 patients with untreated EM</w:t>
            </w:r>
          </w:p>
        </w:tc>
        <w:tc>
          <w:tcPr>
            <w:tcW w:w="4050" w:type="dxa"/>
            <w:vAlign w:val="center"/>
          </w:tcPr>
          <w:p w14:paraId="30617773" w14:textId="77777777" w:rsidR="002D58E4" w:rsidRDefault="00F721D4">
            <w:pPr>
              <w:rPr>
                <w:sz w:val="20"/>
                <w:szCs w:val="20"/>
              </w:rPr>
            </w:pPr>
            <w:r>
              <w:rPr>
                <w:sz w:val="20"/>
                <w:szCs w:val="20"/>
              </w:rPr>
              <w:t>Evaluated the sensitivity of 5 direct diagnostic methods (</w:t>
            </w:r>
            <w:r>
              <w:rPr>
                <w:b/>
                <w:sz w:val="20"/>
                <w:szCs w:val="20"/>
              </w:rPr>
              <w:t>culture</w:t>
            </w:r>
            <w:r>
              <w:rPr>
                <w:sz w:val="20"/>
                <w:szCs w:val="20"/>
              </w:rPr>
              <w:t xml:space="preserve"> and nested PCR </w:t>
            </w:r>
            <w:r>
              <w:rPr>
                <w:b/>
                <w:sz w:val="20"/>
                <w:szCs w:val="20"/>
              </w:rPr>
              <w:t xml:space="preserve">of a 2-mm </w:t>
            </w:r>
            <w:r>
              <w:rPr>
                <w:b/>
                <w:sz w:val="20"/>
                <w:szCs w:val="20"/>
                <w:u w:val="single"/>
              </w:rPr>
              <w:t xml:space="preserve">skin </w:t>
            </w:r>
            <w:r>
              <w:rPr>
                <w:b/>
                <w:sz w:val="20"/>
                <w:szCs w:val="20"/>
              </w:rPr>
              <w:t xml:space="preserve">biopsy </w:t>
            </w:r>
            <w:r>
              <w:rPr>
                <w:sz w:val="20"/>
                <w:szCs w:val="20"/>
              </w:rPr>
              <w:t xml:space="preserve">specimen, nested PCR (nPCR) and quantitative PCR (qPCR) performed on the same 1-mL aliquot of plasma, and a novel </w:t>
            </w:r>
            <w:r>
              <w:rPr>
                <w:b/>
                <w:sz w:val="20"/>
                <w:szCs w:val="20"/>
              </w:rPr>
              <w:t>qPCR–</w:t>
            </w:r>
            <w:r>
              <w:rPr>
                <w:b/>
                <w:sz w:val="20"/>
                <w:szCs w:val="20"/>
                <w:u w:val="single"/>
              </w:rPr>
              <w:t>blood</w:t>
            </w:r>
            <w:r>
              <w:rPr>
                <w:b/>
                <w:sz w:val="20"/>
                <w:szCs w:val="20"/>
              </w:rPr>
              <w:t xml:space="preserve"> culture</w:t>
            </w:r>
            <w:r>
              <w:rPr>
                <w:sz w:val="20"/>
                <w:szCs w:val="20"/>
              </w:rPr>
              <w:t xml:space="preserve"> method)</w:t>
            </w:r>
          </w:p>
        </w:tc>
        <w:tc>
          <w:tcPr>
            <w:tcW w:w="5693" w:type="dxa"/>
            <w:vAlign w:val="center"/>
          </w:tcPr>
          <w:p w14:paraId="26304498" w14:textId="77777777" w:rsidR="002D58E4" w:rsidRDefault="00F721D4">
            <w:pPr>
              <w:rPr>
                <w:sz w:val="20"/>
                <w:szCs w:val="20"/>
              </w:rPr>
            </w:pPr>
            <w:r>
              <w:rPr>
                <w:b/>
                <w:sz w:val="20"/>
                <w:szCs w:val="20"/>
              </w:rPr>
              <w:t xml:space="preserve">Standard culture of </w:t>
            </w:r>
            <w:r>
              <w:rPr>
                <w:b/>
                <w:sz w:val="20"/>
                <w:szCs w:val="20"/>
                <w:u w:val="single"/>
              </w:rPr>
              <w:t>skin</w:t>
            </w:r>
            <w:r>
              <w:rPr>
                <w:sz w:val="20"/>
                <w:szCs w:val="20"/>
              </w:rPr>
              <w:t xml:space="preserve"> samples was positive in 34 out of 55 patients (</w:t>
            </w:r>
            <w:r>
              <w:rPr>
                <w:b/>
                <w:sz w:val="20"/>
                <w:szCs w:val="20"/>
              </w:rPr>
              <w:t>Sn 61.8%</w:t>
            </w:r>
            <w:r>
              <w:rPr>
                <w:sz w:val="20"/>
                <w:szCs w:val="20"/>
              </w:rPr>
              <w:t xml:space="preserve">); </w:t>
            </w:r>
          </w:p>
          <w:p w14:paraId="24C433D4" w14:textId="77777777" w:rsidR="002D58E4" w:rsidRDefault="00F721D4">
            <w:pPr>
              <w:rPr>
                <w:sz w:val="20"/>
                <w:szCs w:val="20"/>
              </w:rPr>
            </w:pPr>
            <w:r>
              <w:rPr>
                <w:sz w:val="20"/>
                <w:szCs w:val="20"/>
              </w:rPr>
              <w:t xml:space="preserve">A combined </w:t>
            </w:r>
            <w:r>
              <w:rPr>
                <w:b/>
                <w:sz w:val="20"/>
                <w:szCs w:val="20"/>
              </w:rPr>
              <w:t xml:space="preserve">qPCR </w:t>
            </w:r>
            <w:r>
              <w:rPr>
                <w:b/>
                <w:sz w:val="20"/>
                <w:szCs w:val="20"/>
                <w:u w:val="single"/>
              </w:rPr>
              <w:t>blood</w:t>
            </w:r>
            <w:r>
              <w:rPr>
                <w:b/>
                <w:sz w:val="20"/>
                <w:szCs w:val="20"/>
              </w:rPr>
              <w:t xml:space="preserve"> culture</w:t>
            </w:r>
            <w:r>
              <w:rPr>
                <w:sz w:val="20"/>
                <w:szCs w:val="20"/>
              </w:rPr>
              <w:t xml:space="preserve"> was positive in 46 out of 65 patients (</w:t>
            </w:r>
            <w:r>
              <w:rPr>
                <w:b/>
                <w:sz w:val="20"/>
                <w:szCs w:val="20"/>
              </w:rPr>
              <w:t>Sn 70.8%</w:t>
            </w:r>
            <w:r>
              <w:rPr>
                <w:sz w:val="20"/>
                <w:szCs w:val="20"/>
              </w:rPr>
              <w:t xml:space="preserve">). </w:t>
            </w:r>
          </w:p>
          <w:p w14:paraId="16051B7B" w14:textId="77777777" w:rsidR="002D58E4" w:rsidRDefault="002D58E4">
            <w:pPr>
              <w:rPr>
                <w:sz w:val="20"/>
                <w:szCs w:val="20"/>
              </w:rPr>
            </w:pPr>
          </w:p>
          <w:p w14:paraId="5CFBF624" w14:textId="77777777" w:rsidR="002D58E4" w:rsidRDefault="00F721D4">
            <w:pPr>
              <w:rPr>
                <w:sz w:val="20"/>
                <w:szCs w:val="20"/>
              </w:rPr>
            </w:pPr>
            <w:r>
              <w:rPr>
                <w:sz w:val="20"/>
                <w:szCs w:val="20"/>
              </w:rPr>
              <w:t>Culture was more sensitive than PCR for both skin and blood, but the difference was only statistically significant for blood samples (P&lt;0.005).</w:t>
            </w:r>
          </w:p>
        </w:tc>
      </w:tr>
      <w:tr w:rsidR="002D58E4" w14:paraId="361B129C" w14:textId="77777777">
        <w:trPr>
          <w:jc w:val="center"/>
        </w:trPr>
        <w:tc>
          <w:tcPr>
            <w:tcW w:w="1041" w:type="dxa"/>
            <w:vAlign w:val="center"/>
          </w:tcPr>
          <w:p w14:paraId="3891ACD5" w14:textId="77777777" w:rsidR="002D58E4" w:rsidRDefault="00F721D4">
            <w:pPr>
              <w:rPr>
                <w:sz w:val="20"/>
                <w:szCs w:val="20"/>
              </w:rPr>
            </w:pPr>
            <w:r>
              <w:rPr>
                <w:sz w:val="20"/>
                <w:szCs w:val="20"/>
              </w:rPr>
              <w:t>Nowakowski, 2001 (</w:t>
            </w:r>
            <w:r>
              <w:rPr>
                <w:i/>
                <w:sz w:val="20"/>
                <w:szCs w:val="20"/>
              </w:rPr>
              <w:t>see below</w:t>
            </w:r>
            <w:r>
              <w:rPr>
                <w:sz w:val="20"/>
                <w:szCs w:val="20"/>
              </w:rPr>
              <w:t>);</w:t>
            </w:r>
          </w:p>
          <w:p w14:paraId="47A03ED2" w14:textId="77777777" w:rsidR="002D58E4" w:rsidRDefault="00F721D4">
            <w:pPr>
              <w:rPr>
                <w:sz w:val="20"/>
                <w:szCs w:val="20"/>
              </w:rPr>
            </w:pPr>
            <w:r>
              <w:rPr>
                <w:sz w:val="20"/>
                <w:szCs w:val="20"/>
              </w:rPr>
              <w:t>NY state, USA</w:t>
            </w:r>
          </w:p>
        </w:tc>
        <w:tc>
          <w:tcPr>
            <w:tcW w:w="3743" w:type="dxa"/>
            <w:vAlign w:val="center"/>
          </w:tcPr>
          <w:p w14:paraId="6996D727" w14:textId="77777777" w:rsidR="002D58E4" w:rsidRDefault="00F721D4">
            <w:pPr>
              <w:rPr>
                <w:sz w:val="20"/>
                <w:szCs w:val="20"/>
              </w:rPr>
            </w:pPr>
            <w:r>
              <w:rPr>
                <w:sz w:val="20"/>
                <w:szCs w:val="20"/>
              </w:rPr>
              <w:t>Blood (plasma) samples and skin biopsy specimens from 47 patients with EM.</w:t>
            </w:r>
          </w:p>
        </w:tc>
        <w:tc>
          <w:tcPr>
            <w:tcW w:w="4050" w:type="dxa"/>
            <w:vAlign w:val="center"/>
          </w:tcPr>
          <w:p w14:paraId="5AC8DD57" w14:textId="77777777" w:rsidR="002D58E4" w:rsidRDefault="00F721D4">
            <w:pPr>
              <w:rPr>
                <w:sz w:val="20"/>
                <w:szCs w:val="20"/>
              </w:rPr>
            </w:pPr>
            <w:r>
              <w:rPr>
                <w:b/>
                <w:sz w:val="20"/>
                <w:szCs w:val="20"/>
              </w:rPr>
              <w:t>6 diagnostic modalities were compared</w:t>
            </w:r>
            <w:r>
              <w:rPr>
                <w:sz w:val="20"/>
                <w:szCs w:val="20"/>
              </w:rPr>
              <w:t xml:space="preserve">:  </w:t>
            </w:r>
          </w:p>
          <w:p w14:paraId="66E03B34" w14:textId="77777777" w:rsidR="002D58E4" w:rsidRDefault="00F721D4">
            <w:pPr>
              <w:numPr>
                <w:ilvl w:val="0"/>
                <w:numId w:val="19"/>
              </w:numPr>
              <w:ind w:left="144" w:hanging="144"/>
              <w:rPr>
                <w:sz w:val="20"/>
                <w:szCs w:val="20"/>
              </w:rPr>
            </w:pPr>
            <w:r>
              <w:rPr>
                <w:b/>
                <w:sz w:val="20"/>
                <w:szCs w:val="20"/>
                <w:u w:val="single"/>
              </w:rPr>
              <w:t>skin</w:t>
            </w:r>
            <w:r>
              <w:rPr>
                <w:b/>
                <w:sz w:val="20"/>
                <w:szCs w:val="20"/>
              </w:rPr>
              <w:t xml:space="preserve"> culture (BSK medium)</w:t>
            </w:r>
            <w:r>
              <w:rPr>
                <w:sz w:val="20"/>
                <w:szCs w:val="20"/>
              </w:rPr>
              <w:t xml:space="preserve">; </w:t>
            </w:r>
          </w:p>
          <w:p w14:paraId="434C299C" w14:textId="77777777" w:rsidR="002D58E4" w:rsidRDefault="00F721D4">
            <w:pPr>
              <w:numPr>
                <w:ilvl w:val="0"/>
                <w:numId w:val="19"/>
              </w:numPr>
              <w:ind w:left="144" w:hanging="144"/>
              <w:rPr>
                <w:sz w:val="20"/>
                <w:szCs w:val="20"/>
              </w:rPr>
            </w:pPr>
            <w:r>
              <w:rPr>
                <w:b/>
                <w:sz w:val="20"/>
                <w:szCs w:val="20"/>
                <w:u w:val="single"/>
              </w:rPr>
              <w:t xml:space="preserve">blood </w:t>
            </w:r>
            <w:r>
              <w:rPr>
                <w:b/>
                <w:sz w:val="20"/>
                <w:szCs w:val="20"/>
              </w:rPr>
              <w:t>culture (BSK medium)</w:t>
            </w:r>
            <w:r>
              <w:rPr>
                <w:sz w:val="20"/>
                <w:szCs w:val="20"/>
              </w:rPr>
              <w:t>;</w:t>
            </w:r>
          </w:p>
          <w:p w14:paraId="5BE518D7" w14:textId="77777777" w:rsidR="002D58E4" w:rsidRDefault="00F721D4">
            <w:pPr>
              <w:numPr>
                <w:ilvl w:val="0"/>
                <w:numId w:val="19"/>
              </w:numPr>
              <w:ind w:left="144" w:hanging="144"/>
              <w:rPr>
                <w:sz w:val="20"/>
                <w:szCs w:val="20"/>
              </w:rPr>
            </w:pPr>
            <w:r>
              <w:rPr>
                <w:sz w:val="20"/>
                <w:szCs w:val="20"/>
              </w:rPr>
              <w:t xml:space="preserve">quantitative PCR (qPCR) on skin biopsy–derived material;  </w:t>
            </w:r>
          </w:p>
          <w:p w14:paraId="7EF6E1C5" w14:textId="77777777" w:rsidR="002D58E4" w:rsidRDefault="00F721D4">
            <w:pPr>
              <w:numPr>
                <w:ilvl w:val="0"/>
                <w:numId w:val="19"/>
              </w:numPr>
              <w:ind w:left="144" w:hanging="144"/>
              <w:rPr>
                <w:sz w:val="20"/>
                <w:szCs w:val="20"/>
              </w:rPr>
            </w:pPr>
            <w:r>
              <w:rPr>
                <w:sz w:val="20"/>
                <w:szCs w:val="20"/>
              </w:rPr>
              <w:t>conventional nested PCR of skin;</w:t>
            </w:r>
          </w:p>
          <w:p w14:paraId="60403175" w14:textId="77777777" w:rsidR="002D58E4" w:rsidRDefault="00F721D4">
            <w:pPr>
              <w:numPr>
                <w:ilvl w:val="0"/>
                <w:numId w:val="19"/>
              </w:numPr>
              <w:ind w:left="144" w:hanging="144"/>
              <w:rPr>
                <w:sz w:val="20"/>
                <w:szCs w:val="20"/>
              </w:rPr>
            </w:pPr>
            <w:r>
              <w:rPr>
                <w:sz w:val="20"/>
                <w:szCs w:val="20"/>
              </w:rPr>
              <w:t xml:space="preserve">2-stage serologic testing of convalescent-phase samples; and </w:t>
            </w:r>
          </w:p>
          <w:p w14:paraId="19B64F1D" w14:textId="77777777" w:rsidR="002D58E4" w:rsidRDefault="00F721D4">
            <w:pPr>
              <w:numPr>
                <w:ilvl w:val="0"/>
                <w:numId w:val="19"/>
              </w:numPr>
              <w:ind w:left="144" w:hanging="144"/>
              <w:rPr>
                <w:sz w:val="20"/>
                <w:szCs w:val="20"/>
              </w:rPr>
            </w:pPr>
            <w:r>
              <w:rPr>
                <w:sz w:val="20"/>
                <w:szCs w:val="20"/>
              </w:rPr>
              <w:t>serologic testing of acute-phase samples.</w:t>
            </w:r>
          </w:p>
        </w:tc>
        <w:tc>
          <w:tcPr>
            <w:tcW w:w="5693" w:type="dxa"/>
            <w:vAlign w:val="center"/>
          </w:tcPr>
          <w:p w14:paraId="0205DDCF" w14:textId="77777777" w:rsidR="002D58E4" w:rsidRDefault="00F721D4">
            <w:pPr>
              <w:rPr>
                <w:b/>
                <w:sz w:val="20"/>
                <w:szCs w:val="20"/>
              </w:rPr>
            </w:pPr>
            <w:r>
              <w:rPr>
                <w:sz w:val="20"/>
                <w:szCs w:val="20"/>
              </w:rPr>
              <w:t xml:space="preserve">Quantitative PCR on skin biopsy–derived material was the most sensitive diagnostic method (80.9%), followed by 2-stage serologic testing of convalescent-phase samples (66.0%), conventional nested PCR (63.8%), </w:t>
            </w:r>
            <w:r>
              <w:rPr>
                <w:b/>
                <w:sz w:val="20"/>
                <w:szCs w:val="20"/>
                <w:u w:val="single"/>
              </w:rPr>
              <w:t xml:space="preserve">skin </w:t>
            </w:r>
            <w:r>
              <w:rPr>
                <w:b/>
                <w:sz w:val="20"/>
                <w:szCs w:val="20"/>
              </w:rPr>
              <w:t>culture (51.1%),</w:t>
            </w:r>
            <w:r>
              <w:rPr>
                <w:sz w:val="20"/>
                <w:szCs w:val="20"/>
              </w:rPr>
              <w:t xml:space="preserve"> </w:t>
            </w:r>
            <w:r>
              <w:rPr>
                <w:b/>
                <w:sz w:val="20"/>
                <w:szCs w:val="20"/>
                <w:u w:val="single"/>
              </w:rPr>
              <w:t>blood</w:t>
            </w:r>
            <w:r>
              <w:rPr>
                <w:b/>
                <w:sz w:val="20"/>
                <w:szCs w:val="20"/>
              </w:rPr>
              <w:t xml:space="preserve"> culture (44.7%)</w:t>
            </w:r>
            <w:r>
              <w:rPr>
                <w:sz w:val="20"/>
                <w:szCs w:val="20"/>
              </w:rPr>
              <w:t>, and serologic testing of acute-phase samples (40.4%).</w:t>
            </w:r>
          </w:p>
        </w:tc>
      </w:tr>
      <w:tr w:rsidR="002D58E4" w14:paraId="3C822900" w14:textId="77777777">
        <w:trPr>
          <w:jc w:val="center"/>
        </w:trPr>
        <w:tc>
          <w:tcPr>
            <w:tcW w:w="14527" w:type="dxa"/>
            <w:gridSpan w:val="4"/>
            <w:shd w:val="clear" w:color="auto" w:fill="A6A6A6"/>
            <w:vAlign w:val="center"/>
          </w:tcPr>
          <w:p w14:paraId="47A5BE4B" w14:textId="77777777" w:rsidR="002D58E4" w:rsidRDefault="00F721D4">
            <w:pPr>
              <w:jc w:val="center"/>
              <w:rPr>
                <w:b/>
              </w:rPr>
            </w:pPr>
            <w:r>
              <w:rPr>
                <w:b/>
                <w:sz w:val="24"/>
                <w:szCs w:val="24"/>
              </w:rPr>
              <w:t>PCR</w:t>
            </w:r>
          </w:p>
        </w:tc>
      </w:tr>
      <w:tr w:rsidR="002D58E4" w14:paraId="069C65C4" w14:textId="77777777">
        <w:trPr>
          <w:jc w:val="center"/>
        </w:trPr>
        <w:tc>
          <w:tcPr>
            <w:tcW w:w="14527" w:type="dxa"/>
            <w:gridSpan w:val="4"/>
            <w:shd w:val="clear" w:color="auto" w:fill="D9D9D9"/>
            <w:vAlign w:val="center"/>
          </w:tcPr>
          <w:p w14:paraId="686BB219" w14:textId="77777777" w:rsidR="002D58E4" w:rsidRDefault="00F721D4">
            <w:pPr>
              <w:jc w:val="center"/>
              <w:rPr>
                <w:sz w:val="20"/>
                <w:szCs w:val="20"/>
              </w:rPr>
            </w:pPr>
            <w:r>
              <w:rPr>
                <w:b/>
              </w:rPr>
              <w:t>Skin PCR (Sn range: 24.0% - 85.6%; Sp = 100%)</w:t>
            </w:r>
          </w:p>
        </w:tc>
      </w:tr>
      <w:tr w:rsidR="002D58E4" w14:paraId="1A4DBD87" w14:textId="77777777">
        <w:trPr>
          <w:jc w:val="center"/>
        </w:trPr>
        <w:tc>
          <w:tcPr>
            <w:tcW w:w="1041" w:type="dxa"/>
            <w:vAlign w:val="center"/>
          </w:tcPr>
          <w:p w14:paraId="38F8CD45" w14:textId="77777777" w:rsidR="002D58E4" w:rsidRDefault="00F721D4">
            <w:pPr>
              <w:rPr>
                <w:sz w:val="20"/>
                <w:szCs w:val="20"/>
              </w:rPr>
            </w:pPr>
            <w:r>
              <w:rPr>
                <w:sz w:val="20"/>
                <w:szCs w:val="20"/>
              </w:rPr>
              <w:t>Brettschneider, 1998;</w:t>
            </w:r>
          </w:p>
          <w:p w14:paraId="3BE7AB54" w14:textId="77777777" w:rsidR="002D58E4" w:rsidRDefault="002D58E4">
            <w:pPr>
              <w:rPr>
                <w:sz w:val="20"/>
                <w:szCs w:val="20"/>
              </w:rPr>
            </w:pPr>
          </w:p>
          <w:p w14:paraId="41A4987F" w14:textId="77777777" w:rsidR="002D58E4" w:rsidRDefault="00F721D4">
            <w:pPr>
              <w:rPr>
                <w:sz w:val="20"/>
                <w:szCs w:val="20"/>
              </w:rPr>
            </w:pPr>
            <w:r>
              <w:rPr>
                <w:sz w:val="20"/>
                <w:szCs w:val="20"/>
              </w:rPr>
              <w:lastRenderedPageBreak/>
              <w:t>Germany</w:t>
            </w:r>
          </w:p>
        </w:tc>
        <w:tc>
          <w:tcPr>
            <w:tcW w:w="3743" w:type="dxa"/>
            <w:vAlign w:val="center"/>
          </w:tcPr>
          <w:p w14:paraId="627B17F3" w14:textId="77777777" w:rsidR="002D58E4" w:rsidRDefault="00F721D4">
            <w:pPr>
              <w:spacing w:after="120"/>
              <w:rPr>
                <w:sz w:val="20"/>
                <w:szCs w:val="20"/>
              </w:rPr>
            </w:pPr>
            <w:r>
              <w:rPr>
                <w:sz w:val="20"/>
                <w:szCs w:val="20"/>
              </w:rPr>
              <w:lastRenderedPageBreak/>
              <w:t>Skin biopsies and urine samples of 36 patients with EM and ACA before therapy and those of 8 patients after therapy.</w:t>
            </w:r>
          </w:p>
          <w:p w14:paraId="2752C0FC" w14:textId="77777777" w:rsidR="002D58E4" w:rsidRDefault="00F721D4">
            <w:pPr>
              <w:spacing w:after="120"/>
              <w:rPr>
                <w:sz w:val="20"/>
                <w:szCs w:val="20"/>
              </w:rPr>
            </w:pPr>
            <w:r>
              <w:rPr>
                <w:sz w:val="20"/>
                <w:szCs w:val="20"/>
              </w:rPr>
              <w:lastRenderedPageBreak/>
              <w:t>Skin biopsies of 27 patients with dermatological diseases other than Lyme borreliosis and those of 10 healthy persons were examined as controls.</w:t>
            </w:r>
          </w:p>
          <w:p w14:paraId="2CC2591E" w14:textId="77777777" w:rsidR="002D58E4" w:rsidRDefault="002D58E4">
            <w:pPr>
              <w:spacing w:after="120"/>
              <w:rPr>
                <w:sz w:val="20"/>
                <w:szCs w:val="20"/>
              </w:rPr>
            </w:pPr>
          </w:p>
        </w:tc>
        <w:tc>
          <w:tcPr>
            <w:tcW w:w="4050" w:type="dxa"/>
            <w:vAlign w:val="center"/>
          </w:tcPr>
          <w:p w14:paraId="36E19802" w14:textId="77777777" w:rsidR="002D58E4" w:rsidRDefault="00F721D4">
            <w:pPr>
              <w:rPr>
                <w:sz w:val="20"/>
                <w:szCs w:val="20"/>
              </w:rPr>
            </w:pPr>
            <w:r>
              <w:rPr>
                <w:sz w:val="20"/>
                <w:szCs w:val="20"/>
              </w:rPr>
              <w:lastRenderedPageBreak/>
              <w:t xml:space="preserve">PCR using two different primer sets targeting </w:t>
            </w:r>
            <w:r>
              <w:rPr>
                <w:b/>
                <w:sz w:val="20"/>
                <w:szCs w:val="20"/>
              </w:rPr>
              <w:t>23S rRNA (PCR I)</w:t>
            </w:r>
            <w:r>
              <w:rPr>
                <w:sz w:val="20"/>
                <w:szCs w:val="20"/>
              </w:rPr>
              <w:t xml:space="preserve"> and </w:t>
            </w:r>
            <w:r>
              <w:rPr>
                <w:b/>
                <w:sz w:val="20"/>
                <w:szCs w:val="20"/>
              </w:rPr>
              <w:t>66-kDa protein (PCR II)</w:t>
            </w:r>
            <w:r>
              <w:rPr>
                <w:sz w:val="20"/>
                <w:szCs w:val="20"/>
              </w:rPr>
              <w:t xml:space="preserve"> genes. </w:t>
            </w:r>
            <w:r>
              <w:rPr>
                <w:sz w:val="20"/>
                <w:szCs w:val="20"/>
              </w:rPr>
              <w:lastRenderedPageBreak/>
              <w:t>PCR was performed with freshly frozen tissue (FFT) and paraffin-embedded tissue (PET).</w:t>
            </w:r>
          </w:p>
          <w:p w14:paraId="079162D7" w14:textId="77777777" w:rsidR="002D58E4" w:rsidRDefault="002D58E4">
            <w:pPr>
              <w:rPr>
                <w:sz w:val="20"/>
                <w:szCs w:val="20"/>
              </w:rPr>
            </w:pPr>
          </w:p>
          <w:p w14:paraId="6F898AF9" w14:textId="77777777" w:rsidR="002D58E4" w:rsidRDefault="00F721D4">
            <w:pPr>
              <w:rPr>
                <w:sz w:val="20"/>
                <w:szCs w:val="20"/>
              </w:rPr>
            </w:pPr>
            <w:r>
              <w:rPr>
                <w:sz w:val="20"/>
                <w:szCs w:val="20"/>
              </w:rPr>
              <w:t>Skin samples were also cultured using modified Barbour-Stoenner-Kelly-H (BSK-H) medium.</w:t>
            </w:r>
          </w:p>
        </w:tc>
        <w:tc>
          <w:tcPr>
            <w:tcW w:w="5693" w:type="dxa"/>
            <w:vAlign w:val="center"/>
          </w:tcPr>
          <w:p w14:paraId="0AA56D7E" w14:textId="77777777" w:rsidR="002D58E4" w:rsidRDefault="00F721D4">
            <w:pPr>
              <w:rPr>
                <w:sz w:val="20"/>
                <w:szCs w:val="20"/>
              </w:rPr>
            </w:pPr>
            <w:r>
              <w:rPr>
                <w:sz w:val="20"/>
                <w:szCs w:val="20"/>
              </w:rPr>
              <w:lastRenderedPageBreak/>
              <w:t xml:space="preserve">For </w:t>
            </w:r>
            <w:r>
              <w:rPr>
                <w:sz w:val="20"/>
                <w:szCs w:val="20"/>
                <w:u w:val="single"/>
              </w:rPr>
              <w:t>FFT specimens</w:t>
            </w:r>
            <w:r>
              <w:rPr>
                <w:sz w:val="20"/>
                <w:szCs w:val="20"/>
              </w:rPr>
              <w:t xml:space="preserve"> of EM, </w:t>
            </w:r>
            <w:r>
              <w:rPr>
                <w:b/>
                <w:sz w:val="20"/>
                <w:szCs w:val="20"/>
              </w:rPr>
              <w:t>73%</w:t>
            </w:r>
            <w:r>
              <w:rPr>
                <w:sz w:val="20"/>
                <w:szCs w:val="20"/>
              </w:rPr>
              <w:t xml:space="preserve"> were positive by </w:t>
            </w:r>
            <w:r>
              <w:rPr>
                <w:b/>
                <w:sz w:val="20"/>
                <w:szCs w:val="20"/>
              </w:rPr>
              <w:t>PCR I</w:t>
            </w:r>
            <w:r>
              <w:rPr>
                <w:sz w:val="20"/>
                <w:szCs w:val="20"/>
              </w:rPr>
              <w:t xml:space="preserve">, </w:t>
            </w:r>
            <w:r>
              <w:rPr>
                <w:b/>
                <w:sz w:val="20"/>
                <w:szCs w:val="20"/>
              </w:rPr>
              <w:t>79%</w:t>
            </w:r>
            <w:r>
              <w:rPr>
                <w:sz w:val="20"/>
                <w:szCs w:val="20"/>
              </w:rPr>
              <w:t xml:space="preserve"> were positive by </w:t>
            </w:r>
            <w:r>
              <w:rPr>
                <w:b/>
                <w:sz w:val="20"/>
                <w:szCs w:val="20"/>
              </w:rPr>
              <w:t>PCR II</w:t>
            </w:r>
            <w:r>
              <w:rPr>
                <w:sz w:val="20"/>
                <w:szCs w:val="20"/>
              </w:rPr>
              <w:t xml:space="preserve">, and </w:t>
            </w:r>
            <w:r>
              <w:rPr>
                <w:b/>
                <w:sz w:val="20"/>
                <w:szCs w:val="20"/>
              </w:rPr>
              <w:t>88%</w:t>
            </w:r>
            <w:r>
              <w:rPr>
                <w:sz w:val="20"/>
                <w:szCs w:val="20"/>
              </w:rPr>
              <w:t xml:space="preserve"> were positive by combining </w:t>
            </w:r>
            <w:r>
              <w:rPr>
                <w:b/>
                <w:sz w:val="20"/>
                <w:szCs w:val="20"/>
              </w:rPr>
              <w:t>PCR I and II</w:t>
            </w:r>
            <w:r>
              <w:rPr>
                <w:sz w:val="20"/>
                <w:szCs w:val="20"/>
              </w:rPr>
              <w:t xml:space="preserve">. </w:t>
            </w:r>
          </w:p>
          <w:p w14:paraId="07663825" w14:textId="77777777" w:rsidR="002D58E4" w:rsidRDefault="00F721D4">
            <w:pPr>
              <w:rPr>
                <w:sz w:val="20"/>
                <w:szCs w:val="20"/>
              </w:rPr>
            </w:pPr>
            <w:r>
              <w:rPr>
                <w:sz w:val="20"/>
                <w:szCs w:val="20"/>
              </w:rPr>
              <w:lastRenderedPageBreak/>
              <w:t xml:space="preserve">For </w:t>
            </w:r>
            <w:r>
              <w:rPr>
                <w:sz w:val="20"/>
                <w:szCs w:val="20"/>
                <w:u w:val="single"/>
              </w:rPr>
              <w:t>PET specimens</w:t>
            </w:r>
            <w:r>
              <w:rPr>
                <w:sz w:val="20"/>
                <w:szCs w:val="20"/>
              </w:rPr>
              <w:t>, PCR was less sensitive (</w:t>
            </w:r>
            <w:r>
              <w:rPr>
                <w:b/>
                <w:sz w:val="20"/>
                <w:szCs w:val="20"/>
              </w:rPr>
              <w:t>PCR I, 44%; PCR II, 52%; both, 56%</w:t>
            </w:r>
            <w:r>
              <w:rPr>
                <w:sz w:val="20"/>
                <w:szCs w:val="20"/>
              </w:rPr>
              <w:t>).</w:t>
            </w:r>
          </w:p>
          <w:p w14:paraId="77848DD9" w14:textId="77777777" w:rsidR="002D58E4" w:rsidRDefault="002D58E4">
            <w:pPr>
              <w:rPr>
                <w:sz w:val="20"/>
                <w:szCs w:val="20"/>
              </w:rPr>
            </w:pPr>
          </w:p>
          <w:p w14:paraId="3342B6B1" w14:textId="77777777" w:rsidR="002D58E4" w:rsidRDefault="00F721D4">
            <w:pPr>
              <w:rPr>
                <w:sz w:val="20"/>
                <w:szCs w:val="20"/>
              </w:rPr>
            </w:pPr>
            <w:r>
              <w:rPr>
                <w:i/>
                <w:sz w:val="20"/>
                <w:szCs w:val="20"/>
              </w:rPr>
              <w:t>B. burgdorferi</w:t>
            </w:r>
            <w:r>
              <w:rPr>
                <w:sz w:val="20"/>
                <w:szCs w:val="20"/>
              </w:rPr>
              <w:t xml:space="preserve"> was cultured from </w:t>
            </w:r>
            <w:r>
              <w:rPr>
                <w:b/>
                <w:sz w:val="20"/>
                <w:szCs w:val="20"/>
              </w:rPr>
              <w:t>78.9%</w:t>
            </w:r>
            <w:r>
              <w:rPr>
                <w:sz w:val="20"/>
                <w:szCs w:val="20"/>
              </w:rPr>
              <w:t xml:space="preserve"> (15 of 19) of the erythema migrans specimens.</w:t>
            </w:r>
          </w:p>
          <w:p w14:paraId="21677DB1" w14:textId="77777777" w:rsidR="002D58E4" w:rsidRDefault="00F721D4">
            <w:pPr>
              <w:rPr>
                <w:sz w:val="20"/>
                <w:szCs w:val="20"/>
              </w:rPr>
            </w:pPr>
            <w:r>
              <w:rPr>
                <w:sz w:val="20"/>
                <w:szCs w:val="20"/>
              </w:rPr>
              <w:t>Cultures and PCR results of the control group were negative (</w:t>
            </w:r>
            <w:r>
              <w:rPr>
                <w:b/>
                <w:sz w:val="20"/>
                <w:szCs w:val="20"/>
              </w:rPr>
              <w:t>Sp 100%)</w:t>
            </w:r>
          </w:p>
        </w:tc>
      </w:tr>
      <w:tr w:rsidR="002D58E4" w14:paraId="6A32667A" w14:textId="77777777">
        <w:trPr>
          <w:jc w:val="center"/>
        </w:trPr>
        <w:tc>
          <w:tcPr>
            <w:tcW w:w="1041" w:type="dxa"/>
            <w:vAlign w:val="center"/>
          </w:tcPr>
          <w:p w14:paraId="336CAFCC" w14:textId="77777777" w:rsidR="002D58E4" w:rsidRDefault="00F721D4">
            <w:pPr>
              <w:rPr>
                <w:sz w:val="20"/>
                <w:szCs w:val="20"/>
              </w:rPr>
            </w:pPr>
            <w:r>
              <w:rPr>
                <w:sz w:val="20"/>
                <w:szCs w:val="20"/>
              </w:rPr>
              <w:lastRenderedPageBreak/>
              <w:t>Cerar, 2008 (</w:t>
            </w:r>
            <w:r>
              <w:rPr>
                <w:i/>
                <w:sz w:val="20"/>
                <w:szCs w:val="20"/>
              </w:rPr>
              <w:t>see above</w:t>
            </w:r>
            <w:r>
              <w:rPr>
                <w:sz w:val="20"/>
                <w:szCs w:val="20"/>
              </w:rPr>
              <w:t>);</w:t>
            </w:r>
          </w:p>
          <w:p w14:paraId="6BA0F116" w14:textId="77777777" w:rsidR="002D58E4" w:rsidRDefault="002D58E4">
            <w:pPr>
              <w:rPr>
                <w:sz w:val="20"/>
                <w:szCs w:val="20"/>
              </w:rPr>
            </w:pPr>
          </w:p>
          <w:p w14:paraId="184DB9E1" w14:textId="77777777" w:rsidR="002D58E4" w:rsidRDefault="00F721D4">
            <w:pPr>
              <w:rPr>
                <w:sz w:val="20"/>
                <w:szCs w:val="20"/>
              </w:rPr>
            </w:pPr>
            <w:r>
              <w:rPr>
                <w:sz w:val="20"/>
                <w:szCs w:val="20"/>
              </w:rPr>
              <w:t>Slovenia</w:t>
            </w:r>
          </w:p>
        </w:tc>
        <w:tc>
          <w:tcPr>
            <w:tcW w:w="3743" w:type="dxa"/>
            <w:vAlign w:val="center"/>
          </w:tcPr>
          <w:p w14:paraId="78E09AF7" w14:textId="77777777" w:rsidR="002D58E4" w:rsidRDefault="00F721D4">
            <w:pPr>
              <w:rPr>
                <w:sz w:val="20"/>
                <w:szCs w:val="20"/>
              </w:rPr>
            </w:pPr>
            <w:r>
              <w:rPr>
                <w:sz w:val="20"/>
                <w:szCs w:val="20"/>
              </w:rPr>
              <w:t xml:space="preserve">Skin biopsy specimens of 150 patients with EM (periphery of the lesion). </w:t>
            </w:r>
          </w:p>
        </w:tc>
        <w:tc>
          <w:tcPr>
            <w:tcW w:w="4050" w:type="dxa"/>
            <w:vAlign w:val="center"/>
          </w:tcPr>
          <w:p w14:paraId="5BA5F8B4" w14:textId="77777777" w:rsidR="002D58E4" w:rsidRDefault="00F721D4">
            <w:pPr>
              <w:rPr>
                <w:sz w:val="20"/>
                <w:szCs w:val="20"/>
              </w:rPr>
            </w:pPr>
            <w:r>
              <w:rPr>
                <w:i/>
                <w:sz w:val="20"/>
                <w:szCs w:val="20"/>
              </w:rPr>
              <w:t>B. burgdorferi</w:t>
            </w:r>
            <w:r>
              <w:rPr>
                <w:sz w:val="20"/>
                <w:szCs w:val="20"/>
              </w:rPr>
              <w:t xml:space="preserve"> </w:t>
            </w:r>
            <w:r>
              <w:rPr>
                <w:b/>
                <w:sz w:val="20"/>
                <w:szCs w:val="20"/>
                <w:u w:val="single"/>
              </w:rPr>
              <w:t>skin</w:t>
            </w:r>
            <w:r>
              <w:rPr>
                <w:b/>
                <w:sz w:val="20"/>
                <w:szCs w:val="20"/>
              </w:rPr>
              <w:t xml:space="preserve"> samples </w:t>
            </w:r>
            <w:r>
              <w:rPr>
                <w:sz w:val="20"/>
                <w:szCs w:val="20"/>
              </w:rPr>
              <w:t xml:space="preserve">were analyzed using </w:t>
            </w:r>
            <w:r>
              <w:rPr>
                <w:b/>
                <w:sz w:val="20"/>
                <w:szCs w:val="20"/>
              </w:rPr>
              <w:t xml:space="preserve">nested PCR targeting the rrf–rrl region </w:t>
            </w:r>
            <w:r>
              <w:rPr>
                <w:sz w:val="20"/>
                <w:szCs w:val="20"/>
              </w:rPr>
              <w:t>and</w:t>
            </w:r>
            <w:r>
              <w:rPr>
                <w:b/>
                <w:sz w:val="20"/>
                <w:szCs w:val="20"/>
              </w:rPr>
              <w:t xml:space="preserve"> a PCR targeting the flagellin gene</w:t>
            </w:r>
          </w:p>
        </w:tc>
        <w:tc>
          <w:tcPr>
            <w:tcW w:w="5693" w:type="dxa"/>
            <w:vAlign w:val="center"/>
          </w:tcPr>
          <w:p w14:paraId="0942FEB7" w14:textId="77777777" w:rsidR="002D58E4" w:rsidRDefault="00F721D4">
            <w:pPr>
              <w:rPr>
                <w:sz w:val="20"/>
                <w:szCs w:val="20"/>
              </w:rPr>
            </w:pPr>
            <w:r>
              <w:rPr>
                <w:sz w:val="20"/>
                <w:szCs w:val="20"/>
              </w:rPr>
              <w:t xml:space="preserve">Nested </w:t>
            </w:r>
            <w:r>
              <w:rPr>
                <w:b/>
                <w:sz w:val="20"/>
                <w:szCs w:val="20"/>
              </w:rPr>
              <w:t>PCR targeting the rrf–rrl region</w:t>
            </w:r>
            <w:r>
              <w:rPr>
                <w:sz w:val="20"/>
                <w:szCs w:val="20"/>
              </w:rPr>
              <w:t xml:space="preserve"> detected 107 (</w:t>
            </w:r>
            <w:r>
              <w:rPr>
                <w:b/>
                <w:sz w:val="20"/>
                <w:szCs w:val="20"/>
              </w:rPr>
              <w:t>Sn 71.3%</w:t>
            </w:r>
            <w:r>
              <w:rPr>
                <w:sz w:val="20"/>
                <w:szCs w:val="20"/>
              </w:rPr>
              <w:t xml:space="preserve">) and a </w:t>
            </w:r>
            <w:r>
              <w:rPr>
                <w:b/>
                <w:sz w:val="20"/>
                <w:szCs w:val="20"/>
              </w:rPr>
              <w:t>PCR targeting the flagellin gene</w:t>
            </w:r>
            <w:r>
              <w:rPr>
                <w:sz w:val="20"/>
                <w:szCs w:val="20"/>
              </w:rPr>
              <w:t xml:space="preserve"> - 36 (</w:t>
            </w:r>
            <w:r>
              <w:rPr>
                <w:b/>
                <w:sz w:val="20"/>
                <w:szCs w:val="20"/>
              </w:rPr>
              <w:t>Sn 24.0%)</w:t>
            </w:r>
            <w:r>
              <w:rPr>
                <w:sz w:val="20"/>
                <w:szCs w:val="20"/>
              </w:rPr>
              <w:t xml:space="preserve"> positive specimens.</w:t>
            </w:r>
          </w:p>
        </w:tc>
      </w:tr>
      <w:tr w:rsidR="002D58E4" w14:paraId="2469822C" w14:textId="77777777">
        <w:trPr>
          <w:jc w:val="center"/>
        </w:trPr>
        <w:tc>
          <w:tcPr>
            <w:tcW w:w="1041" w:type="dxa"/>
            <w:vAlign w:val="center"/>
          </w:tcPr>
          <w:p w14:paraId="2A9258C6" w14:textId="77777777" w:rsidR="002D58E4" w:rsidRDefault="00F721D4">
            <w:pPr>
              <w:rPr>
                <w:sz w:val="20"/>
                <w:szCs w:val="20"/>
              </w:rPr>
            </w:pPr>
            <w:r>
              <w:rPr>
                <w:sz w:val="20"/>
                <w:szCs w:val="20"/>
              </w:rPr>
              <w:t>Eisendle, 2007 (</w:t>
            </w:r>
            <w:r>
              <w:rPr>
                <w:i/>
                <w:sz w:val="20"/>
                <w:szCs w:val="20"/>
              </w:rPr>
              <w:t>see above</w:t>
            </w:r>
            <w:r>
              <w:rPr>
                <w:sz w:val="20"/>
                <w:szCs w:val="20"/>
              </w:rPr>
              <w:t>);</w:t>
            </w:r>
          </w:p>
          <w:p w14:paraId="4B646079" w14:textId="77777777" w:rsidR="002D58E4" w:rsidRDefault="002D58E4">
            <w:pPr>
              <w:rPr>
                <w:sz w:val="20"/>
                <w:szCs w:val="20"/>
              </w:rPr>
            </w:pPr>
          </w:p>
          <w:p w14:paraId="64D5D2CE" w14:textId="77777777" w:rsidR="002D58E4" w:rsidRDefault="00F721D4">
            <w:pPr>
              <w:rPr>
                <w:sz w:val="20"/>
                <w:szCs w:val="20"/>
              </w:rPr>
            </w:pPr>
            <w:r>
              <w:rPr>
                <w:sz w:val="20"/>
                <w:szCs w:val="20"/>
              </w:rPr>
              <w:t>Austria</w:t>
            </w:r>
          </w:p>
        </w:tc>
        <w:tc>
          <w:tcPr>
            <w:tcW w:w="3743" w:type="dxa"/>
            <w:vAlign w:val="center"/>
          </w:tcPr>
          <w:p w14:paraId="7A05024C" w14:textId="77777777" w:rsidR="002D58E4" w:rsidRDefault="00F721D4">
            <w:pPr>
              <w:spacing w:after="120"/>
              <w:rPr>
                <w:sz w:val="20"/>
                <w:szCs w:val="20"/>
              </w:rPr>
            </w:pPr>
            <w:r>
              <w:rPr>
                <w:sz w:val="20"/>
                <w:szCs w:val="20"/>
              </w:rPr>
              <w:t>Archived H&amp;E-stained sections of 309 specimens from patients with cutaneous borreliosis were re-examined and diagnoses confirmed. 109 negative control samples were also examined.</w:t>
            </w:r>
          </w:p>
          <w:p w14:paraId="2D36192B" w14:textId="77777777" w:rsidR="002D58E4" w:rsidRDefault="002D58E4">
            <w:pPr>
              <w:spacing w:after="120"/>
              <w:rPr>
                <w:sz w:val="20"/>
                <w:szCs w:val="20"/>
              </w:rPr>
            </w:pPr>
          </w:p>
        </w:tc>
        <w:tc>
          <w:tcPr>
            <w:tcW w:w="4050" w:type="dxa"/>
            <w:vAlign w:val="center"/>
          </w:tcPr>
          <w:p w14:paraId="0F704E55" w14:textId="77777777" w:rsidR="002D58E4" w:rsidRDefault="00F721D4">
            <w:pPr>
              <w:rPr>
                <w:sz w:val="20"/>
                <w:szCs w:val="20"/>
              </w:rPr>
            </w:pPr>
            <w:r>
              <w:rPr>
                <w:sz w:val="20"/>
                <w:szCs w:val="20"/>
              </w:rPr>
              <w:t xml:space="preserve">(2) </w:t>
            </w:r>
            <w:r>
              <w:rPr>
                <w:b/>
                <w:sz w:val="20"/>
                <w:szCs w:val="20"/>
                <w:u w:val="single"/>
              </w:rPr>
              <w:t>Skin</w:t>
            </w:r>
            <w:r>
              <w:rPr>
                <w:b/>
                <w:sz w:val="20"/>
                <w:szCs w:val="20"/>
              </w:rPr>
              <w:t xml:space="preserve"> biopsy</w:t>
            </w:r>
            <w:r>
              <w:rPr>
                <w:sz w:val="20"/>
                <w:szCs w:val="20"/>
              </w:rPr>
              <w:t xml:space="preserve"> samples were tested for presence of </w:t>
            </w:r>
            <w:r>
              <w:rPr>
                <w:i/>
                <w:sz w:val="20"/>
                <w:szCs w:val="20"/>
              </w:rPr>
              <w:t>B. burgdorferi</w:t>
            </w:r>
            <w:r>
              <w:rPr>
                <w:sz w:val="20"/>
                <w:szCs w:val="20"/>
              </w:rPr>
              <w:t xml:space="preserve"> DNA by </w:t>
            </w:r>
            <w:r>
              <w:rPr>
                <w:b/>
                <w:sz w:val="20"/>
                <w:szCs w:val="20"/>
              </w:rPr>
              <w:t xml:space="preserve">PCR </w:t>
            </w:r>
            <w:r>
              <w:rPr>
                <w:sz w:val="20"/>
                <w:szCs w:val="20"/>
              </w:rPr>
              <w:t xml:space="preserve">(along with floating microscopy technique). </w:t>
            </w:r>
          </w:p>
          <w:p w14:paraId="6279BFD6" w14:textId="77777777" w:rsidR="002D58E4" w:rsidRDefault="002D58E4">
            <w:pPr>
              <w:rPr>
                <w:sz w:val="20"/>
                <w:szCs w:val="20"/>
              </w:rPr>
            </w:pPr>
          </w:p>
          <w:p w14:paraId="73C14DFB" w14:textId="77777777" w:rsidR="002D58E4" w:rsidRDefault="002D58E4">
            <w:pPr>
              <w:rPr>
                <w:sz w:val="20"/>
                <w:szCs w:val="20"/>
              </w:rPr>
            </w:pPr>
          </w:p>
        </w:tc>
        <w:tc>
          <w:tcPr>
            <w:tcW w:w="5693" w:type="dxa"/>
            <w:vAlign w:val="center"/>
          </w:tcPr>
          <w:p w14:paraId="59D97CD6" w14:textId="77777777" w:rsidR="002D58E4" w:rsidRDefault="00F721D4">
            <w:pPr>
              <w:rPr>
                <w:sz w:val="20"/>
                <w:szCs w:val="20"/>
              </w:rPr>
            </w:pPr>
            <w:r>
              <w:rPr>
                <w:sz w:val="20"/>
                <w:szCs w:val="20"/>
              </w:rPr>
              <w:t xml:space="preserve">(2) PCR detected </w:t>
            </w:r>
            <w:r>
              <w:rPr>
                <w:i/>
                <w:sz w:val="20"/>
                <w:szCs w:val="20"/>
              </w:rPr>
              <w:t>Borrelia</w:t>
            </w:r>
            <w:r>
              <w:rPr>
                <w:sz w:val="20"/>
                <w:szCs w:val="20"/>
              </w:rPr>
              <w:t xml:space="preserve"> in 7 out of 15 EM (Sn </w:t>
            </w:r>
            <w:r>
              <w:rPr>
                <w:b/>
                <w:sz w:val="20"/>
                <w:szCs w:val="20"/>
              </w:rPr>
              <w:t>46.7%)</w:t>
            </w:r>
            <w:r>
              <w:rPr>
                <w:sz w:val="20"/>
                <w:szCs w:val="20"/>
              </w:rPr>
              <w:t xml:space="preserve"> and 17 out of 28 ACA (Sn 60.7%) cases.  PCR was negative in all 66 of negative controls (</w:t>
            </w:r>
            <w:r>
              <w:rPr>
                <w:b/>
                <w:sz w:val="20"/>
                <w:szCs w:val="20"/>
              </w:rPr>
              <w:t>Sp 100%).</w:t>
            </w:r>
            <w:r>
              <w:rPr>
                <w:sz w:val="20"/>
                <w:szCs w:val="20"/>
              </w:rPr>
              <w:t xml:space="preserve"> </w:t>
            </w:r>
          </w:p>
          <w:p w14:paraId="0796F1E4" w14:textId="77777777" w:rsidR="002D58E4" w:rsidRDefault="002D58E4">
            <w:pPr>
              <w:rPr>
                <w:sz w:val="20"/>
                <w:szCs w:val="20"/>
              </w:rPr>
            </w:pPr>
          </w:p>
          <w:p w14:paraId="44CA6AA1" w14:textId="77777777" w:rsidR="002D58E4" w:rsidRDefault="00F721D4">
            <w:pPr>
              <w:rPr>
                <w:sz w:val="20"/>
                <w:szCs w:val="20"/>
              </w:rPr>
            </w:pPr>
            <w:r>
              <w:rPr>
                <w:sz w:val="20"/>
                <w:szCs w:val="20"/>
              </w:rPr>
              <w:t xml:space="preserve">Among all samples from patients with borreliosis and controls, focus floating microscopy (FFM) was more sensitive than PCR (96.0% vs. 45.2%) and nearly equally specific (99.4% vs. 100%). </w:t>
            </w:r>
          </w:p>
        </w:tc>
      </w:tr>
      <w:tr w:rsidR="002D58E4" w14:paraId="50C803FB" w14:textId="77777777">
        <w:trPr>
          <w:jc w:val="center"/>
        </w:trPr>
        <w:tc>
          <w:tcPr>
            <w:tcW w:w="1041" w:type="dxa"/>
            <w:vAlign w:val="center"/>
          </w:tcPr>
          <w:p w14:paraId="7EB3AA19" w14:textId="77777777" w:rsidR="002D58E4" w:rsidRDefault="00F721D4">
            <w:pPr>
              <w:rPr>
                <w:sz w:val="20"/>
                <w:szCs w:val="20"/>
              </w:rPr>
            </w:pPr>
            <w:r>
              <w:rPr>
                <w:sz w:val="20"/>
                <w:szCs w:val="20"/>
              </w:rPr>
              <w:t>Lebech, 2000 (</w:t>
            </w:r>
            <w:r>
              <w:rPr>
                <w:i/>
                <w:sz w:val="20"/>
                <w:szCs w:val="20"/>
              </w:rPr>
              <w:t>see above</w:t>
            </w:r>
            <w:r>
              <w:rPr>
                <w:sz w:val="20"/>
                <w:szCs w:val="20"/>
              </w:rPr>
              <w:t>);</w:t>
            </w:r>
          </w:p>
          <w:p w14:paraId="4D91724C" w14:textId="77777777" w:rsidR="002D58E4" w:rsidRDefault="002D58E4">
            <w:pPr>
              <w:rPr>
                <w:sz w:val="20"/>
                <w:szCs w:val="20"/>
              </w:rPr>
            </w:pPr>
          </w:p>
          <w:p w14:paraId="5FDAB921" w14:textId="77777777" w:rsidR="002D58E4" w:rsidRDefault="00F721D4">
            <w:pPr>
              <w:rPr>
                <w:sz w:val="20"/>
                <w:szCs w:val="20"/>
              </w:rPr>
            </w:pPr>
            <w:r>
              <w:rPr>
                <w:sz w:val="20"/>
                <w:szCs w:val="20"/>
              </w:rPr>
              <w:t>Denmark</w:t>
            </w:r>
          </w:p>
        </w:tc>
        <w:tc>
          <w:tcPr>
            <w:tcW w:w="3743" w:type="dxa"/>
            <w:vAlign w:val="center"/>
          </w:tcPr>
          <w:p w14:paraId="64FD19ED" w14:textId="77777777" w:rsidR="002D58E4" w:rsidRDefault="00F721D4">
            <w:pPr>
              <w:spacing w:after="120"/>
              <w:rPr>
                <w:sz w:val="20"/>
                <w:szCs w:val="20"/>
              </w:rPr>
            </w:pPr>
            <w:r>
              <w:rPr>
                <w:sz w:val="20"/>
                <w:szCs w:val="20"/>
              </w:rPr>
              <w:t>Skin biopsy and urine samples from 31 patients with EM.</w:t>
            </w:r>
          </w:p>
          <w:p w14:paraId="5CD88B5D" w14:textId="77777777" w:rsidR="002D58E4" w:rsidRDefault="00F721D4">
            <w:pPr>
              <w:spacing w:after="120"/>
              <w:rPr>
                <w:sz w:val="20"/>
                <w:szCs w:val="20"/>
              </w:rPr>
            </w:pPr>
            <w:r>
              <w:rPr>
                <w:sz w:val="20"/>
                <w:szCs w:val="20"/>
              </w:rPr>
              <w:t>Skin biopsy specimens from 7 healthy individuals were included as controls.</w:t>
            </w:r>
          </w:p>
        </w:tc>
        <w:tc>
          <w:tcPr>
            <w:tcW w:w="4050" w:type="dxa"/>
            <w:vAlign w:val="center"/>
          </w:tcPr>
          <w:p w14:paraId="7A6748B2" w14:textId="77777777" w:rsidR="002D58E4" w:rsidRDefault="00F721D4">
            <w:pPr>
              <w:rPr>
                <w:sz w:val="20"/>
                <w:szCs w:val="20"/>
              </w:rPr>
            </w:pPr>
            <w:r>
              <w:rPr>
                <w:b/>
                <w:sz w:val="20"/>
                <w:szCs w:val="20"/>
              </w:rPr>
              <w:t>16S ribosomal RNA-based PCR</w:t>
            </w:r>
            <w:r>
              <w:rPr>
                <w:sz w:val="20"/>
                <w:szCs w:val="20"/>
              </w:rPr>
              <w:t xml:space="preserve"> of </w:t>
            </w:r>
            <w:r>
              <w:rPr>
                <w:b/>
                <w:sz w:val="20"/>
                <w:szCs w:val="20"/>
                <w:u w:val="single"/>
              </w:rPr>
              <w:t>skin</w:t>
            </w:r>
            <w:r>
              <w:rPr>
                <w:sz w:val="20"/>
                <w:szCs w:val="20"/>
              </w:rPr>
              <w:t xml:space="preserve"> samples.  </w:t>
            </w:r>
          </w:p>
          <w:p w14:paraId="675CD3AA" w14:textId="77777777" w:rsidR="002D58E4" w:rsidRDefault="00F721D4">
            <w:pPr>
              <w:rPr>
                <w:sz w:val="20"/>
                <w:szCs w:val="20"/>
              </w:rPr>
            </w:pPr>
            <w:r>
              <w:rPr>
                <w:sz w:val="20"/>
                <w:szCs w:val="20"/>
              </w:rPr>
              <w:t>Skin specimens were also cultured in BSK medium.</w:t>
            </w:r>
          </w:p>
          <w:p w14:paraId="6F311C76" w14:textId="77777777" w:rsidR="002D58E4" w:rsidRDefault="00F721D4">
            <w:pPr>
              <w:rPr>
                <w:sz w:val="20"/>
                <w:szCs w:val="20"/>
              </w:rPr>
            </w:pPr>
            <w:r>
              <w:rPr>
                <w:sz w:val="20"/>
                <w:szCs w:val="20"/>
              </w:rPr>
              <w:t>In addition, serum anti-</w:t>
            </w:r>
            <w:r>
              <w:rPr>
                <w:i/>
                <w:sz w:val="20"/>
                <w:szCs w:val="20"/>
              </w:rPr>
              <w:t>B burgdorferi</w:t>
            </w:r>
            <w:r>
              <w:rPr>
                <w:sz w:val="20"/>
                <w:szCs w:val="20"/>
              </w:rPr>
              <w:t xml:space="preserve"> IgG and IgM were measured by ELISA assay. </w:t>
            </w:r>
          </w:p>
        </w:tc>
        <w:tc>
          <w:tcPr>
            <w:tcW w:w="5693" w:type="dxa"/>
            <w:vAlign w:val="center"/>
          </w:tcPr>
          <w:p w14:paraId="4A1DD6CC" w14:textId="77777777" w:rsidR="002D58E4" w:rsidRDefault="00F721D4">
            <w:pPr>
              <w:rPr>
                <w:sz w:val="20"/>
                <w:szCs w:val="20"/>
              </w:rPr>
            </w:pPr>
            <w:r>
              <w:rPr>
                <w:b/>
                <w:sz w:val="20"/>
                <w:szCs w:val="20"/>
              </w:rPr>
              <w:t>16S rRNA PCR</w:t>
            </w:r>
            <w:r>
              <w:rPr>
                <w:sz w:val="20"/>
                <w:szCs w:val="20"/>
              </w:rPr>
              <w:t xml:space="preserve"> detected</w:t>
            </w:r>
            <w:r>
              <w:rPr>
                <w:i/>
                <w:sz w:val="20"/>
                <w:szCs w:val="20"/>
              </w:rPr>
              <w:t xml:space="preserve"> B. burgdorferi</w:t>
            </w:r>
            <w:r>
              <w:rPr>
                <w:sz w:val="20"/>
                <w:szCs w:val="20"/>
              </w:rPr>
              <w:t xml:space="preserve"> DNA in 22/31 </w:t>
            </w:r>
            <w:r>
              <w:rPr>
                <w:b/>
                <w:sz w:val="20"/>
                <w:szCs w:val="20"/>
              </w:rPr>
              <w:t>(Sn 71.0%)</w:t>
            </w:r>
            <w:r>
              <w:rPr>
                <w:sz w:val="20"/>
                <w:szCs w:val="20"/>
              </w:rPr>
              <w:t xml:space="preserve"> of the </w:t>
            </w:r>
            <w:r>
              <w:rPr>
                <w:b/>
                <w:sz w:val="20"/>
                <w:szCs w:val="20"/>
                <w:u w:val="single"/>
              </w:rPr>
              <w:t>skin</w:t>
            </w:r>
            <w:r>
              <w:rPr>
                <w:sz w:val="20"/>
                <w:szCs w:val="20"/>
              </w:rPr>
              <w:t xml:space="preserve"> biopsy specimens from patients with EM; it was not found in any of the controls (</w:t>
            </w:r>
            <w:r>
              <w:rPr>
                <w:b/>
                <w:sz w:val="20"/>
                <w:szCs w:val="20"/>
              </w:rPr>
              <w:t>Sp 100%)</w:t>
            </w:r>
          </w:p>
          <w:p w14:paraId="75C63ABB" w14:textId="77777777" w:rsidR="002D58E4" w:rsidRDefault="00F721D4">
            <w:pPr>
              <w:rPr>
                <w:sz w:val="20"/>
                <w:szCs w:val="20"/>
              </w:rPr>
            </w:pPr>
            <w:r>
              <w:rPr>
                <w:i/>
                <w:sz w:val="20"/>
                <w:szCs w:val="20"/>
              </w:rPr>
              <w:t>(B. burgdorferi</w:t>
            </w:r>
            <w:r>
              <w:rPr>
                <w:sz w:val="20"/>
                <w:szCs w:val="20"/>
              </w:rPr>
              <w:t xml:space="preserve"> was cultured in 29% of the EM specimens, and 41% of the patients had </w:t>
            </w:r>
            <w:r>
              <w:rPr>
                <w:i/>
                <w:sz w:val="20"/>
                <w:szCs w:val="20"/>
              </w:rPr>
              <w:t>B. burgdorferi</w:t>
            </w:r>
            <w:r>
              <w:rPr>
                <w:sz w:val="20"/>
                <w:szCs w:val="20"/>
              </w:rPr>
              <w:t xml:space="preserve"> -specific antibodies in serum).</w:t>
            </w:r>
          </w:p>
        </w:tc>
      </w:tr>
      <w:tr w:rsidR="002D58E4" w14:paraId="59C2693F" w14:textId="77777777">
        <w:trPr>
          <w:jc w:val="center"/>
        </w:trPr>
        <w:tc>
          <w:tcPr>
            <w:tcW w:w="1041" w:type="dxa"/>
            <w:vAlign w:val="center"/>
          </w:tcPr>
          <w:p w14:paraId="244D8B54" w14:textId="77777777" w:rsidR="002D58E4" w:rsidRDefault="00F721D4">
            <w:pPr>
              <w:rPr>
                <w:sz w:val="20"/>
                <w:szCs w:val="20"/>
              </w:rPr>
            </w:pPr>
            <w:r>
              <w:rPr>
                <w:sz w:val="20"/>
                <w:szCs w:val="20"/>
              </w:rPr>
              <w:t>Moter, 1994 (</w:t>
            </w:r>
            <w:r>
              <w:rPr>
                <w:i/>
                <w:sz w:val="20"/>
                <w:szCs w:val="20"/>
              </w:rPr>
              <w:t>see above</w:t>
            </w:r>
            <w:r>
              <w:rPr>
                <w:sz w:val="20"/>
                <w:szCs w:val="20"/>
              </w:rPr>
              <w:t xml:space="preserve">); </w:t>
            </w:r>
          </w:p>
          <w:p w14:paraId="4DE6D282" w14:textId="77777777" w:rsidR="002D58E4" w:rsidRDefault="002D58E4">
            <w:pPr>
              <w:rPr>
                <w:sz w:val="20"/>
                <w:szCs w:val="20"/>
              </w:rPr>
            </w:pPr>
          </w:p>
          <w:p w14:paraId="2B269986" w14:textId="77777777" w:rsidR="002D58E4" w:rsidRDefault="00F721D4">
            <w:pPr>
              <w:rPr>
                <w:sz w:val="20"/>
                <w:szCs w:val="20"/>
              </w:rPr>
            </w:pPr>
            <w:r>
              <w:rPr>
                <w:sz w:val="20"/>
                <w:szCs w:val="20"/>
              </w:rPr>
              <w:t>Germany</w:t>
            </w:r>
          </w:p>
        </w:tc>
        <w:tc>
          <w:tcPr>
            <w:tcW w:w="3743" w:type="dxa"/>
            <w:vAlign w:val="center"/>
          </w:tcPr>
          <w:p w14:paraId="02DC6A6C" w14:textId="77777777" w:rsidR="002D58E4" w:rsidRDefault="00F721D4">
            <w:pPr>
              <w:spacing w:after="120"/>
              <w:rPr>
                <w:sz w:val="20"/>
                <w:szCs w:val="20"/>
              </w:rPr>
            </w:pPr>
            <w:r>
              <w:rPr>
                <w:sz w:val="20"/>
                <w:szCs w:val="20"/>
              </w:rPr>
              <w:t>Skin biopsy samples from 10 untreated patients with EM and 12 patients with ACA.</w:t>
            </w:r>
          </w:p>
          <w:p w14:paraId="5CEB6250" w14:textId="77777777" w:rsidR="002D58E4" w:rsidRDefault="00F721D4">
            <w:pPr>
              <w:spacing w:after="120"/>
              <w:rPr>
                <w:sz w:val="20"/>
                <w:szCs w:val="20"/>
              </w:rPr>
            </w:pPr>
            <w:r>
              <w:rPr>
                <w:sz w:val="20"/>
                <w:szCs w:val="20"/>
              </w:rPr>
              <w:t xml:space="preserve">Negative controls included normal skin biopsy tissue culture. </w:t>
            </w:r>
          </w:p>
        </w:tc>
        <w:tc>
          <w:tcPr>
            <w:tcW w:w="4050" w:type="dxa"/>
            <w:vAlign w:val="center"/>
          </w:tcPr>
          <w:p w14:paraId="4D276FEE" w14:textId="77777777" w:rsidR="002D58E4" w:rsidRDefault="00F721D4">
            <w:pPr>
              <w:rPr>
                <w:sz w:val="20"/>
                <w:szCs w:val="20"/>
              </w:rPr>
            </w:pPr>
            <w:r>
              <w:rPr>
                <w:b/>
                <w:sz w:val="20"/>
                <w:szCs w:val="20"/>
              </w:rPr>
              <w:t>Nested PCR</w:t>
            </w:r>
            <w:r>
              <w:rPr>
                <w:sz w:val="20"/>
                <w:szCs w:val="20"/>
              </w:rPr>
              <w:t xml:space="preserve"> of the </w:t>
            </w:r>
            <w:r>
              <w:rPr>
                <w:b/>
                <w:sz w:val="20"/>
                <w:szCs w:val="20"/>
                <w:u w:val="single"/>
              </w:rPr>
              <w:t>skin</w:t>
            </w:r>
            <w:r>
              <w:rPr>
                <w:sz w:val="20"/>
                <w:szCs w:val="20"/>
              </w:rPr>
              <w:t xml:space="preserve"> using outer surface protein A </w:t>
            </w:r>
            <w:r>
              <w:rPr>
                <w:b/>
                <w:sz w:val="20"/>
                <w:szCs w:val="20"/>
              </w:rPr>
              <w:t>(OspA) gene</w:t>
            </w:r>
            <w:r>
              <w:rPr>
                <w:sz w:val="20"/>
                <w:szCs w:val="20"/>
              </w:rPr>
              <w:t xml:space="preserve"> as a target was performed. </w:t>
            </w:r>
          </w:p>
          <w:p w14:paraId="7CFDD845" w14:textId="77777777" w:rsidR="002D58E4" w:rsidRDefault="00F721D4">
            <w:pPr>
              <w:rPr>
                <w:b/>
                <w:sz w:val="20"/>
                <w:szCs w:val="20"/>
              </w:rPr>
            </w:pPr>
            <w:r>
              <w:rPr>
                <w:sz w:val="20"/>
                <w:szCs w:val="20"/>
              </w:rPr>
              <w:t>Skin samples were also cultured in BSK medium.</w:t>
            </w:r>
            <w:r>
              <w:rPr>
                <w:b/>
                <w:sz w:val="20"/>
                <w:szCs w:val="20"/>
              </w:rPr>
              <w:t xml:space="preserve"> </w:t>
            </w:r>
          </w:p>
        </w:tc>
        <w:tc>
          <w:tcPr>
            <w:tcW w:w="5693" w:type="dxa"/>
            <w:vAlign w:val="center"/>
          </w:tcPr>
          <w:p w14:paraId="315ED4F7" w14:textId="77777777" w:rsidR="002D58E4" w:rsidRDefault="00F721D4">
            <w:pPr>
              <w:rPr>
                <w:sz w:val="20"/>
                <w:szCs w:val="20"/>
              </w:rPr>
            </w:pPr>
            <w:r>
              <w:rPr>
                <w:sz w:val="20"/>
                <w:szCs w:val="20"/>
              </w:rPr>
              <w:t xml:space="preserve">8 of 10 </w:t>
            </w:r>
            <w:r>
              <w:rPr>
                <w:b/>
                <w:sz w:val="20"/>
                <w:szCs w:val="20"/>
              </w:rPr>
              <w:t>(Sn 80,0%)</w:t>
            </w:r>
            <w:r>
              <w:rPr>
                <w:sz w:val="20"/>
                <w:szCs w:val="20"/>
              </w:rPr>
              <w:t xml:space="preserve"> </w:t>
            </w:r>
            <w:r>
              <w:rPr>
                <w:b/>
                <w:sz w:val="20"/>
                <w:szCs w:val="20"/>
                <w:u w:val="single"/>
              </w:rPr>
              <w:t>skin</w:t>
            </w:r>
            <w:r>
              <w:rPr>
                <w:sz w:val="20"/>
                <w:szCs w:val="20"/>
              </w:rPr>
              <w:t xml:space="preserve"> samples from EM patients tested positive by </w:t>
            </w:r>
            <w:r>
              <w:rPr>
                <w:b/>
                <w:sz w:val="20"/>
                <w:szCs w:val="20"/>
              </w:rPr>
              <w:t>nested OspA PCR</w:t>
            </w:r>
            <w:r>
              <w:rPr>
                <w:sz w:val="20"/>
                <w:szCs w:val="20"/>
              </w:rPr>
              <w:t>;</w:t>
            </w:r>
          </w:p>
          <w:p w14:paraId="1E1CD1FD" w14:textId="77777777" w:rsidR="002D58E4" w:rsidRDefault="00F721D4">
            <w:pPr>
              <w:rPr>
                <w:sz w:val="20"/>
                <w:szCs w:val="20"/>
              </w:rPr>
            </w:pPr>
            <w:r>
              <w:rPr>
                <w:i/>
                <w:sz w:val="20"/>
                <w:szCs w:val="20"/>
              </w:rPr>
              <w:t xml:space="preserve">(B. burgdorferi </w:t>
            </w:r>
            <w:r>
              <w:rPr>
                <w:sz w:val="20"/>
                <w:szCs w:val="20"/>
              </w:rPr>
              <w:t xml:space="preserve">was cultivated in 30.0% EM biopsy samples). </w:t>
            </w:r>
          </w:p>
          <w:p w14:paraId="52B08A9C" w14:textId="77777777" w:rsidR="002D58E4" w:rsidRDefault="00F721D4">
            <w:pPr>
              <w:rPr>
                <w:sz w:val="20"/>
                <w:szCs w:val="20"/>
              </w:rPr>
            </w:pPr>
            <w:r>
              <w:rPr>
                <w:sz w:val="20"/>
                <w:szCs w:val="20"/>
              </w:rPr>
              <w:t xml:space="preserve">All control specimens from individuals with normal skin yielded negative results by PCR </w:t>
            </w:r>
            <w:r>
              <w:rPr>
                <w:b/>
                <w:sz w:val="20"/>
                <w:szCs w:val="20"/>
              </w:rPr>
              <w:t>(Sp 100%).</w:t>
            </w:r>
          </w:p>
        </w:tc>
      </w:tr>
      <w:tr w:rsidR="002D58E4" w14:paraId="084CB86D" w14:textId="77777777">
        <w:trPr>
          <w:jc w:val="center"/>
        </w:trPr>
        <w:tc>
          <w:tcPr>
            <w:tcW w:w="1041" w:type="dxa"/>
            <w:vAlign w:val="center"/>
          </w:tcPr>
          <w:p w14:paraId="124C8948" w14:textId="77777777" w:rsidR="002D58E4" w:rsidRDefault="00F721D4">
            <w:pPr>
              <w:rPr>
                <w:sz w:val="20"/>
                <w:szCs w:val="20"/>
              </w:rPr>
            </w:pPr>
            <w:r>
              <w:rPr>
                <w:sz w:val="20"/>
                <w:szCs w:val="20"/>
              </w:rPr>
              <w:t>Nowakowski, 2001 (</w:t>
            </w:r>
            <w:r>
              <w:rPr>
                <w:i/>
                <w:sz w:val="20"/>
                <w:szCs w:val="20"/>
              </w:rPr>
              <w:t>see above</w:t>
            </w:r>
            <w:r>
              <w:rPr>
                <w:sz w:val="20"/>
                <w:szCs w:val="20"/>
              </w:rPr>
              <w:t>)</w:t>
            </w:r>
          </w:p>
          <w:p w14:paraId="1D3B3825" w14:textId="77777777" w:rsidR="002D58E4" w:rsidRDefault="00F721D4">
            <w:pPr>
              <w:rPr>
                <w:sz w:val="20"/>
                <w:szCs w:val="20"/>
              </w:rPr>
            </w:pPr>
            <w:r>
              <w:rPr>
                <w:sz w:val="20"/>
                <w:szCs w:val="20"/>
              </w:rPr>
              <w:t>NY state, USA</w:t>
            </w:r>
          </w:p>
        </w:tc>
        <w:tc>
          <w:tcPr>
            <w:tcW w:w="3743" w:type="dxa"/>
            <w:vAlign w:val="center"/>
          </w:tcPr>
          <w:p w14:paraId="03E5A4A2" w14:textId="77777777" w:rsidR="002D58E4" w:rsidRDefault="00F721D4">
            <w:pPr>
              <w:rPr>
                <w:sz w:val="20"/>
                <w:szCs w:val="20"/>
              </w:rPr>
            </w:pPr>
            <w:r>
              <w:rPr>
                <w:sz w:val="20"/>
                <w:szCs w:val="20"/>
              </w:rPr>
              <w:t xml:space="preserve">Blood (plasma) samples and </w:t>
            </w:r>
            <w:r>
              <w:rPr>
                <w:b/>
                <w:sz w:val="20"/>
                <w:szCs w:val="20"/>
              </w:rPr>
              <w:t>skin biopsy</w:t>
            </w:r>
            <w:r>
              <w:rPr>
                <w:sz w:val="20"/>
                <w:szCs w:val="20"/>
              </w:rPr>
              <w:t xml:space="preserve"> specimens from 47 patients with EM.</w:t>
            </w:r>
          </w:p>
        </w:tc>
        <w:tc>
          <w:tcPr>
            <w:tcW w:w="4050" w:type="dxa"/>
            <w:vAlign w:val="center"/>
          </w:tcPr>
          <w:p w14:paraId="1BE98F61" w14:textId="77777777" w:rsidR="002D58E4" w:rsidRDefault="00F721D4">
            <w:pPr>
              <w:rPr>
                <w:sz w:val="20"/>
                <w:szCs w:val="20"/>
              </w:rPr>
            </w:pPr>
            <w:r>
              <w:rPr>
                <w:b/>
                <w:sz w:val="20"/>
                <w:szCs w:val="20"/>
              </w:rPr>
              <w:t>6 diagnostic modalities were compared</w:t>
            </w:r>
            <w:r>
              <w:rPr>
                <w:sz w:val="20"/>
                <w:szCs w:val="20"/>
              </w:rPr>
              <w:t xml:space="preserve">:  </w:t>
            </w:r>
          </w:p>
          <w:p w14:paraId="6A2E3C60" w14:textId="77777777" w:rsidR="002D58E4" w:rsidRDefault="00F721D4">
            <w:pPr>
              <w:numPr>
                <w:ilvl w:val="0"/>
                <w:numId w:val="28"/>
              </w:numPr>
              <w:ind w:left="144" w:hanging="144"/>
              <w:rPr>
                <w:sz w:val="20"/>
                <w:szCs w:val="20"/>
              </w:rPr>
            </w:pPr>
            <w:r>
              <w:rPr>
                <w:b/>
                <w:sz w:val="20"/>
                <w:szCs w:val="20"/>
              </w:rPr>
              <w:t xml:space="preserve">quantitative PCR (qPCR) on </w:t>
            </w:r>
            <w:r>
              <w:rPr>
                <w:b/>
                <w:sz w:val="20"/>
                <w:szCs w:val="20"/>
                <w:u w:val="single"/>
              </w:rPr>
              <w:t>skin</w:t>
            </w:r>
            <w:r>
              <w:rPr>
                <w:sz w:val="20"/>
                <w:szCs w:val="20"/>
              </w:rPr>
              <w:t xml:space="preserve"> biopsy–derived material;  </w:t>
            </w:r>
          </w:p>
          <w:p w14:paraId="0ACF1B4D" w14:textId="77777777" w:rsidR="002D58E4" w:rsidRDefault="00F721D4">
            <w:pPr>
              <w:numPr>
                <w:ilvl w:val="0"/>
                <w:numId w:val="28"/>
              </w:numPr>
              <w:ind w:left="144" w:hanging="144"/>
              <w:rPr>
                <w:sz w:val="20"/>
                <w:szCs w:val="20"/>
              </w:rPr>
            </w:pPr>
            <w:r>
              <w:rPr>
                <w:b/>
                <w:sz w:val="20"/>
                <w:szCs w:val="20"/>
              </w:rPr>
              <w:t xml:space="preserve">conventional nested </w:t>
            </w:r>
            <w:r>
              <w:rPr>
                <w:b/>
                <w:sz w:val="20"/>
                <w:szCs w:val="20"/>
                <w:u w:val="single"/>
              </w:rPr>
              <w:t>skin</w:t>
            </w:r>
            <w:r>
              <w:rPr>
                <w:b/>
                <w:sz w:val="20"/>
                <w:szCs w:val="20"/>
              </w:rPr>
              <w:t xml:space="preserve"> PCR</w:t>
            </w:r>
            <w:r>
              <w:rPr>
                <w:sz w:val="20"/>
                <w:szCs w:val="20"/>
              </w:rPr>
              <w:t xml:space="preserve">; </w:t>
            </w:r>
          </w:p>
          <w:p w14:paraId="46570614" w14:textId="77777777" w:rsidR="002D58E4" w:rsidRDefault="00F721D4">
            <w:pPr>
              <w:numPr>
                <w:ilvl w:val="0"/>
                <w:numId w:val="28"/>
              </w:numPr>
              <w:ind w:left="144" w:hanging="144"/>
              <w:rPr>
                <w:sz w:val="20"/>
                <w:szCs w:val="20"/>
              </w:rPr>
            </w:pPr>
            <w:r>
              <w:rPr>
                <w:sz w:val="20"/>
                <w:szCs w:val="20"/>
              </w:rPr>
              <w:t xml:space="preserve">skin culture (BSK medium); </w:t>
            </w:r>
          </w:p>
          <w:p w14:paraId="13911472" w14:textId="77777777" w:rsidR="002D58E4" w:rsidRDefault="00F721D4">
            <w:pPr>
              <w:numPr>
                <w:ilvl w:val="0"/>
                <w:numId w:val="28"/>
              </w:numPr>
              <w:ind w:left="144" w:hanging="144"/>
              <w:rPr>
                <w:sz w:val="20"/>
                <w:szCs w:val="20"/>
              </w:rPr>
            </w:pPr>
            <w:r>
              <w:rPr>
                <w:sz w:val="20"/>
                <w:szCs w:val="20"/>
              </w:rPr>
              <w:t>blood culture (BSK medium);</w:t>
            </w:r>
          </w:p>
          <w:p w14:paraId="3FCA1176" w14:textId="77777777" w:rsidR="002D58E4" w:rsidRDefault="00F721D4">
            <w:pPr>
              <w:numPr>
                <w:ilvl w:val="0"/>
                <w:numId w:val="28"/>
              </w:numPr>
              <w:ind w:left="144" w:hanging="144"/>
              <w:rPr>
                <w:sz w:val="20"/>
                <w:szCs w:val="20"/>
              </w:rPr>
            </w:pPr>
            <w:r>
              <w:rPr>
                <w:sz w:val="20"/>
                <w:szCs w:val="20"/>
              </w:rPr>
              <w:lastRenderedPageBreak/>
              <w:t xml:space="preserve">2-stage serologic testing of convalescent-phase samples; and </w:t>
            </w:r>
          </w:p>
          <w:p w14:paraId="460CB09C" w14:textId="77777777" w:rsidR="002D58E4" w:rsidRDefault="00F721D4">
            <w:pPr>
              <w:numPr>
                <w:ilvl w:val="0"/>
                <w:numId w:val="28"/>
              </w:numPr>
              <w:ind w:left="144" w:hanging="144"/>
              <w:rPr>
                <w:sz w:val="20"/>
                <w:szCs w:val="20"/>
              </w:rPr>
            </w:pPr>
            <w:r>
              <w:rPr>
                <w:sz w:val="20"/>
                <w:szCs w:val="20"/>
              </w:rPr>
              <w:t>serologic testing of acute-phase samples.</w:t>
            </w:r>
          </w:p>
        </w:tc>
        <w:tc>
          <w:tcPr>
            <w:tcW w:w="5693" w:type="dxa"/>
            <w:vAlign w:val="center"/>
          </w:tcPr>
          <w:p w14:paraId="6FE03B38" w14:textId="77777777" w:rsidR="002D58E4" w:rsidRDefault="00F721D4">
            <w:pPr>
              <w:rPr>
                <w:b/>
                <w:sz w:val="20"/>
                <w:szCs w:val="20"/>
              </w:rPr>
            </w:pPr>
            <w:r>
              <w:rPr>
                <w:b/>
                <w:sz w:val="20"/>
                <w:szCs w:val="20"/>
              </w:rPr>
              <w:lastRenderedPageBreak/>
              <w:t xml:space="preserve">Quantitative PCR of </w:t>
            </w:r>
            <w:r>
              <w:rPr>
                <w:b/>
                <w:sz w:val="20"/>
                <w:szCs w:val="20"/>
                <w:u w:val="single"/>
              </w:rPr>
              <w:t>skin</w:t>
            </w:r>
            <w:r>
              <w:rPr>
                <w:sz w:val="20"/>
                <w:szCs w:val="20"/>
                <w:u w:val="single"/>
              </w:rPr>
              <w:t xml:space="preserve"> </w:t>
            </w:r>
            <w:r>
              <w:rPr>
                <w:sz w:val="20"/>
                <w:szCs w:val="20"/>
              </w:rPr>
              <w:t xml:space="preserve">was the most sensitive diagnostic method </w:t>
            </w:r>
            <w:r>
              <w:rPr>
                <w:b/>
                <w:sz w:val="20"/>
                <w:szCs w:val="20"/>
              </w:rPr>
              <w:t>(80.9%)</w:t>
            </w:r>
            <w:r>
              <w:rPr>
                <w:sz w:val="20"/>
                <w:szCs w:val="20"/>
              </w:rPr>
              <w:t xml:space="preserve">, followed by 2-stage serologic testing of convalescent-phase samples (66.0%), </w:t>
            </w:r>
            <w:r>
              <w:rPr>
                <w:b/>
                <w:sz w:val="20"/>
                <w:szCs w:val="20"/>
              </w:rPr>
              <w:t>conventional nested PCR of skin (63.8%),</w:t>
            </w:r>
            <w:r>
              <w:rPr>
                <w:sz w:val="20"/>
                <w:szCs w:val="20"/>
              </w:rPr>
              <w:t xml:space="preserve"> skin culture (51.1%), blood culture (44.7%), and serologic testing of acute-phase samples (40.4%).</w:t>
            </w:r>
          </w:p>
        </w:tc>
      </w:tr>
      <w:tr w:rsidR="002D58E4" w14:paraId="50ADA2A6" w14:textId="77777777">
        <w:trPr>
          <w:jc w:val="center"/>
        </w:trPr>
        <w:tc>
          <w:tcPr>
            <w:tcW w:w="1041" w:type="dxa"/>
            <w:vAlign w:val="center"/>
          </w:tcPr>
          <w:p w14:paraId="024BE26D" w14:textId="77777777" w:rsidR="002D58E4" w:rsidRDefault="00F721D4">
            <w:pPr>
              <w:rPr>
                <w:sz w:val="20"/>
                <w:szCs w:val="20"/>
              </w:rPr>
            </w:pPr>
            <w:r>
              <w:rPr>
                <w:sz w:val="20"/>
                <w:szCs w:val="20"/>
              </w:rPr>
              <w:t>O’Rourke, 2013 (</w:t>
            </w:r>
            <w:r>
              <w:rPr>
                <w:i/>
                <w:sz w:val="20"/>
                <w:szCs w:val="20"/>
              </w:rPr>
              <w:t>see above</w:t>
            </w:r>
            <w:r>
              <w:rPr>
                <w:sz w:val="20"/>
                <w:szCs w:val="20"/>
              </w:rPr>
              <w:t>);</w:t>
            </w:r>
          </w:p>
          <w:p w14:paraId="343A253F" w14:textId="77777777" w:rsidR="002D58E4" w:rsidRDefault="002D58E4">
            <w:pPr>
              <w:rPr>
                <w:sz w:val="20"/>
                <w:szCs w:val="20"/>
              </w:rPr>
            </w:pPr>
          </w:p>
          <w:p w14:paraId="35B3BDD4" w14:textId="77777777" w:rsidR="002D58E4" w:rsidRDefault="00F721D4">
            <w:pPr>
              <w:rPr>
                <w:sz w:val="20"/>
                <w:szCs w:val="20"/>
              </w:rPr>
            </w:pPr>
            <w:r>
              <w:rPr>
                <w:sz w:val="20"/>
                <w:szCs w:val="20"/>
              </w:rPr>
              <w:t>Slovenia</w:t>
            </w:r>
          </w:p>
        </w:tc>
        <w:tc>
          <w:tcPr>
            <w:tcW w:w="3743" w:type="dxa"/>
            <w:vAlign w:val="center"/>
          </w:tcPr>
          <w:p w14:paraId="4B8633A0" w14:textId="77777777" w:rsidR="002D58E4" w:rsidRDefault="00F721D4">
            <w:pPr>
              <w:rPr>
                <w:sz w:val="20"/>
                <w:szCs w:val="20"/>
              </w:rPr>
            </w:pPr>
            <w:r>
              <w:rPr>
                <w:sz w:val="20"/>
                <w:szCs w:val="20"/>
              </w:rPr>
              <w:t>Skin biopsy specimens of 121 patients with solitary EM.</w:t>
            </w:r>
          </w:p>
        </w:tc>
        <w:tc>
          <w:tcPr>
            <w:tcW w:w="4050" w:type="dxa"/>
            <w:vAlign w:val="center"/>
          </w:tcPr>
          <w:p w14:paraId="76775125" w14:textId="77777777" w:rsidR="002D58E4" w:rsidRDefault="00F721D4">
            <w:pPr>
              <w:rPr>
                <w:sz w:val="20"/>
                <w:szCs w:val="20"/>
              </w:rPr>
            </w:pPr>
            <w:r>
              <w:rPr>
                <w:i/>
                <w:sz w:val="20"/>
                <w:szCs w:val="20"/>
              </w:rPr>
              <w:t>Borrelia</w:t>
            </w:r>
            <w:r>
              <w:rPr>
                <w:sz w:val="20"/>
                <w:szCs w:val="20"/>
              </w:rPr>
              <w:t xml:space="preserve"> </w:t>
            </w:r>
            <w:r>
              <w:rPr>
                <w:b/>
                <w:sz w:val="20"/>
                <w:szCs w:val="20"/>
              </w:rPr>
              <w:t>16S rRNA Real-Time PCR</w:t>
            </w:r>
            <w:r>
              <w:rPr>
                <w:sz w:val="20"/>
                <w:szCs w:val="20"/>
              </w:rPr>
              <w:t xml:space="preserve"> was performed on </w:t>
            </w:r>
            <w:r>
              <w:rPr>
                <w:b/>
                <w:sz w:val="20"/>
                <w:szCs w:val="20"/>
                <w:u w:val="single"/>
              </w:rPr>
              <w:t>skin</w:t>
            </w:r>
            <w:r>
              <w:rPr>
                <w:sz w:val="20"/>
                <w:szCs w:val="20"/>
              </w:rPr>
              <w:t xml:space="preserve"> samples (duplex quantitative real-time PCR assay targeting the </w:t>
            </w:r>
            <w:r>
              <w:rPr>
                <w:i/>
                <w:sz w:val="20"/>
                <w:szCs w:val="20"/>
              </w:rPr>
              <w:t>Borrelia</w:t>
            </w:r>
            <w:r>
              <w:rPr>
                <w:sz w:val="20"/>
                <w:szCs w:val="20"/>
              </w:rPr>
              <w:t xml:space="preserve"> 16S rRNA and using human RNAseP genes as an internal positive control - to compensate for variations arising from the DNA extraction procedure and/or the size and quality of the biopsy).</w:t>
            </w:r>
          </w:p>
          <w:p w14:paraId="5A70F858" w14:textId="77777777" w:rsidR="002D58E4" w:rsidRDefault="00F721D4">
            <w:pPr>
              <w:rPr>
                <w:sz w:val="20"/>
                <w:szCs w:val="20"/>
              </w:rPr>
            </w:pPr>
            <w:r>
              <w:rPr>
                <w:sz w:val="20"/>
                <w:szCs w:val="20"/>
              </w:rPr>
              <w:t>Skin samples were also cultured using modified BSK medium (BSK-B).</w:t>
            </w:r>
          </w:p>
        </w:tc>
        <w:tc>
          <w:tcPr>
            <w:tcW w:w="5693" w:type="dxa"/>
            <w:vAlign w:val="center"/>
          </w:tcPr>
          <w:p w14:paraId="3AF42435" w14:textId="77777777" w:rsidR="002D58E4" w:rsidRDefault="00F721D4">
            <w:pPr>
              <w:rPr>
                <w:sz w:val="20"/>
                <w:szCs w:val="20"/>
              </w:rPr>
            </w:pPr>
            <w:r>
              <w:rPr>
                <w:sz w:val="20"/>
                <w:szCs w:val="20"/>
              </w:rPr>
              <w:t xml:space="preserve">94 out of 121 </w:t>
            </w:r>
            <w:r>
              <w:rPr>
                <w:b/>
                <w:sz w:val="20"/>
                <w:szCs w:val="20"/>
                <w:u w:val="single"/>
              </w:rPr>
              <w:t>skin</w:t>
            </w:r>
            <w:r>
              <w:rPr>
                <w:sz w:val="20"/>
                <w:szCs w:val="20"/>
              </w:rPr>
              <w:t xml:space="preserve"> biopsies </w:t>
            </w:r>
            <w:r>
              <w:rPr>
                <w:b/>
                <w:sz w:val="20"/>
                <w:szCs w:val="20"/>
              </w:rPr>
              <w:t>(77.7%)</w:t>
            </w:r>
            <w:r>
              <w:rPr>
                <w:sz w:val="20"/>
                <w:szCs w:val="20"/>
              </w:rPr>
              <w:t xml:space="preserve"> were </w:t>
            </w:r>
            <w:r>
              <w:rPr>
                <w:b/>
                <w:sz w:val="20"/>
                <w:szCs w:val="20"/>
              </w:rPr>
              <w:t>positive by PCR</w:t>
            </w:r>
            <w:r>
              <w:rPr>
                <w:sz w:val="20"/>
                <w:szCs w:val="20"/>
              </w:rPr>
              <w:t>, whereas only 55.1% were positive by culture.</w:t>
            </w:r>
          </w:p>
          <w:p w14:paraId="431DCFBC" w14:textId="77777777" w:rsidR="002D58E4" w:rsidRDefault="002D58E4">
            <w:pPr>
              <w:rPr>
                <w:sz w:val="20"/>
                <w:szCs w:val="20"/>
              </w:rPr>
            </w:pPr>
          </w:p>
          <w:p w14:paraId="69B727E6" w14:textId="77777777" w:rsidR="002D58E4" w:rsidRDefault="00F721D4">
            <w:pPr>
              <w:rPr>
                <w:sz w:val="20"/>
                <w:szCs w:val="20"/>
              </w:rPr>
            </w:pPr>
            <w:r>
              <w:rPr>
                <w:sz w:val="20"/>
                <w:szCs w:val="20"/>
              </w:rPr>
              <w:t>PCR testing identified more positive biopsy samples than culture and correctly identified all specimens scored as culture positive.</w:t>
            </w:r>
          </w:p>
          <w:p w14:paraId="3282A322" w14:textId="77777777" w:rsidR="002D58E4" w:rsidRDefault="002D58E4">
            <w:pPr>
              <w:rPr>
                <w:sz w:val="20"/>
                <w:szCs w:val="20"/>
              </w:rPr>
            </w:pPr>
          </w:p>
          <w:p w14:paraId="58B91D80" w14:textId="77777777" w:rsidR="002D58E4" w:rsidRDefault="00F721D4">
            <w:pPr>
              <w:rPr>
                <w:sz w:val="20"/>
                <w:szCs w:val="20"/>
              </w:rPr>
            </w:pPr>
            <w:r>
              <w:rPr>
                <w:sz w:val="20"/>
                <w:szCs w:val="20"/>
              </w:rPr>
              <w:t xml:space="preserve">The majority of isolates were </w:t>
            </w:r>
            <w:r>
              <w:rPr>
                <w:i/>
                <w:sz w:val="20"/>
                <w:szCs w:val="20"/>
              </w:rPr>
              <w:t>B. afzelii</w:t>
            </w:r>
            <w:r>
              <w:rPr>
                <w:sz w:val="20"/>
                <w:szCs w:val="20"/>
              </w:rPr>
              <w:t xml:space="preserve"> (96.8%).</w:t>
            </w:r>
          </w:p>
        </w:tc>
      </w:tr>
      <w:tr w:rsidR="002D58E4" w14:paraId="63E2B8E1" w14:textId="77777777">
        <w:trPr>
          <w:jc w:val="center"/>
        </w:trPr>
        <w:tc>
          <w:tcPr>
            <w:tcW w:w="1041" w:type="dxa"/>
            <w:vAlign w:val="center"/>
          </w:tcPr>
          <w:p w14:paraId="30458A68" w14:textId="77777777" w:rsidR="002D58E4" w:rsidRDefault="00F721D4">
            <w:pPr>
              <w:rPr>
                <w:sz w:val="20"/>
                <w:szCs w:val="20"/>
              </w:rPr>
            </w:pPr>
            <w:r>
              <w:rPr>
                <w:sz w:val="20"/>
                <w:szCs w:val="20"/>
              </w:rPr>
              <w:t>Picken, 1997 (</w:t>
            </w:r>
            <w:r>
              <w:rPr>
                <w:i/>
                <w:sz w:val="20"/>
                <w:szCs w:val="20"/>
              </w:rPr>
              <w:t>see above</w:t>
            </w:r>
            <w:r>
              <w:rPr>
                <w:sz w:val="20"/>
                <w:szCs w:val="20"/>
              </w:rPr>
              <w:t>);</w:t>
            </w:r>
          </w:p>
          <w:p w14:paraId="76DB71EC" w14:textId="77777777" w:rsidR="002D58E4" w:rsidRDefault="00F721D4">
            <w:pPr>
              <w:rPr>
                <w:sz w:val="20"/>
                <w:szCs w:val="20"/>
              </w:rPr>
            </w:pPr>
            <w:r>
              <w:rPr>
                <w:sz w:val="20"/>
                <w:szCs w:val="20"/>
              </w:rPr>
              <w:t>Slovenia</w:t>
            </w:r>
          </w:p>
          <w:p w14:paraId="5BAE6923" w14:textId="77777777" w:rsidR="002D58E4" w:rsidRDefault="002D58E4">
            <w:pPr>
              <w:rPr>
                <w:sz w:val="20"/>
                <w:szCs w:val="20"/>
              </w:rPr>
            </w:pPr>
          </w:p>
        </w:tc>
        <w:tc>
          <w:tcPr>
            <w:tcW w:w="3743" w:type="dxa"/>
            <w:vAlign w:val="center"/>
          </w:tcPr>
          <w:p w14:paraId="4D044E0A" w14:textId="77777777" w:rsidR="002D58E4" w:rsidRDefault="00F721D4">
            <w:pPr>
              <w:rPr>
                <w:sz w:val="20"/>
                <w:szCs w:val="20"/>
              </w:rPr>
            </w:pPr>
            <w:r>
              <w:rPr>
                <w:sz w:val="20"/>
                <w:szCs w:val="20"/>
              </w:rPr>
              <w:t>Skin biopsy specimens from EM and ACA lesions (n=758).</w:t>
            </w:r>
          </w:p>
        </w:tc>
        <w:tc>
          <w:tcPr>
            <w:tcW w:w="4050" w:type="dxa"/>
            <w:vAlign w:val="center"/>
          </w:tcPr>
          <w:p w14:paraId="3932A5CF" w14:textId="77777777" w:rsidR="002D58E4" w:rsidRDefault="00F721D4">
            <w:pPr>
              <w:rPr>
                <w:sz w:val="20"/>
                <w:szCs w:val="20"/>
              </w:rPr>
            </w:pPr>
            <w:r>
              <w:rPr>
                <w:sz w:val="20"/>
                <w:szCs w:val="20"/>
              </w:rPr>
              <w:t xml:space="preserve">Specimens were tested by </w:t>
            </w:r>
            <w:r>
              <w:rPr>
                <w:b/>
                <w:sz w:val="20"/>
                <w:szCs w:val="20"/>
              </w:rPr>
              <w:t xml:space="preserve">PCR amplification assay </w:t>
            </w:r>
            <w:r>
              <w:rPr>
                <w:b/>
                <w:sz w:val="20"/>
                <w:szCs w:val="20"/>
                <w:u w:val="single"/>
              </w:rPr>
              <w:t>(skin)</w:t>
            </w:r>
            <w:r>
              <w:rPr>
                <w:b/>
                <w:sz w:val="20"/>
                <w:szCs w:val="20"/>
              </w:rPr>
              <w:t xml:space="preserve"> </w:t>
            </w:r>
            <w:r>
              <w:rPr>
                <w:sz w:val="20"/>
                <w:szCs w:val="20"/>
              </w:rPr>
              <w:t>and skin culture using two artificial growth media, Barbour-Stoenner-Kelly II (BSK II) and modified Kelly-Pettenkofer (MKP).</w:t>
            </w:r>
          </w:p>
        </w:tc>
        <w:tc>
          <w:tcPr>
            <w:tcW w:w="5693" w:type="dxa"/>
            <w:vAlign w:val="center"/>
          </w:tcPr>
          <w:p w14:paraId="670FB74F" w14:textId="77777777" w:rsidR="002D58E4" w:rsidRDefault="00F721D4">
            <w:pPr>
              <w:rPr>
                <w:sz w:val="20"/>
                <w:szCs w:val="20"/>
              </w:rPr>
            </w:pPr>
            <w:r>
              <w:rPr>
                <w:sz w:val="20"/>
                <w:szCs w:val="20"/>
              </w:rPr>
              <w:t xml:space="preserve">For classic EM lesions, </w:t>
            </w:r>
            <w:r>
              <w:rPr>
                <w:b/>
                <w:sz w:val="20"/>
                <w:szCs w:val="20"/>
              </w:rPr>
              <w:t xml:space="preserve">the sensitivity of </w:t>
            </w:r>
            <w:r>
              <w:rPr>
                <w:sz w:val="20"/>
                <w:szCs w:val="20"/>
              </w:rPr>
              <w:t xml:space="preserve">PCR assay alone was </w:t>
            </w:r>
            <w:r>
              <w:rPr>
                <w:b/>
                <w:sz w:val="20"/>
                <w:szCs w:val="20"/>
              </w:rPr>
              <w:t>24.9%</w:t>
            </w:r>
            <w:r>
              <w:rPr>
                <w:sz w:val="20"/>
                <w:szCs w:val="20"/>
              </w:rPr>
              <w:t xml:space="preserve"> (189 of 758).</w:t>
            </w:r>
          </w:p>
          <w:p w14:paraId="60F84BFB" w14:textId="77777777" w:rsidR="002D58E4" w:rsidRDefault="002D58E4">
            <w:pPr>
              <w:rPr>
                <w:sz w:val="20"/>
                <w:szCs w:val="20"/>
              </w:rPr>
            </w:pPr>
          </w:p>
          <w:p w14:paraId="3087C6CF" w14:textId="77777777" w:rsidR="002D58E4" w:rsidRDefault="00F721D4">
            <w:pPr>
              <w:rPr>
                <w:sz w:val="20"/>
                <w:szCs w:val="20"/>
              </w:rPr>
            </w:pPr>
            <w:r>
              <w:rPr>
                <w:sz w:val="20"/>
                <w:szCs w:val="20"/>
              </w:rPr>
              <w:t>In classic EM lesions, 408 out of 758 specimens tested positive by at least one of the methods (53.8%).  Among positive specimens, the highest success rate was obtained by MKP culture alone (272 of 408 positive samples (67%), followed by PCR assay alone (189 of 408 (46%), followed by BSK II culture alone (179 of 408 (44%). Differences were statistically significant.</w:t>
            </w:r>
          </w:p>
        </w:tc>
      </w:tr>
      <w:tr w:rsidR="002D58E4" w14:paraId="5EAFF0C1" w14:textId="77777777">
        <w:trPr>
          <w:jc w:val="center"/>
        </w:trPr>
        <w:tc>
          <w:tcPr>
            <w:tcW w:w="1041" w:type="dxa"/>
            <w:vAlign w:val="center"/>
          </w:tcPr>
          <w:p w14:paraId="0BDB8D19" w14:textId="77777777" w:rsidR="002D58E4" w:rsidRDefault="00F721D4">
            <w:pPr>
              <w:rPr>
                <w:sz w:val="20"/>
                <w:szCs w:val="20"/>
              </w:rPr>
            </w:pPr>
            <w:r>
              <w:rPr>
                <w:sz w:val="20"/>
                <w:szCs w:val="20"/>
              </w:rPr>
              <w:t>Stupica, 2015 (</w:t>
            </w:r>
            <w:r>
              <w:rPr>
                <w:i/>
                <w:sz w:val="20"/>
                <w:szCs w:val="20"/>
              </w:rPr>
              <w:t>see above</w:t>
            </w:r>
            <w:r>
              <w:rPr>
                <w:sz w:val="20"/>
                <w:szCs w:val="20"/>
              </w:rPr>
              <w:t>);</w:t>
            </w:r>
          </w:p>
          <w:p w14:paraId="00C0A724" w14:textId="77777777" w:rsidR="002D58E4" w:rsidRDefault="00F721D4">
            <w:pPr>
              <w:rPr>
                <w:sz w:val="20"/>
                <w:szCs w:val="20"/>
              </w:rPr>
            </w:pPr>
            <w:r>
              <w:rPr>
                <w:sz w:val="20"/>
                <w:szCs w:val="20"/>
              </w:rPr>
              <w:t>Slovenia</w:t>
            </w:r>
          </w:p>
        </w:tc>
        <w:tc>
          <w:tcPr>
            <w:tcW w:w="3743" w:type="dxa"/>
            <w:vAlign w:val="center"/>
          </w:tcPr>
          <w:p w14:paraId="79D8C640" w14:textId="77777777" w:rsidR="002D58E4" w:rsidRDefault="00F721D4">
            <w:pPr>
              <w:rPr>
                <w:sz w:val="20"/>
                <w:szCs w:val="20"/>
              </w:rPr>
            </w:pPr>
            <w:r>
              <w:rPr>
                <w:sz w:val="20"/>
                <w:szCs w:val="20"/>
              </w:rPr>
              <w:t>Skin biopsy specimens of 121 patients with EM.</w:t>
            </w:r>
          </w:p>
        </w:tc>
        <w:tc>
          <w:tcPr>
            <w:tcW w:w="4050" w:type="dxa"/>
            <w:vAlign w:val="center"/>
          </w:tcPr>
          <w:p w14:paraId="0C3A6B9B" w14:textId="77777777" w:rsidR="002D58E4" w:rsidRDefault="00F721D4">
            <w:pPr>
              <w:rPr>
                <w:sz w:val="20"/>
                <w:szCs w:val="20"/>
              </w:rPr>
            </w:pPr>
            <w:r>
              <w:rPr>
                <w:b/>
                <w:sz w:val="20"/>
                <w:szCs w:val="20"/>
                <w:u w:val="single"/>
              </w:rPr>
              <w:t>Skin</w:t>
            </w:r>
            <w:r>
              <w:rPr>
                <w:sz w:val="20"/>
                <w:szCs w:val="20"/>
              </w:rPr>
              <w:t xml:space="preserve"> biopsy specimens were analyzed by </w:t>
            </w:r>
            <w:r>
              <w:rPr>
                <w:b/>
                <w:sz w:val="20"/>
                <w:szCs w:val="20"/>
              </w:rPr>
              <w:t>quantitative PCR</w:t>
            </w:r>
            <w:r>
              <w:rPr>
                <w:sz w:val="20"/>
                <w:szCs w:val="20"/>
              </w:rPr>
              <w:t xml:space="preserve"> for the presence of</w:t>
            </w:r>
            <w:r>
              <w:rPr>
                <w:i/>
                <w:sz w:val="20"/>
                <w:szCs w:val="20"/>
              </w:rPr>
              <w:t xml:space="preserve"> Borreliae</w:t>
            </w:r>
            <w:r>
              <w:rPr>
                <w:sz w:val="20"/>
                <w:szCs w:val="20"/>
              </w:rPr>
              <w:t xml:space="preserve"> and also cultured in BSK-B medium.</w:t>
            </w:r>
          </w:p>
        </w:tc>
        <w:tc>
          <w:tcPr>
            <w:tcW w:w="5693" w:type="dxa"/>
            <w:vAlign w:val="center"/>
          </w:tcPr>
          <w:p w14:paraId="383EDCF8" w14:textId="77777777" w:rsidR="002D58E4" w:rsidRDefault="00F721D4">
            <w:pPr>
              <w:rPr>
                <w:sz w:val="20"/>
                <w:szCs w:val="20"/>
              </w:rPr>
            </w:pPr>
            <w:r>
              <w:rPr>
                <w:sz w:val="20"/>
                <w:szCs w:val="20"/>
              </w:rPr>
              <w:t xml:space="preserve">In 94/121 </w:t>
            </w:r>
            <w:r>
              <w:rPr>
                <w:b/>
                <w:sz w:val="20"/>
                <w:szCs w:val="20"/>
              </w:rPr>
              <w:t>(77.7%)</w:t>
            </w:r>
            <w:r>
              <w:rPr>
                <w:sz w:val="20"/>
                <w:szCs w:val="20"/>
              </w:rPr>
              <w:t xml:space="preserve"> patients </w:t>
            </w:r>
            <w:r>
              <w:rPr>
                <w:i/>
                <w:sz w:val="20"/>
                <w:szCs w:val="20"/>
              </w:rPr>
              <w:t xml:space="preserve">Borrelia </w:t>
            </w:r>
            <w:r>
              <w:rPr>
                <w:sz w:val="20"/>
                <w:szCs w:val="20"/>
              </w:rPr>
              <w:t xml:space="preserve">was detected in skin samples by </w:t>
            </w:r>
            <w:r>
              <w:rPr>
                <w:b/>
                <w:sz w:val="20"/>
                <w:szCs w:val="20"/>
              </w:rPr>
              <w:t>qPCR testing</w:t>
            </w:r>
            <w:r>
              <w:rPr>
                <w:sz w:val="20"/>
                <w:szCs w:val="20"/>
              </w:rPr>
              <w:t xml:space="preserve"> (cultures were positive in 55.1% of patients).</w:t>
            </w:r>
          </w:p>
        </w:tc>
      </w:tr>
      <w:tr w:rsidR="002D58E4" w14:paraId="2CBE2416" w14:textId="77777777">
        <w:trPr>
          <w:jc w:val="center"/>
        </w:trPr>
        <w:tc>
          <w:tcPr>
            <w:tcW w:w="1041" w:type="dxa"/>
            <w:vAlign w:val="center"/>
          </w:tcPr>
          <w:p w14:paraId="1EB41413" w14:textId="77777777" w:rsidR="002D58E4" w:rsidRDefault="00F721D4">
            <w:pPr>
              <w:rPr>
                <w:sz w:val="20"/>
                <w:szCs w:val="20"/>
              </w:rPr>
            </w:pPr>
            <w:r>
              <w:rPr>
                <w:sz w:val="20"/>
                <w:szCs w:val="20"/>
              </w:rPr>
              <w:t>von Stedingk,1995;</w:t>
            </w:r>
          </w:p>
          <w:p w14:paraId="7D72EF52" w14:textId="77777777" w:rsidR="002D58E4" w:rsidRDefault="002D58E4">
            <w:pPr>
              <w:rPr>
                <w:sz w:val="20"/>
                <w:szCs w:val="20"/>
              </w:rPr>
            </w:pPr>
          </w:p>
          <w:p w14:paraId="3D541580" w14:textId="77777777" w:rsidR="002D58E4" w:rsidRDefault="00F721D4">
            <w:pPr>
              <w:rPr>
                <w:sz w:val="20"/>
                <w:szCs w:val="20"/>
              </w:rPr>
            </w:pPr>
            <w:r>
              <w:rPr>
                <w:sz w:val="20"/>
                <w:szCs w:val="20"/>
              </w:rPr>
              <w:t>Sweden</w:t>
            </w:r>
          </w:p>
        </w:tc>
        <w:tc>
          <w:tcPr>
            <w:tcW w:w="3743" w:type="dxa"/>
            <w:vAlign w:val="center"/>
          </w:tcPr>
          <w:p w14:paraId="5DC99AF4" w14:textId="77777777" w:rsidR="002D58E4" w:rsidRDefault="00F721D4">
            <w:pPr>
              <w:rPr>
                <w:sz w:val="20"/>
                <w:szCs w:val="20"/>
              </w:rPr>
            </w:pPr>
            <w:r>
              <w:rPr>
                <w:sz w:val="20"/>
                <w:szCs w:val="20"/>
              </w:rPr>
              <w:t>Skin biopsy specimens from patients with EM (n=26; 25 – solitary lesions) and ACA (n=36).</w:t>
            </w:r>
          </w:p>
          <w:p w14:paraId="1A4A591C" w14:textId="77777777" w:rsidR="002D58E4" w:rsidRDefault="002D58E4">
            <w:pPr>
              <w:rPr>
                <w:sz w:val="20"/>
                <w:szCs w:val="20"/>
              </w:rPr>
            </w:pPr>
          </w:p>
          <w:p w14:paraId="3149522D" w14:textId="77777777" w:rsidR="002D58E4" w:rsidRDefault="00F721D4">
            <w:pPr>
              <w:rPr>
                <w:sz w:val="20"/>
                <w:szCs w:val="20"/>
              </w:rPr>
            </w:pPr>
            <w:r>
              <w:rPr>
                <w:sz w:val="20"/>
                <w:szCs w:val="20"/>
              </w:rPr>
              <w:t xml:space="preserve">76 skin biopsies (healthy skin or from patients with non-borrelial disorders) were used as controls. </w:t>
            </w:r>
          </w:p>
        </w:tc>
        <w:tc>
          <w:tcPr>
            <w:tcW w:w="4050" w:type="dxa"/>
            <w:vAlign w:val="center"/>
          </w:tcPr>
          <w:p w14:paraId="64E25B5E" w14:textId="77777777" w:rsidR="002D58E4" w:rsidRDefault="00F721D4">
            <w:pPr>
              <w:rPr>
                <w:b/>
                <w:sz w:val="20"/>
                <w:szCs w:val="20"/>
              </w:rPr>
            </w:pPr>
            <w:r>
              <w:rPr>
                <w:b/>
                <w:sz w:val="20"/>
                <w:szCs w:val="20"/>
              </w:rPr>
              <w:t xml:space="preserve">Nested PCR </w:t>
            </w:r>
            <w:r>
              <w:rPr>
                <w:sz w:val="20"/>
                <w:szCs w:val="20"/>
              </w:rPr>
              <w:t xml:space="preserve">of </w:t>
            </w:r>
            <w:r>
              <w:rPr>
                <w:b/>
                <w:sz w:val="20"/>
                <w:szCs w:val="20"/>
                <w:u w:val="single"/>
              </w:rPr>
              <w:t>skin</w:t>
            </w:r>
            <w:r>
              <w:rPr>
                <w:sz w:val="20"/>
                <w:szCs w:val="20"/>
              </w:rPr>
              <w:t xml:space="preserve"> samples</w:t>
            </w:r>
          </w:p>
        </w:tc>
        <w:tc>
          <w:tcPr>
            <w:tcW w:w="5693" w:type="dxa"/>
            <w:vAlign w:val="center"/>
          </w:tcPr>
          <w:p w14:paraId="5AD808E0" w14:textId="77777777" w:rsidR="002D58E4" w:rsidRDefault="00F721D4">
            <w:pPr>
              <w:rPr>
                <w:sz w:val="20"/>
                <w:szCs w:val="20"/>
              </w:rPr>
            </w:pPr>
            <w:r>
              <w:rPr>
                <w:sz w:val="20"/>
                <w:szCs w:val="20"/>
              </w:rPr>
              <w:t>18 out of 26 (</w:t>
            </w:r>
            <w:r>
              <w:rPr>
                <w:b/>
                <w:sz w:val="20"/>
                <w:szCs w:val="20"/>
              </w:rPr>
              <w:t>Sn 69.2%</w:t>
            </w:r>
            <w:r>
              <w:rPr>
                <w:sz w:val="20"/>
                <w:szCs w:val="20"/>
              </w:rPr>
              <w:t xml:space="preserve">) EM lesions were positive by PCR. </w:t>
            </w:r>
          </w:p>
          <w:p w14:paraId="2CD97083" w14:textId="77777777" w:rsidR="002D58E4" w:rsidRDefault="00F721D4">
            <w:pPr>
              <w:rPr>
                <w:sz w:val="20"/>
                <w:szCs w:val="20"/>
              </w:rPr>
            </w:pPr>
            <w:r>
              <w:rPr>
                <w:sz w:val="20"/>
                <w:szCs w:val="20"/>
              </w:rPr>
              <w:t>None of the controls tested positive (</w:t>
            </w:r>
            <w:r>
              <w:rPr>
                <w:b/>
                <w:sz w:val="20"/>
                <w:szCs w:val="20"/>
              </w:rPr>
              <w:t>Sp 100%).</w:t>
            </w:r>
          </w:p>
        </w:tc>
      </w:tr>
      <w:tr w:rsidR="002D58E4" w14:paraId="3C36E6DB" w14:textId="77777777">
        <w:trPr>
          <w:jc w:val="center"/>
        </w:trPr>
        <w:tc>
          <w:tcPr>
            <w:tcW w:w="1041" w:type="dxa"/>
            <w:vAlign w:val="center"/>
          </w:tcPr>
          <w:p w14:paraId="157B394F" w14:textId="77777777" w:rsidR="002D58E4" w:rsidRDefault="00F721D4">
            <w:pPr>
              <w:rPr>
                <w:sz w:val="20"/>
                <w:szCs w:val="20"/>
              </w:rPr>
            </w:pPr>
            <w:r>
              <w:rPr>
                <w:sz w:val="20"/>
                <w:szCs w:val="20"/>
              </w:rPr>
              <w:t>Zore, 2002 (</w:t>
            </w:r>
            <w:r>
              <w:rPr>
                <w:i/>
                <w:sz w:val="20"/>
                <w:szCs w:val="20"/>
              </w:rPr>
              <w:t>see above</w:t>
            </w:r>
            <w:r>
              <w:rPr>
                <w:sz w:val="20"/>
                <w:szCs w:val="20"/>
              </w:rPr>
              <w:t>);</w:t>
            </w:r>
          </w:p>
          <w:p w14:paraId="335252F5" w14:textId="77777777" w:rsidR="002D58E4" w:rsidRDefault="00F721D4">
            <w:pPr>
              <w:rPr>
                <w:sz w:val="20"/>
                <w:szCs w:val="20"/>
              </w:rPr>
            </w:pPr>
            <w:r>
              <w:rPr>
                <w:sz w:val="20"/>
                <w:szCs w:val="20"/>
              </w:rPr>
              <w:t>Slovenia (?)</w:t>
            </w:r>
          </w:p>
        </w:tc>
        <w:tc>
          <w:tcPr>
            <w:tcW w:w="3743" w:type="dxa"/>
            <w:vAlign w:val="center"/>
          </w:tcPr>
          <w:p w14:paraId="784550E0" w14:textId="77777777" w:rsidR="002D58E4" w:rsidRDefault="00F721D4">
            <w:pPr>
              <w:rPr>
                <w:sz w:val="20"/>
                <w:szCs w:val="20"/>
              </w:rPr>
            </w:pPr>
            <w:r>
              <w:rPr>
                <w:sz w:val="20"/>
                <w:szCs w:val="20"/>
              </w:rPr>
              <w:t xml:space="preserve">Skin biopsy samples from 150 patients with EM. </w:t>
            </w:r>
          </w:p>
        </w:tc>
        <w:tc>
          <w:tcPr>
            <w:tcW w:w="4050" w:type="dxa"/>
            <w:vAlign w:val="center"/>
          </w:tcPr>
          <w:p w14:paraId="163C9358" w14:textId="77777777" w:rsidR="002D58E4" w:rsidRDefault="00F721D4">
            <w:pPr>
              <w:rPr>
                <w:sz w:val="20"/>
                <w:szCs w:val="20"/>
              </w:rPr>
            </w:pPr>
            <w:r>
              <w:rPr>
                <w:b/>
                <w:sz w:val="20"/>
                <w:szCs w:val="20"/>
                <w:u w:val="single"/>
              </w:rPr>
              <w:t>Skin</w:t>
            </w:r>
            <w:r>
              <w:rPr>
                <w:sz w:val="20"/>
                <w:szCs w:val="20"/>
              </w:rPr>
              <w:t xml:space="preserve"> biopsy specimens were cultured using modified Kelly-Pettenkofer (MKP) medium and also </w:t>
            </w:r>
            <w:r>
              <w:rPr>
                <w:b/>
                <w:sz w:val="20"/>
                <w:szCs w:val="20"/>
              </w:rPr>
              <w:t>analyzed by</w:t>
            </w:r>
            <w:r>
              <w:rPr>
                <w:sz w:val="20"/>
                <w:szCs w:val="20"/>
              </w:rPr>
              <w:t xml:space="preserve"> </w:t>
            </w:r>
            <w:r>
              <w:rPr>
                <w:b/>
                <w:sz w:val="20"/>
                <w:szCs w:val="20"/>
              </w:rPr>
              <w:t xml:space="preserve">two different PCRs using either flagellin or nested OspA primers. </w:t>
            </w:r>
          </w:p>
        </w:tc>
        <w:tc>
          <w:tcPr>
            <w:tcW w:w="5693" w:type="dxa"/>
            <w:vAlign w:val="center"/>
          </w:tcPr>
          <w:p w14:paraId="2CED5516" w14:textId="77777777" w:rsidR="002D58E4" w:rsidRDefault="00F721D4">
            <w:pPr>
              <w:rPr>
                <w:sz w:val="20"/>
                <w:szCs w:val="20"/>
              </w:rPr>
            </w:pPr>
            <w:r>
              <w:rPr>
                <w:b/>
                <w:sz w:val="20"/>
                <w:szCs w:val="20"/>
              </w:rPr>
              <w:t>PCR using flagellin</w:t>
            </w:r>
            <w:r>
              <w:rPr>
                <w:i/>
                <w:sz w:val="20"/>
                <w:szCs w:val="20"/>
              </w:rPr>
              <w:t xml:space="preserve"> </w:t>
            </w:r>
            <w:r>
              <w:rPr>
                <w:sz w:val="20"/>
                <w:szCs w:val="20"/>
              </w:rPr>
              <w:t xml:space="preserve">detected </w:t>
            </w:r>
            <w:r>
              <w:rPr>
                <w:i/>
                <w:sz w:val="20"/>
                <w:szCs w:val="20"/>
              </w:rPr>
              <w:t>B. burgdorferi</w:t>
            </w:r>
            <w:r>
              <w:rPr>
                <w:sz w:val="20"/>
                <w:szCs w:val="20"/>
              </w:rPr>
              <w:t xml:space="preserve"> sensu lato DNA in </w:t>
            </w:r>
            <w:r>
              <w:rPr>
                <w:b/>
                <w:sz w:val="20"/>
                <w:szCs w:val="20"/>
              </w:rPr>
              <w:t>28%</w:t>
            </w:r>
            <w:r>
              <w:rPr>
                <w:sz w:val="20"/>
                <w:szCs w:val="20"/>
              </w:rPr>
              <w:t xml:space="preserve"> of skin samples, and </w:t>
            </w:r>
            <w:r>
              <w:rPr>
                <w:b/>
                <w:sz w:val="20"/>
                <w:szCs w:val="20"/>
              </w:rPr>
              <w:t>PCR using nested OspA primers</w:t>
            </w:r>
            <w:r>
              <w:rPr>
                <w:sz w:val="20"/>
                <w:szCs w:val="20"/>
              </w:rPr>
              <w:t xml:space="preserve"> - in </w:t>
            </w:r>
            <w:r>
              <w:rPr>
                <w:b/>
                <w:sz w:val="20"/>
                <w:szCs w:val="20"/>
              </w:rPr>
              <w:t>61%</w:t>
            </w:r>
            <w:r>
              <w:rPr>
                <w:sz w:val="20"/>
                <w:szCs w:val="20"/>
              </w:rPr>
              <w:t xml:space="preserve"> of skin samples;</w:t>
            </w:r>
          </w:p>
          <w:p w14:paraId="27E5F6B9" w14:textId="77777777" w:rsidR="002D58E4" w:rsidRDefault="00F721D4">
            <w:pPr>
              <w:rPr>
                <w:sz w:val="20"/>
                <w:szCs w:val="20"/>
              </w:rPr>
            </w:pPr>
            <w:r>
              <w:rPr>
                <w:sz w:val="20"/>
                <w:szCs w:val="20"/>
              </w:rPr>
              <w:t>(cultures were positive in 50% of skin samples)</w:t>
            </w:r>
          </w:p>
        </w:tc>
      </w:tr>
      <w:tr w:rsidR="002D58E4" w14:paraId="2B796A2B" w14:textId="77777777">
        <w:trPr>
          <w:jc w:val="center"/>
        </w:trPr>
        <w:tc>
          <w:tcPr>
            <w:tcW w:w="14527" w:type="dxa"/>
            <w:gridSpan w:val="4"/>
            <w:shd w:val="clear" w:color="auto" w:fill="D9D9D9"/>
            <w:vAlign w:val="center"/>
          </w:tcPr>
          <w:p w14:paraId="21433C9F" w14:textId="77777777" w:rsidR="002D58E4" w:rsidRDefault="00F721D4">
            <w:pPr>
              <w:jc w:val="center"/>
              <w:rPr>
                <w:b/>
                <w:sz w:val="20"/>
                <w:szCs w:val="20"/>
              </w:rPr>
            </w:pPr>
            <w:r>
              <w:rPr>
                <w:b/>
              </w:rPr>
              <w:lastRenderedPageBreak/>
              <w:t>Skin or blood PCR (blood PCR Sn range: 33.8% - 61.9%)</w:t>
            </w:r>
          </w:p>
        </w:tc>
      </w:tr>
      <w:tr w:rsidR="002D58E4" w14:paraId="2C373E27" w14:textId="77777777">
        <w:trPr>
          <w:jc w:val="center"/>
        </w:trPr>
        <w:tc>
          <w:tcPr>
            <w:tcW w:w="1041" w:type="dxa"/>
            <w:vAlign w:val="center"/>
          </w:tcPr>
          <w:p w14:paraId="6BEAB542" w14:textId="77777777" w:rsidR="002D58E4" w:rsidRDefault="00F721D4">
            <w:pPr>
              <w:rPr>
                <w:sz w:val="20"/>
                <w:szCs w:val="20"/>
              </w:rPr>
            </w:pPr>
            <w:r>
              <w:rPr>
                <w:sz w:val="20"/>
                <w:szCs w:val="20"/>
              </w:rPr>
              <w:t>Li, 2011 (</w:t>
            </w:r>
            <w:r>
              <w:rPr>
                <w:i/>
                <w:sz w:val="20"/>
                <w:szCs w:val="20"/>
              </w:rPr>
              <w:t>see above</w:t>
            </w:r>
            <w:r>
              <w:rPr>
                <w:sz w:val="20"/>
                <w:szCs w:val="20"/>
              </w:rPr>
              <w:t>);</w:t>
            </w:r>
          </w:p>
          <w:p w14:paraId="26388350" w14:textId="77777777" w:rsidR="002D58E4" w:rsidRDefault="002D58E4">
            <w:pPr>
              <w:rPr>
                <w:sz w:val="20"/>
                <w:szCs w:val="20"/>
              </w:rPr>
            </w:pPr>
          </w:p>
          <w:p w14:paraId="611261E9" w14:textId="77777777" w:rsidR="002D58E4" w:rsidRDefault="00F721D4">
            <w:pPr>
              <w:rPr>
                <w:sz w:val="20"/>
                <w:szCs w:val="20"/>
              </w:rPr>
            </w:pPr>
            <w:r>
              <w:rPr>
                <w:sz w:val="20"/>
                <w:szCs w:val="20"/>
              </w:rPr>
              <w:t>RI and CT, USA</w:t>
            </w:r>
          </w:p>
        </w:tc>
        <w:tc>
          <w:tcPr>
            <w:tcW w:w="3743" w:type="dxa"/>
            <w:vAlign w:val="center"/>
          </w:tcPr>
          <w:p w14:paraId="19431D49" w14:textId="77777777" w:rsidR="002D58E4" w:rsidRDefault="00F721D4">
            <w:pPr>
              <w:spacing w:after="120"/>
              <w:rPr>
                <w:sz w:val="20"/>
                <w:szCs w:val="20"/>
              </w:rPr>
            </w:pPr>
            <w:r>
              <w:rPr>
                <w:sz w:val="20"/>
                <w:szCs w:val="20"/>
              </w:rPr>
              <w:t>Skin biopsy and blood samples from 90 patients with EM.</w:t>
            </w:r>
          </w:p>
          <w:p w14:paraId="3EC733BD" w14:textId="77777777" w:rsidR="002D58E4" w:rsidRDefault="00F721D4">
            <w:pPr>
              <w:spacing w:after="120"/>
              <w:rPr>
                <w:sz w:val="20"/>
                <w:szCs w:val="20"/>
              </w:rPr>
            </w:pPr>
            <w:r>
              <w:rPr>
                <w:sz w:val="20"/>
                <w:szCs w:val="20"/>
              </w:rPr>
              <w:t>For comparison, 12 normal skin biopsy samples were obtained at the edges of elliptical excision specimens of atypical melanocytic nevi, and 7 normal blood samples were obtained from healthy workers in the laboratory.</w:t>
            </w:r>
          </w:p>
        </w:tc>
        <w:tc>
          <w:tcPr>
            <w:tcW w:w="4050" w:type="dxa"/>
            <w:vAlign w:val="center"/>
          </w:tcPr>
          <w:p w14:paraId="7B18B8AA" w14:textId="77777777" w:rsidR="002D58E4" w:rsidRDefault="00F721D4">
            <w:pPr>
              <w:rPr>
                <w:sz w:val="20"/>
                <w:szCs w:val="20"/>
              </w:rPr>
            </w:pPr>
            <w:r>
              <w:rPr>
                <w:b/>
                <w:sz w:val="20"/>
                <w:szCs w:val="20"/>
              </w:rPr>
              <w:t>Standard PCR</w:t>
            </w:r>
            <w:r>
              <w:rPr>
                <w:sz w:val="20"/>
                <w:szCs w:val="20"/>
              </w:rPr>
              <w:t xml:space="preserve"> (targeting</w:t>
            </w:r>
            <w:r>
              <w:t xml:space="preserve"> </w:t>
            </w:r>
            <w:r>
              <w:rPr>
                <w:sz w:val="20"/>
                <w:szCs w:val="20"/>
              </w:rPr>
              <w:t xml:space="preserve">222-bp region of the </w:t>
            </w:r>
            <w:r>
              <w:rPr>
                <w:i/>
                <w:sz w:val="20"/>
                <w:szCs w:val="20"/>
              </w:rPr>
              <w:t>B. burgdorferi</w:t>
            </w:r>
            <w:r>
              <w:rPr>
                <w:sz w:val="20"/>
                <w:szCs w:val="20"/>
              </w:rPr>
              <w:t xml:space="preserve"> </w:t>
            </w:r>
            <w:r>
              <w:rPr>
                <w:b/>
                <w:sz w:val="20"/>
                <w:szCs w:val="20"/>
              </w:rPr>
              <w:t>recA</w:t>
            </w:r>
            <w:r>
              <w:rPr>
                <w:sz w:val="20"/>
                <w:szCs w:val="20"/>
              </w:rPr>
              <w:t xml:space="preserve"> gene) and </w:t>
            </w:r>
            <w:r>
              <w:rPr>
                <w:b/>
                <w:sz w:val="20"/>
                <w:szCs w:val="20"/>
              </w:rPr>
              <w:t>quantitative PCR (qPCR</w:t>
            </w:r>
            <w:r>
              <w:rPr>
                <w:sz w:val="20"/>
                <w:szCs w:val="20"/>
              </w:rPr>
              <w:t xml:space="preserve">, targeting 103-bp region of </w:t>
            </w:r>
            <w:r>
              <w:rPr>
                <w:i/>
                <w:sz w:val="20"/>
                <w:szCs w:val="20"/>
              </w:rPr>
              <w:t>the B burgdorferi</w:t>
            </w:r>
            <w:r>
              <w:rPr>
                <w:sz w:val="20"/>
                <w:szCs w:val="20"/>
              </w:rPr>
              <w:t xml:space="preserve"> </w:t>
            </w:r>
            <w:r>
              <w:rPr>
                <w:b/>
                <w:sz w:val="20"/>
                <w:szCs w:val="20"/>
              </w:rPr>
              <w:t>flaB</w:t>
            </w:r>
            <w:r>
              <w:rPr>
                <w:sz w:val="20"/>
                <w:szCs w:val="20"/>
              </w:rPr>
              <w:t xml:space="preserve"> gene) techniques were used on </w:t>
            </w:r>
            <w:r>
              <w:rPr>
                <w:b/>
                <w:sz w:val="20"/>
                <w:szCs w:val="20"/>
                <w:u w:val="single"/>
              </w:rPr>
              <w:t xml:space="preserve">skin </w:t>
            </w:r>
            <w:r>
              <w:rPr>
                <w:sz w:val="20"/>
                <w:szCs w:val="20"/>
              </w:rPr>
              <w:t xml:space="preserve">and </w:t>
            </w:r>
            <w:r>
              <w:rPr>
                <w:b/>
                <w:sz w:val="20"/>
                <w:szCs w:val="20"/>
                <w:u w:val="single"/>
              </w:rPr>
              <w:t xml:space="preserve">blood </w:t>
            </w:r>
            <w:r>
              <w:rPr>
                <w:sz w:val="20"/>
                <w:szCs w:val="20"/>
              </w:rPr>
              <w:t xml:space="preserve">samples. </w:t>
            </w:r>
          </w:p>
          <w:p w14:paraId="7E715E3F" w14:textId="77777777" w:rsidR="002D58E4" w:rsidRDefault="002D58E4">
            <w:pPr>
              <w:rPr>
                <w:sz w:val="20"/>
                <w:szCs w:val="20"/>
              </w:rPr>
            </w:pPr>
          </w:p>
          <w:p w14:paraId="5E3986E7" w14:textId="77777777" w:rsidR="002D58E4" w:rsidRDefault="00F721D4">
            <w:pPr>
              <w:rPr>
                <w:sz w:val="20"/>
                <w:szCs w:val="20"/>
              </w:rPr>
            </w:pPr>
            <w:r>
              <w:rPr>
                <w:sz w:val="20"/>
                <w:szCs w:val="20"/>
                <w:u w:val="single"/>
              </w:rPr>
              <w:t>Skin</w:t>
            </w:r>
            <w:r>
              <w:rPr>
                <w:sz w:val="20"/>
                <w:szCs w:val="20"/>
              </w:rPr>
              <w:t xml:space="preserve"> samples were also cultured using BSK-H medium.</w:t>
            </w:r>
          </w:p>
        </w:tc>
        <w:tc>
          <w:tcPr>
            <w:tcW w:w="5693" w:type="dxa"/>
            <w:vAlign w:val="center"/>
          </w:tcPr>
          <w:p w14:paraId="5FF93B09" w14:textId="77777777" w:rsidR="002D58E4" w:rsidRDefault="00F721D4">
            <w:pPr>
              <w:rPr>
                <w:sz w:val="20"/>
                <w:szCs w:val="20"/>
              </w:rPr>
            </w:pPr>
            <w:r>
              <w:rPr>
                <w:sz w:val="20"/>
                <w:szCs w:val="20"/>
              </w:rPr>
              <w:t>77/90 (</w:t>
            </w:r>
            <w:r>
              <w:rPr>
                <w:b/>
                <w:sz w:val="20"/>
                <w:szCs w:val="20"/>
              </w:rPr>
              <w:t>Sn 85.6%)</w:t>
            </w:r>
            <w:r>
              <w:rPr>
                <w:sz w:val="20"/>
                <w:szCs w:val="20"/>
              </w:rPr>
              <w:t xml:space="preserve"> were positive by</w:t>
            </w:r>
            <w:r>
              <w:rPr>
                <w:b/>
                <w:sz w:val="20"/>
                <w:szCs w:val="20"/>
              </w:rPr>
              <w:t xml:space="preserve"> recA PCR of the </w:t>
            </w:r>
            <w:r>
              <w:rPr>
                <w:b/>
                <w:sz w:val="20"/>
                <w:szCs w:val="20"/>
                <w:u w:val="single"/>
              </w:rPr>
              <w:t>skin</w:t>
            </w:r>
            <w:r>
              <w:rPr>
                <w:sz w:val="20"/>
                <w:szCs w:val="20"/>
              </w:rPr>
              <w:t xml:space="preserve">; </w:t>
            </w:r>
          </w:p>
          <w:p w14:paraId="775AB06B" w14:textId="77777777" w:rsidR="002D58E4" w:rsidRDefault="00F721D4">
            <w:pPr>
              <w:rPr>
                <w:sz w:val="20"/>
                <w:szCs w:val="20"/>
              </w:rPr>
            </w:pPr>
            <w:r>
              <w:rPr>
                <w:sz w:val="20"/>
                <w:szCs w:val="20"/>
              </w:rPr>
              <w:t>70/90 (</w:t>
            </w:r>
            <w:r>
              <w:rPr>
                <w:b/>
                <w:sz w:val="20"/>
                <w:szCs w:val="20"/>
              </w:rPr>
              <w:t>Sn 77.8%</w:t>
            </w:r>
            <w:r>
              <w:rPr>
                <w:sz w:val="20"/>
                <w:szCs w:val="20"/>
              </w:rPr>
              <w:t xml:space="preserve">) of samples from lesional </w:t>
            </w:r>
            <w:r>
              <w:rPr>
                <w:b/>
                <w:sz w:val="20"/>
                <w:szCs w:val="20"/>
                <w:u w:val="single"/>
              </w:rPr>
              <w:t>skin</w:t>
            </w:r>
            <w:r>
              <w:rPr>
                <w:sz w:val="20"/>
                <w:szCs w:val="20"/>
              </w:rPr>
              <w:t xml:space="preserve"> were positive by </w:t>
            </w:r>
            <w:r>
              <w:rPr>
                <w:b/>
                <w:sz w:val="20"/>
                <w:szCs w:val="20"/>
              </w:rPr>
              <w:t>qPCR results for flaB DNA;</w:t>
            </w:r>
          </w:p>
          <w:p w14:paraId="6D2EE524" w14:textId="77777777" w:rsidR="002D58E4" w:rsidRDefault="00F721D4">
            <w:pPr>
              <w:rPr>
                <w:sz w:val="20"/>
                <w:szCs w:val="20"/>
              </w:rPr>
            </w:pPr>
            <w:r>
              <w:rPr>
                <w:sz w:val="20"/>
                <w:szCs w:val="20"/>
              </w:rPr>
              <w:t>34/90 (</w:t>
            </w:r>
            <w:r>
              <w:rPr>
                <w:b/>
                <w:sz w:val="20"/>
                <w:szCs w:val="20"/>
              </w:rPr>
              <w:t>Sn 37.8%)</w:t>
            </w:r>
            <w:r>
              <w:rPr>
                <w:sz w:val="20"/>
                <w:szCs w:val="20"/>
              </w:rPr>
              <w:t xml:space="preserve"> </w:t>
            </w:r>
            <w:r>
              <w:rPr>
                <w:b/>
                <w:sz w:val="20"/>
                <w:szCs w:val="20"/>
                <w:u w:val="single"/>
              </w:rPr>
              <w:t>blood</w:t>
            </w:r>
            <w:r>
              <w:rPr>
                <w:sz w:val="20"/>
                <w:szCs w:val="20"/>
              </w:rPr>
              <w:t xml:space="preserve"> samples from EM patients were positive by </w:t>
            </w:r>
            <w:r>
              <w:rPr>
                <w:b/>
                <w:sz w:val="20"/>
                <w:szCs w:val="20"/>
              </w:rPr>
              <w:t>recA PCR</w:t>
            </w:r>
            <w:r>
              <w:rPr>
                <w:sz w:val="20"/>
                <w:szCs w:val="20"/>
              </w:rPr>
              <w:t xml:space="preserve">. </w:t>
            </w:r>
          </w:p>
          <w:p w14:paraId="3B19820D" w14:textId="77777777" w:rsidR="002D58E4" w:rsidRDefault="002D58E4">
            <w:pPr>
              <w:rPr>
                <w:sz w:val="20"/>
                <w:szCs w:val="20"/>
              </w:rPr>
            </w:pPr>
          </w:p>
          <w:p w14:paraId="5C9EFCD2" w14:textId="77777777" w:rsidR="002D58E4" w:rsidRDefault="00F721D4">
            <w:pPr>
              <w:rPr>
                <w:sz w:val="20"/>
                <w:szCs w:val="20"/>
              </w:rPr>
            </w:pPr>
            <w:r>
              <w:rPr>
                <w:sz w:val="20"/>
                <w:szCs w:val="20"/>
              </w:rPr>
              <w:t>75 out of 90 patients (Sn 83.3%) had positive cultures for B burgdorferi from EM skin biopsies. In EM lesions, culture and PCR results were highly concordant.</w:t>
            </w:r>
          </w:p>
          <w:p w14:paraId="5A55E4CC" w14:textId="77777777" w:rsidR="002D58E4" w:rsidRDefault="00F721D4">
            <w:pPr>
              <w:rPr>
                <w:sz w:val="20"/>
                <w:szCs w:val="20"/>
              </w:rPr>
            </w:pPr>
            <w:r>
              <w:rPr>
                <w:sz w:val="20"/>
                <w:szCs w:val="20"/>
              </w:rPr>
              <w:t>Skin and blood samples from healthy donors tested negative by the PCR (</w:t>
            </w:r>
            <w:r>
              <w:rPr>
                <w:b/>
                <w:sz w:val="20"/>
                <w:szCs w:val="20"/>
              </w:rPr>
              <w:t>Sp 100%).</w:t>
            </w:r>
          </w:p>
        </w:tc>
      </w:tr>
      <w:tr w:rsidR="002D58E4" w14:paraId="1EAF9FAF" w14:textId="77777777">
        <w:trPr>
          <w:jc w:val="center"/>
        </w:trPr>
        <w:tc>
          <w:tcPr>
            <w:tcW w:w="1041" w:type="dxa"/>
            <w:vAlign w:val="center"/>
          </w:tcPr>
          <w:p w14:paraId="5E58220D" w14:textId="77777777" w:rsidR="002D58E4" w:rsidRDefault="00F721D4">
            <w:pPr>
              <w:rPr>
                <w:sz w:val="20"/>
                <w:szCs w:val="20"/>
              </w:rPr>
            </w:pPr>
            <w:r>
              <w:rPr>
                <w:sz w:val="20"/>
                <w:szCs w:val="20"/>
              </w:rPr>
              <w:t>Liveris, 2012 (</w:t>
            </w:r>
            <w:r>
              <w:rPr>
                <w:i/>
                <w:sz w:val="20"/>
                <w:szCs w:val="20"/>
              </w:rPr>
              <w:t>see above</w:t>
            </w:r>
            <w:r>
              <w:rPr>
                <w:sz w:val="20"/>
                <w:szCs w:val="20"/>
              </w:rPr>
              <w:t>);</w:t>
            </w:r>
          </w:p>
          <w:p w14:paraId="761F3C4A" w14:textId="77777777" w:rsidR="002D58E4" w:rsidRDefault="002D58E4">
            <w:pPr>
              <w:rPr>
                <w:sz w:val="20"/>
                <w:szCs w:val="20"/>
              </w:rPr>
            </w:pPr>
          </w:p>
          <w:p w14:paraId="2758CE7B" w14:textId="77777777" w:rsidR="002D58E4" w:rsidRDefault="00F721D4">
            <w:pPr>
              <w:rPr>
                <w:sz w:val="20"/>
                <w:szCs w:val="20"/>
              </w:rPr>
            </w:pPr>
            <w:r>
              <w:rPr>
                <w:sz w:val="20"/>
                <w:szCs w:val="20"/>
              </w:rPr>
              <w:t>NY, USA</w:t>
            </w:r>
          </w:p>
        </w:tc>
        <w:tc>
          <w:tcPr>
            <w:tcW w:w="3743" w:type="dxa"/>
            <w:vAlign w:val="center"/>
          </w:tcPr>
          <w:p w14:paraId="14F6183B" w14:textId="77777777" w:rsidR="002D58E4" w:rsidRDefault="00F721D4">
            <w:pPr>
              <w:rPr>
                <w:sz w:val="20"/>
                <w:szCs w:val="20"/>
              </w:rPr>
            </w:pPr>
            <w:r>
              <w:rPr>
                <w:sz w:val="20"/>
                <w:szCs w:val="20"/>
              </w:rPr>
              <w:t>Blood (plasma) samples and skin biopsy specimens from 66 patients with untreated EM</w:t>
            </w:r>
          </w:p>
        </w:tc>
        <w:tc>
          <w:tcPr>
            <w:tcW w:w="4050" w:type="dxa"/>
            <w:vAlign w:val="center"/>
          </w:tcPr>
          <w:p w14:paraId="400C5737" w14:textId="77777777" w:rsidR="002D58E4" w:rsidRDefault="00F721D4">
            <w:pPr>
              <w:rPr>
                <w:sz w:val="20"/>
                <w:szCs w:val="20"/>
              </w:rPr>
            </w:pPr>
            <w:r>
              <w:rPr>
                <w:sz w:val="20"/>
                <w:szCs w:val="20"/>
              </w:rPr>
              <w:t xml:space="preserve">Evaluated the sensitivity of 5 direct diagnostic methods (culture and </w:t>
            </w:r>
            <w:r>
              <w:rPr>
                <w:b/>
                <w:sz w:val="20"/>
                <w:szCs w:val="20"/>
              </w:rPr>
              <w:t xml:space="preserve">nested PCR of a 2-mm </w:t>
            </w:r>
            <w:r>
              <w:rPr>
                <w:b/>
                <w:sz w:val="20"/>
                <w:szCs w:val="20"/>
                <w:u w:val="single"/>
              </w:rPr>
              <w:t>skin</w:t>
            </w:r>
            <w:r>
              <w:rPr>
                <w:b/>
                <w:sz w:val="20"/>
                <w:szCs w:val="20"/>
              </w:rPr>
              <w:t xml:space="preserve"> biopsy </w:t>
            </w:r>
            <w:r>
              <w:rPr>
                <w:sz w:val="20"/>
                <w:szCs w:val="20"/>
              </w:rPr>
              <w:t xml:space="preserve">specimen, </w:t>
            </w:r>
            <w:r>
              <w:rPr>
                <w:b/>
                <w:sz w:val="20"/>
                <w:szCs w:val="20"/>
              </w:rPr>
              <w:t>nested PCR</w:t>
            </w:r>
            <w:r>
              <w:rPr>
                <w:sz w:val="20"/>
                <w:szCs w:val="20"/>
              </w:rPr>
              <w:t xml:space="preserve"> </w:t>
            </w:r>
            <w:r>
              <w:rPr>
                <w:b/>
                <w:sz w:val="20"/>
                <w:szCs w:val="20"/>
              </w:rPr>
              <w:t>(nPCR)</w:t>
            </w:r>
            <w:r>
              <w:rPr>
                <w:sz w:val="20"/>
                <w:szCs w:val="20"/>
              </w:rPr>
              <w:t xml:space="preserve"> and </w:t>
            </w:r>
            <w:r>
              <w:rPr>
                <w:b/>
                <w:sz w:val="20"/>
                <w:szCs w:val="20"/>
              </w:rPr>
              <w:t>quantitative PCR (qPCR)</w:t>
            </w:r>
            <w:r>
              <w:rPr>
                <w:sz w:val="20"/>
                <w:szCs w:val="20"/>
              </w:rPr>
              <w:t xml:space="preserve"> performed on the same 1-mL aliquot of </w:t>
            </w:r>
            <w:r>
              <w:rPr>
                <w:b/>
                <w:sz w:val="20"/>
                <w:szCs w:val="20"/>
                <w:u w:val="single"/>
              </w:rPr>
              <w:t>plasma</w:t>
            </w:r>
            <w:r>
              <w:rPr>
                <w:sz w:val="20"/>
                <w:szCs w:val="20"/>
              </w:rPr>
              <w:t>, and a novel qPCR–blood culture method)</w:t>
            </w:r>
          </w:p>
        </w:tc>
        <w:tc>
          <w:tcPr>
            <w:tcW w:w="5693" w:type="dxa"/>
            <w:vAlign w:val="center"/>
          </w:tcPr>
          <w:p w14:paraId="347AB345" w14:textId="77777777" w:rsidR="002D58E4" w:rsidRDefault="00F721D4">
            <w:pPr>
              <w:rPr>
                <w:sz w:val="20"/>
                <w:szCs w:val="20"/>
              </w:rPr>
            </w:pPr>
            <w:r>
              <w:rPr>
                <w:b/>
                <w:sz w:val="20"/>
                <w:szCs w:val="20"/>
              </w:rPr>
              <w:t xml:space="preserve">nPCR of </w:t>
            </w:r>
            <w:r>
              <w:rPr>
                <w:b/>
                <w:sz w:val="20"/>
                <w:szCs w:val="20"/>
                <w:u w:val="single"/>
              </w:rPr>
              <w:t>skin</w:t>
            </w:r>
            <w:r>
              <w:rPr>
                <w:sz w:val="20"/>
                <w:szCs w:val="20"/>
              </w:rPr>
              <w:t xml:space="preserve"> samples was positive in 23 of 54 patients </w:t>
            </w:r>
            <w:r>
              <w:rPr>
                <w:b/>
                <w:sz w:val="20"/>
                <w:szCs w:val="20"/>
              </w:rPr>
              <w:t>(42.6%</w:t>
            </w:r>
            <w:r>
              <w:rPr>
                <w:sz w:val="20"/>
                <w:szCs w:val="20"/>
              </w:rPr>
              <w:t xml:space="preserve">), and </w:t>
            </w:r>
          </w:p>
          <w:p w14:paraId="623C332F" w14:textId="77777777" w:rsidR="002D58E4" w:rsidRDefault="00F721D4">
            <w:pPr>
              <w:rPr>
                <w:sz w:val="20"/>
                <w:szCs w:val="20"/>
              </w:rPr>
            </w:pPr>
            <w:r>
              <w:rPr>
                <w:b/>
                <w:sz w:val="20"/>
                <w:szCs w:val="20"/>
              </w:rPr>
              <w:t xml:space="preserve">nPCR of </w:t>
            </w:r>
            <w:r>
              <w:rPr>
                <w:b/>
                <w:sz w:val="20"/>
                <w:szCs w:val="20"/>
                <w:u w:val="single"/>
              </w:rPr>
              <w:t>blood</w:t>
            </w:r>
            <w:r>
              <w:rPr>
                <w:sz w:val="20"/>
                <w:szCs w:val="20"/>
              </w:rPr>
              <w:t xml:space="preserve"> samples was positive in 26 out of 64 patients </w:t>
            </w:r>
            <w:r>
              <w:rPr>
                <w:b/>
                <w:sz w:val="20"/>
                <w:szCs w:val="20"/>
              </w:rPr>
              <w:t>(40.6%);</w:t>
            </w:r>
            <w:r>
              <w:rPr>
                <w:sz w:val="20"/>
                <w:szCs w:val="20"/>
              </w:rPr>
              <w:t xml:space="preserve"> </w:t>
            </w:r>
          </w:p>
          <w:p w14:paraId="3A84791A" w14:textId="77777777" w:rsidR="002D58E4" w:rsidRDefault="00F721D4">
            <w:pPr>
              <w:rPr>
                <w:sz w:val="20"/>
                <w:szCs w:val="20"/>
              </w:rPr>
            </w:pPr>
            <w:r>
              <w:rPr>
                <w:b/>
                <w:sz w:val="20"/>
                <w:szCs w:val="20"/>
              </w:rPr>
              <w:t xml:space="preserve">qPCR of </w:t>
            </w:r>
            <w:r>
              <w:rPr>
                <w:b/>
                <w:sz w:val="20"/>
                <w:szCs w:val="20"/>
                <w:u w:val="single"/>
              </w:rPr>
              <w:t>blood</w:t>
            </w:r>
            <w:r>
              <w:rPr>
                <w:sz w:val="20"/>
                <w:szCs w:val="20"/>
              </w:rPr>
              <w:t xml:space="preserve"> samples was positive in 22 out of 65 cases </w:t>
            </w:r>
            <w:r>
              <w:rPr>
                <w:b/>
                <w:sz w:val="20"/>
                <w:szCs w:val="20"/>
              </w:rPr>
              <w:t>(33.8%</w:t>
            </w:r>
            <w:r>
              <w:rPr>
                <w:sz w:val="20"/>
                <w:szCs w:val="20"/>
              </w:rPr>
              <w:t xml:space="preserve">). </w:t>
            </w:r>
          </w:p>
          <w:p w14:paraId="0726AAEC" w14:textId="77777777" w:rsidR="002D58E4" w:rsidRDefault="00F721D4">
            <w:pPr>
              <w:rPr>
                <w:sz w:val="20"/>
                <w:szCs w:val="20"/>
              </w:rPr>
            </w:pPr>
            <w:r>
              <w:rPr>
                <w:sz w:val="20"/>
                <w:szCs w:val="20"/>
              </w:rPr>
              <w:t xml:space="preserve">If tested with </w:t>
            </w:r>
            <w:r>
              <w:rPr>
                <w:b/>
                <w:sz w:val="20"/>
                <w:szCs w:val="20"/>
              </w:rPr>
              <w:t xml:space="preserve">either nPCR or qPCR, </w:t>
            </w:r>
            <w:r>
              <w:rPr>
                <w:b/>
                <w:sz w:val="20"/>
                <w:szCs w:val="20"/>
                <w:u w:val="single"/>
              </w:rPr>
              <w:t>blood</w:t>
            </w:r>
            <w:r>
              <w:rPr>
                <w:b/>
                <w:sz w:val="20"/>
                <w:szCs w:val="20"/>
              </w:rPr>
              <w:t xml:space="preserve"> </w:t>
            </w:r>
            <w:r>
              <w:rPr>
                <w:sz w:val="20"/>
                <w:szCs w:val="20"/>
              </w:rPr>
              <w:t>samples were positive in 29 out of 65 patients (</w:t>
            </w:r>
            <w:r>
              <w:rPr>
                <w:b/>
                <w:sz w:val="20"/>
                <w:szCs w:val="20"/>
              </w:rPr>
              <w:t>Sn 44.6%</w:t>
            </w:r>
            <w:r>
              <w:rPr>
                <w:sz w:val="20"/>
                <w:szCs w:val="20"/>
              </w:rPr>
              <w:t xml:space="preserve">).  </w:t>
            </w:r>
          </w:p>
          <w:p w14:paraId="7177D65B" w14:textId="77777777" w:rsidR="002D58E4" w:rsidRDefault="002D58E4">
            <w:pPr>
              <w:rPr>
                <w:sz w:val="20"/>
                <w:szCs w:val="20"/>
              </w:rPr>
            </w:pPr>
          </w:p>
          <w:p w14:paraId="1D674ADC" w14:textId="77777777" w:rsidR="002D58E4" w:rsidRDefault="00F721D4">
            <w:pPr>
              <w:rPr>
                <w:sz w:val="20"/>
                <w:szCs w:val="20"/>
              </w:rPr>
            </w:pPr>
            <w:r>
              <w:rPr>
                <w:sz w:val="20"/>
                <w:szCs w:val="20"/>
              </w:rPr>
              <w:t>Culture was more sensitive than PCR for both skin and blood, but the difference was only statistically significant for blood samples (P&lt;0.005).</w:t>
            </w:r>
          </w:p>
        </w:tc>
      </w:tr>
      <w:tr w:rsidR="002D58E4" w14:paraId="692BD37A" w14:textId="77777777">
        <w:trPr>
          <w:jc w:val="center"/>
        </w:trPr>
        <w:tc>
          <w:tcPr>
            <w:tcW w:w="1041" w:type="dxa"/>
            <w:vAlign w:val="center"/>
          </w:tcPr>
          <w:p w14:paraId="528DB42C" w14:textId="77777777" w:rsidR="002D58E4" w:rsidRDefault="00F721D4">
            <w:pPr>
              <w:rPr>
                <w:sz w:val="20"/>
                <w:szCs w:val="20"/>
              </w:rPr>
            </w:pPr>
            <w:r>
              <w:rPr>
                <w:sz w:val="20"/>
                <w:szCs w:val="20"/>
              </w:rPr>
              <w:t>Pauluzzi, 2004;</w:t>
            </w:r>
          </w:p>
          <w:p w14:paraId="2145CD49" w14:textId="77777777" w:rsidR="002D58E4" w:rsidRDefault="002D58E4">
            <w:pPr>
              <w:rPr>
                <w:sz w:val="20"/>
                <w:szCs w:val="20"/>
              </w:rPr>
            </w:pPr>
          </w:p>
          <w:p w14:paraId="0DE12012" w14:textId="77777777" w:rsidR="002D58E4" w:rsidRDefault="00F721D4">
            <w:pPr>
              <w:rPr>
                <w:sz w:val="20"/>
                <w:szCs w:val="20"/>
              </w:rPr>
            </w:pPr>
            <w:r>
              <w:rPr>
                <w:sz w:val="20"/>
                <w:szCs w:val="20"/>
              </w:rPr>
              <w:t>Italy</w:t>
            </w:r>
          </w:p>
        </w:tc>
        <w:tc>
          <w:tcPr>
            <w:tcW w:w="3743" w:type="dxa"/>
            <w:vAlign w:val="center"/>
          </w:tcPr>
          <w:p w14:paraId="10980F02" w14:textId="77777777" w:rsidR="002D58E4" w:rsidRDefault="00F721D4">
            <w:pPr>
              <w:rPr>
                <w:sz w:val="20"/>
                <w:szCs w:val="20"/>
              </w:rPr>
            </w:pPr>
            <w:r>
              <w:rPr>
                <w:sz w:val="20"/>
                <w:szCs w:val="20"/>
              </w:rPr>
              <w:t>Skin biopsies, urine and peripheral blood of 30 patients with clinically documented EM without apparent systemic involvement</w:t>
            </w:r>
          </w:p>
        </w:tc>
        <w:tc>
          <w:tcPr>
            <w:tcW w:w="4050" w:type="dxa"/>
            <w:vAlign w:val="center"/>
          </w:tcPr>
          <w:p w14:paraId="3484899B" w14:textId="77777777" w:rsidR="002D58E4" w:rsidRDefault="00F721D4">
            <w:pPr>
              <w:rPr>
                <w:sz w:val="20"/>
                <w:szCs w:val="20"/>
              </w:rPr>
            </w:pPr>
            <w:r>
              <w:rPr>
                <w:b/>
                <w:sz w:val="20"/>
                <w:szCs w:val="20"/>
              </w:rPr>
              <w:t>PCR using a combination of three primer sets</w:t>
            </w:r>
            <w:r>
              <w:rPr>
                <w:sz w:val="20"/>
                <w:szCs w:val="20"/>
              </w:rPr>
              <w:t>: the 1</w:t>
            </w:r>
            <w:r>
              <w:rPr>
                <w:sz w:val="20"/>
                <w:szCs w:val="20"/>
                <w:vertAlign w:val="superscript"/>
              </w:rPr>
              <w:t>st</w:t>
            </w:r>
            <w:r>
              <w:rPr>
                <w:sz w:val="20"/>
                <w:szCs w:val="20"/>
              </w:rPr>
              <w:t xml:space="preserve"> set targeting a sequence of a chromosomal gene encoding for a 66 kDa protein, the 2</w:t>
            </w:r>
            <w:r>
              <w:rPr>
                <w:sz w:val="20"/>
                <w:szCs w:val="20"/>
                <w:vertAlign w:val="superscript"/>
              </w:rPr>
              <w:t>nd</w:t>
            </w:r>
            <w:r>
              <w:rPr>
                <w:sz w:val="20"/>
                <w:szCs w:val="20"/>
              </w:rPr>
              <w:t xml:space="preserve"> set targeting flagellin gene (41 kDa protein), and the 3</w:t>
            </w:r>
            <w:r>
              <w:rPr>
                <w:sz w:val="20"/>
                <w:szCs w:val="20"/>
                <w:vertAlign w:val="superscript"/>
              </w:rPr>
              <w:t>rd</w:t>
            </w:r>
            <w:r>
              <w:rPr>
                <w:sz w:val="20"/>
                <w:szCs w:val="20"/>
              </w:rPr>
              <w:t xml:space="preserve"> set was specific for the gene encoding the 80 kDa antigen (</w:t>
            </w:r>
            <w:r>
              <w:rPr>
                <w:b/>
                <w:sz w:val="20"/>
                <w:szCs w:val="20"/>
              </w:rPr>
              <w:t>B-80, 66 kDa protein, flagellin</w:t>
            </w:r>
            <w:r>
              <w:rPr>
                <w:sz w:val="20"/>
                <w:szCs w:val="20"/>
              </w:rPr>
              <w:t>)</w:t>
            </w:r>
          </w:p>
        </w:tc>
        <w:tc>
          <w:tcPr>
            <w:tcW w:w="5693" w:type="dxa"/>
            <w:vAlign w:val="center"/>
          </w:tcPr>
          <w:p w14:paraId="5B9FDCE5" w14:textId="77777777" w:rsidR="002D58E4" w:rsidRDefault="00F721D4">
            <w:pPr>
              <w:rPr>
                <w:sz w:val="20"/>
                <w:szCs w:val="20"/>
              </w:rPr>
            </w:pPr>
            <w:r>
              <w:rPr>
                <w:i/>
                <w:sz w:val="20"/>
                <w:szCs w:val="20"/>
              </w:rPr>
              <w:t>B. burgdorferi</w:t>
            </w:r>
            <w:r>
              <w:rPr>
                <w:sz w:val="20"/>
                <w:szCs w:val="20"/>
              </w:rPr>
              <w:t xml:space="preserve"> DNA could be detected by </w:t>
            </w:r>
            <w:r>
              <w:rPr>
                <w:b/>
                <w:sz w:val="20"/>
                <w:szCs w:val="20"/>
              </w:rPr>
              <w:t>at least one of the three sets</w:t>
            </w:r>
            <w:r>
              <w:rPr>
                <w:sz w:val="20"/>
                <w:szCs w:val="20"/>
              </w:rPr>
              <w:t xml:space="preserve"> in </w:t>
            </w:r>
            <w:r>
              <w:rPr>
                <w:b/>
                <w:sz w:val="20"/>
                <w:szCs w:val="20"/>
              </w:rPr>
              <w:t>76.7%</w:t>
            </w:r>
            <w:r>
              <w:rPr>
                <w:sz w:val="20"/>
                <w:szCs w:val="20"/>
              </w:rPr>
              <w:t xml:space="preserve"> (23/30) of </w:t>
            </w:r>
            <w:r>
              <w:rPr>
                <w:sz w:val="20"/>
                <w:szCs w:val="20"/>
                <w:u w:val="single"/>
              </w:rPr>
              <w:t>blood</w:t>
            </w:r>
            <w:r>
              <w:rPr>
                <w:sz w:val="20"/>
                <w:szCs w:val="20"/>
              </w:rPr>
              <w:t xml:space="preserve"> samples and in </w:t>
            </w:r>
            <w:r>
              <w:rPr>
                <w:b/>
                <w:sz w:val="20"/>
                <w:szCs w:val="20"/>
              </w:rPr>
              <w:t>100%</w:t>
            </w:r>
            <w:r>
              <w:rPr>
                <w:sz w:val="20"/>
                <w:szCs w:val="20"/>
              </w:rPr>
              <w:t xml:space="preserve"> (30/30) of </w:t>
            </w:r>
            <w:r>
              <w:rPr>
                <w:sz w:val="20"/>
                <w:szCs w:val="20"/>
                <w:u w:val="single"/>
              </w:rPr>
              <w:t>skin</w:t>
            </w:r>
            <w:r>
              <w:rPr>
                <w:sz w:val="20"/>
                <w:szCs w:val="20"/>
              </w:rPr>
              <w:t xml:space="preserve"> samples. </w:t>
            </w:r>
          </w:p>
          <w:p w14:paraId="1EEA1203" w14:textId="77777777" w:rsidR="002D58E4" w:rsidRDefault="002D58E4">
            <w:pPr>
              <w:rPr>
                <w:sz w:val="20"/>
                <w:szCs w:val="20"/>
              </w:rPr>
            </w:pPr>
          </w:p>
          <w:p w14:paraId="14C1C83F" w14:textId="77777777" w:rsidR="002D58E4" w:rsidRDefault="00F721D4">
            <w:pPr>
              <w:rPr>
                <w:sz w:val="20"/>
                <w:szCs w:val="20"/>
              </w:rPr>
            </w:pPr>
            <w:r>
              <w:rPr>
                <w:sz w:val="20"/>
                <w:szCs w:val="20"/>
              </w:rPr>
              <w:t xml:space="preserve">The % of positive results for </w:t>
            </w:r>
            <w:r>
              <w:rPr>
                <w:b/>
                <w:sz w:val="20"/>
                <w:szCs w:val="20"/>
              </w:rPr>
              <w:t>B-80</w:t>
            </w:r>
            <w:r>
              <w:rPr>
                <w:sz w:val="20"/>
                <w:szCs w:val="20"/>
              </w:rPr>
              <w:t xml:space="preserve"> in </w:t>
            </w:r>
            <w:r>
              <w:rPr>
                <w:sz w:val="20"/>
                <w:szCs w:val="20"/>
                <w:u w:val="single"/>
              </w:rPr>
              <w:t>blood</w:t>
            </w:r>
            <w:r>
              <w:rPr>
                <w:sz w:val="20"/>
                <w:szCs w:val="20"/>
              </w:rPr>
              <w:t xml:space="preserve"> was </w:t>
            </w:r>
            <w:r>
              <w:rPr>
                <w:b/>
                <w:sz w:val="20"/>
                <w:szCs w:val="20"/>
              </w:rPr>
              <w:t>47%</w:t>
            </w:r>
            <w:r>
              <w:rPr>
                <w:sz w:val="20"/>
                <w:szCs w:val="20"/>
              </w:rPr>
              <w:t xml:space="preserve"> and in </w:t>
            </w:r>
            <w:r>
              <w:rPr>
                <w:sz w:val="20"/>
                <w:szCs w:val="20"/>
                <w:u w:val="single"/>
              </w:rPr>
              <w:t xml:space="preserve">skin </w:t>
            </w:r>
            <w:r>
              <w:rPr>
                <w:b/>
                <w:sz w:val="20"/>
                <w:szCs w:val="20"/>
              </w:rPr>
              <w:t>50%</w:t>
            </w:r>
            <w:r>
              <w:rPr>
                <w:sz w:val="20"/>
                <w:szCs w:val="20"/>
              </w:rPr>
              <w:t xml:space="preserve">. For </w:t>
            </w:r>
            <w:r>
              <w:rPr>
                <w:b/>
                <w:sz w:val="20"/>
                <w:szCs w:val="20"/>
              </w:rPr>
              <w:t>66 kDa protein</w:t>
            </w:r>
            <w:r>
              <w:rPr>
                <w:sz w:val="20"/>
                <w:szCs w:val="20"/>
              </w:rPr>
              <w:t xml:space="preserve"> the rate of positive results was </w:t>
            </w:r>
            <w:r>
              <w:rPr>
                <w:b/>
                <w:sz w:val="20"/>
                <w:szCs w:val="20"/>
              </w:rPr>
              <w:t>53%</w:t>
            </w:r>
            <w:r>
              <w:rPr>
                <w:sz w:val="20"/>
                <w:szCs w:val="20"/>
              </w:rPr>
              <w:t xml:space="preserve"> in </w:t>
            </w:r>
            <w:r>
              <w:rPr>
                <w:sz w:val="20"/>
                <w:szCs w:val="20"/>
                <w:u w:val="single"/>
              </w:rPr>
              <w:t>blood</w:t>
            </w:r>
            <w:r>
              <w:rPr>
                <w:sz w:val="20"/>
                <w:szCs w:val="20"/>
              </w:rPr>
              <w:t xml:space="preserve"> and </w:t>
            </w:r>
            <w:r>
              <w:rPr>
                <w:b/>
                <w:sz w:val="20"/>
                <w:szCs w:val="20"/>
              </w:rPr>
              <w:t>37%</w:t>
            </w:r>
            <w:r>
              <w:rPr>
                <w:sz w:val="20"/>
                <w:szCs w:val="20"/>
              </w:rPr>
              <w:t xml:space="preserve"> in </w:t>
            </w:r>
            <w:r>
              <w:rPr>
                <w:sz w:val="20"/>
                <w:szCs w:val="20"/>
                <w:u w:val="single"/>
              </w:rPr>
              <w:t>skin</w:t>
            </w:r>
            <w:r>
              <w:rPr>
                <w:sz w:val="20"/>
                <w:szCs w:val="20"/>
              </w:rPr>
              <w:t xml:space="preserve">. For </w:t>
            </w:r>
            <w:r>
              <w:rPr>
                <w:b/>
                <w:sz w:val="20"/>
                <w:szCs w:val="20"/>
              </w:rPr>
              <w:t>flagellin</w:t>
            </w:r>
            <w:r>
              <w:rPr>
                <w:sz w:val="20"/>
                <w:szCs w:val="20"/>
              </w:rPr>
              <w:t xml:space="preserve">, positivity was achieved in </w:t>
            </w:r>
            <w:r>
              <w:rPr>
                <w:b/>
                <w:sz w:val="20"/>
                <w:szCs w:val="20"/>
              </w:rPr>
              <w:t>86%</w:t>
            </w:r>
            <w:r>
              <w:rPr>
                <w:sz w:val="20"/>
                <w:szCs w:val="20"/>
              </w:rPr>
              <w:t xml:space="preserve"> of </w:t>
            </w:r>
            <w:r>
              <w:rPr>
                <w:sz w:val="20"/>
                <w:szCs w:val="20"/>
                <w:u w:val="single"/>
              </w:rPr>
              <w:t>skin</w:t>
            </w:r>
            <w:r>
              <w:rPr>
                <w:sz w:val="20"/>
                <w:szCs w:val="20"/>
              </w:rPr>
              <w:t xml:space="preserve"> samples and in </w:t>
            </w:r>
            <w:r>
              <w:rPr>
                <w:b/>
                <w:sz w:val="20"/>
                <w:szCs w:val="20"/>
              </w:rPr>
              <w:t>37%</w:t>
            </w:r>
            <w:r>
              <w:rPr>
                <w:sz w:val="20"/>
                <w:szCs w:val="20"/>
              </w:rPr>
              <w:t xml:space="preserve"> in </w:t>
            </w:r>
            <w:r>
              <w:rPr>
                <w:sz w:val="20"/>
                <w:szCs w:val="20"/>
                <w:u w:val="single"/>
              </w:rPr>
              <w:t>blood</w:t>
            </w:r>
            <w:r>
              <w:rPr>
                <w:sz w:val="20"/>
                <w:szCs w:val="20"/>
              </w:rPr>
              <w:t>.</w:t>
            </w:r>
          </w:p>
        </w:tc>
      </w:tr>
      <w:tr w:rsidR="002D58E4" w14:paraId="5E97B6C6" w14:textId="77777777">
        <w:trPr>
          <w:jc w:val="center"/>
        </w:trPr>
        <w:tc>
          <w:tcPr>
            <w:tcW w:w="1041" w:type="dxa"/>
            <w:vAlign w:val="center"/>
          </w:tcPr>
          <w:p w14:paraId="515CF12C" w14:textId="77777777" w:rsidR="002D58E4" w:rsidRDefault="00F721D4">
            <w:pPr>
              <w:rPr>
                <w:sz w:val="20"/>
                <w:szCs w:val="20"/>
              </w:rPr>
            </w:pPr>
            <w:r>
              <w:rPr>
                <w:sz w:val="20"/>
                <w:szCs w:val="20"/>
              </w:rPr>
              <w:t>Eshoo, 2012;</w:t>
            </w:r>
          </w:p>
          <w:p w14:paraId="759CF681" w14:textId="77777777" w:rsidR="002D58E4" w:rsidRDefault="002D58E4">
            <w:pPr>
              <w:rPr>
                <w:sz w:val="20"/>
                <w:szCs w:val="20"/>
              </w:rPr>
            </w:pPr>
          </w:p>
          <w:p w14:paraId="21A9A4AE" w14:textId="77777777" w:rsidR="002D58E4" w:rsidRDefault="00F721D4">
            <w:pPr>
              <w:rPr>
                <w:sz w:val="20"/>
                <w:szCs w:val="20"/>
              </w:rPr>
            </w:pPr>
            <w:r>
              <w:rPr>
                <w:sz w:val="20"/>
                <w:szCs w:val="20"/>
              </w:rPr>
              <w:t>MD, USA (1</w:t>
            </w:r>
            <w:r>
              <w:rPr>
                <w:sz w:val="20"/>
                <w:szCs w:val="20"/>
                <w:vertAlign w:val="superscript"/>
              </w:rPr>
              <w:t>st</w:t>
            </w:r>
            <w:r>
              <w:rPr>
                <w:sz w:val="20"/>
                <w:szCs w:val="20"/>
              </w:rPr>
              <w:t xml:space="preserve"> author is located in CA)</w:t>
            </w:r>
          </w:p>
        </w:tc>
        <w:tc>
          <w:tcPr>
            <w:tcW w:w="3743" w:type="dxa"/>
            <w:vAlign w:val="center"/>
          </w:tcPr>
          <w:p w14:paraId="041F7DC2" w14:textId="77777777" w:rsidR="002D58E4" w:rsidRDefault="00F721D4">
            <w:pPr>
              <w:rPr>
                <w:sz w:val="20"/>
                <w:szCs w:val="20"/>
              </w:rPr>
            </w:pPr>
            <w:r>
              <w:rPr>
                <w:sz w:val="20"/>
                <w:szCs w:val="20"/>
              </w:rPr>
              <w:t>Blood samples collected at the initial presentation from 21 endemic area patients who had both physician-diagnosed EM and positive two-tiered serology either at the initial visit or at a follow-up visit after three weeks of antibiotic therapy.</w:t>
            </w:r>
          </w:p>
          <w:p w14:paraId="47282716" w14:textId="77777777" w:rsidR="002D58E4" w:rsidRDefault="002D58E4">
            <w:pPr>
              <w:rPr>
                <w:sz w:val="20"/>
                <w:szCs w:val="20"/>
              </w:rPr>
            </w:pPr>
          </w:p>
          <w:p w14:paraId="6A7045E4" w14:textId="77777777" w:rsidR="002D58E4" w:rsidRDefault="00F721D4">
            <w:pPr>
              <w:rPr>
                <w:sz w:val="20"/>
                <w:szCs w:val="20"/>
              </w:rPr>
            </w:pPr>
            <w:r>
              <w:rPr>
                <w:sz w:val="20"/>
                <w:szCs w:val="20"/>
              </w:rPr>
              <w:lastRenderedPageBreak/>
              <w:t xml:space="preserve">Paired whole blood and serum specimens from 44 healthy individuals residing in an endemic area served as controls. </w:t>
            </w:r>
          </w:p>
        </w:tc>
        <w:tc>
          <w:tcPr>
            <w:tcW w:w="4050" w:type="dxa"/>
            <w:vAlign w:val="center"/>
          </w:tcPr>
          <w:p w14:paraId="70361FEE" w14:textId="77777777" w:rsidR="002D58E4" w:rsidRDefault="00F721D4">
            <w:pPr>
              <w:rPr>
                <w:sz w:val="20"/>
                <w:szCs w:val="20"/>
              </w:rPr>
            </w:pPr>
            <w:r>
              <w:rPr>
                <w:b/>
                <w:sz w:val="20"/>
                <w:szCs w:val="20"/>
              </w:rPr>
              <w:lastRenderedPageBreak/>
              <w:t xml:space="preserve">Multi-locus PCR </w:t>
            </w:r>
            <w:r>
              <w:rPr>
                <w:sz w:val="20"/>
                <w:szCs w:val="20"/>
              </w:rPr>
              <w:t>and</w:t>
            </w:r>
            <w:r>
              <w:rPr>
                <w:b/>
                <w:sz w:val="20"/>
                <w:szCs w:val="20"/>
              </w:rPr>
              <w:t xml:space="preserve"> electrospray ionization mass spectrometry detection (PCR/ESI-MS) </w:t>
            </w:r>
            <w:r>
              <w:rPr>
                <w:sz w:val="20"/>
                <w:szCs w:val="20"/>
              </w:rPr>
              <w:t>assay of</w:t>
            </w:r>
            <w:r>
              <w:rPr>
                <w:b/>
                <w:sz w:val="20"/>
                <w:szCs w:val="20"/>
              </w:rPr>
              <w:t xml:space="preserve"> </w:t>
            </w:r>
            <w:r>
              <w:rPr>
                <w:b/>
                <w:sz w:val="20"/>
                <w:szCs w:val="20"/>
                <w:u w:val="single"/>
              </w:rPr>
              <w:t>blood.</w:t>
            </w:r>
            <w:r>
              <w:rPr>
                <w:sz w:val="20"/>
                <w:szCs w:val="20"/>
              </w:rPr>
              <w:t xml:space="preserve">  This assay allowed for both detection and genotyping of B. burgdorferi. Primer sets were </w:t>
            </w:r>
            <w:r>
              <w:rPr>
                <w:b/>
                <w:sz w:val="20"/>
                <w:szCs w:val="20"/>
              </w:rPr>
              <w:t>targeting rpoC, rplB, leuS, flaB, ospC, hbb, and gyrB genes</w:t>
            </w:r>
            <w:r>
              <w:rPr>
                <w:sz w:val="20"/>
                <w:szCs w:val="20"/>
              </w:rPr>
              <w:t xml:space="preserve">.  Each of the seven </w:t>
            </w:r>
            <w:r>
              <w:rPr>
                <w:sz w:val="20"/>
                <w:szCs w:val="20"/>
              </w:rPr>
              <w:lastRenderedPageBreak/>
              <w:t>target loci were amplified using 50 oligonucleotide primers flanking the locus.</w:t>
            </w:r>
          </w:p>
        </w:tc>
        <w:tc>
          <w:tcPr>
            <w:tcW w:w="5693" w:type="dxa"/>
            <w:vAlign w:val="center"/>
          </w:tcPr>
          <w:p w14:paraId="6773E113" w14:textId="77777777" w:rsidR="002D58E4" w:rsidRDefault="00F721D4">
            <w:pPr>
              <w:rPr>
                <w:b/>
                <w:sz w:val="20"/>
                <w:szCs w:val="20"/>
              </w:rPr>
            </w:pPr>
            <w:r>
              <w:rPr>
                <w:sz w:val="20"/>
                <w:szCs w:val="20"/>
              </w:rPr>
              <w:lastRenderedPageBreak/>
              <w:t xml:space="preserve">Results of this </w:t>
            </w:r>
            <w:r>
              <w:rPr>
                <w:b/>
                <w:sz w:val="20"/>
                <w:szCs w:val="20"/>
              </w:rPr>
              <w:t>PCR/ESI-MS</w:t>
            </w:r>
            <w:r>
              <w:rPr>
                <w:sz w:val="20"/>
                <w:szCs w:val="20"/>
              </w:rPr>
              <w:t xml:space="preserve"> </w:t>
            </w:r>
            <w:r>
              <w:rPr>
                <w:b/>
                <w:sz w:val="20"/>
                <w:szCs w:val="20"/>
                <w:u w:val="single"/>
              </w:rPr>
              <w:t xml:space="preserve">blood </w:t>
            </w:r>
            <w:r>
              <w:rPr>
                <w:sz w:val="20"/>
                <w:szCs w:val="20"/>
              </w:rPr>
              <w:t xml:space="preserve">assay showed detection of </w:t>
            </w:r>
            <w:r>
              <w:rPr>
                <w:i/>
                <w:sz w:val="20"/>
                <w:szCs w:val="20"/>
              </w:rPr>
              <w:t>B. burgdorferi</w:t>
            </w:r>
            <w:r>
              <w:rPr>
                <w:sz w:val="20"/>
                <w:szCs w:val="20"/>
              </w:rPr>
              <w:t xml:space="preserve"> in 13 of 21 patients </w:t>
            </w:r>
            <w:r>
              <w:rPr>
                <w:b/>
                <w:sz w:val="20"/>
                <w:szCs w:val="20"/>
              </w:rPr>
              <w:t>(Sn 61.9%).</w:t>
            </w:r>
            <w:r>
              <w:rPr>
                <w:sz w:val="20"/>
                <w:szCs w:val="20"/>
              </w:rPr>
              <w:t xml:space="preserve"> In most cases the new assay also provided the </w:t>
            </w:r>
            <w:r>
              <w:rPr>
                <w:i/>
                <w:sz w:val="20"/>
                <w:szCs w:val="20"/>
              </w:rPr>
              <w:t>B. burgdorferi</w:t>
            </w:r>
            <w:r>
              <w:rPr>
                <w:sz w:val="20"/>
                <w:szCs w:val="20"/>
              </w:rPr>
              <w:t xml:space="preserve"> genotype.  All control samples tested negative by the PCR/ESI-MS essay </w:t>
            </w:r>
            <w:r>
              <w:rPr>
                <w:b/>
                <w:sz w:val="20"/>
                <w:szCs w:val="20"/>
              </w:rPr>
              <w:t xml:space="preserve">(Sp 100%). </w:t>
            </w:r>
          </w:p>
          <w:p w14:paraId="638E7A3B" w14:textId="77777777" w:rsidR="002D58E4" w:rsidRDefault="00F721D4">
            <w:pPr>
              <w:rPr>
                <w:sz w:val="20"/>
                <w:szCs w:val="20"/>
              </w:rPr>
            </w:pPr>
            <w:r>
              <w:rPr>
                <w:sz w:val="20"/>
                <w:szCs w:val="20"/>
              </w:rPr>
              <w:t xml:space="preserve">In comparison, 2-tier assay detected 14/21 EM cases (66.7%), with specificity at 97.7%. </w:t>
            </w:r>
          </w:p>
          <w:p w14:paraId="6BF40B96" w14:textId="77777777" w:rsidR="002D58E4" w:rsidRDefault="002D58E4">
            <w:pPr>
              <w:rPr>
                <w:sz w:val="20"/>
                <w:szCs w:val="20"/>
              </w:rPr>
            </w:pPr>
          </w:p>
          <w:p w14:paraId="0C6D77C0" w14:textId="77777777" w:rsidR="002D58E4" w:rsidRDefault="00F721D4">
            <w:pPr>
              <w:rPr>
                <w:i/>
                <w:sz w:val="20"/>
                <w:szCs w:val="20"/>
              </w:rPr>
            </w:pPr>
            <w:r>
              <w:rPr>
                <w:sz w:val="20"/>
                <w:szCs w:val="20"/>
              </w:rPr>
              <w:lastRenderedPageBreak/>
              <w:t>The combined results of the direct detection assay with initial physician visit serology resulted in the detection of early LD in 19 of 21 (90%) of patients at the initial visit.</w:t>
            </w:r>
          </w:p>
        </w:tc>
      </w:tr>
    </w:tbl>
    <w:p w14:paraId="7D4BA257" w14:textId="77777777" w:rsidR="002D58E4" w:rsidRDefault="002D58E4">
      <w:pPr>
        <w:rPr>
          <w:sz w:val="20"/>
          <w:szCs w:val="20"/>
        </w:rPr>
      </w:pPr>
    </w:p>
    <w:p w14:paraId="599FF0B2" w14:textId="77777777" w:rsidR="002D58E4" w:rsidRDefault="002D58E4">
      <w:pPr>
        <w:spacing w:after="160" w:line="259" w:lineRule="auto"/>
        <w:rPr>
          <w:b/>
          <w:sz w:val="32"/>
          <w:szCs w:val="32"/>
        </w:rPr>
      </w:pPr>
    </w:p>
    <w:p w14:paraId="5075DDBE" w14:textId="77777777" w:rsidR="009F5BCE" w:rsidRDefault="009F5BCE">
      <w:pPr>
        <w:rPr>
          <w:b/>
          <w:sz w:val="32"/>
          <w:szCs w:val="32"/>
        </w:rPr>
      </w:pPr>
      <w:r>
        <w:rPr>
          <w:b/>
          <w:sz w:val="32"/>
          <w:szCs w:val="32"/>
        </w:rPr>
        <w:br w:type="page"/>
      </w:r>
    </w:p>
    <w:p w14:paraId="67E1B7B3" w14:textId="3E4C7A49" w:rsidR="002D58E4" w:rsidRDefault="00F721D4">
      <w:pPr>
        <w:rPr>
          <w:sz w:val="20"/>
          <w:szCs w:val="20"/>
        </w:rPr>
      </w:pPr>
      <w:r>
        <w:rPr>
          <w:b/>
          <w:sz w:val="32"/>
          <w:szCs w:val="32"/>
        </w:rPr>
        <w:lastRenderedPageBreak/>
        <w:t>VI. What are the preferred antibiotic regimens for the treatment of erythema migrans?</w:t>
      </w:r>
    </w:p>
    <w:p w14:paraId="59514277" w14:textId="77777777" w:rsidR="002D58E4" w:rsidRDefault="00F721D4">
      <w:pPr>
        <w:spacing w:after="0"/>
        <w:rPr>
          <w:b/>
          <w:color w:val="000000"/>
          <w:sz w:val="24"/>
          <w:szCs w:val="24"/>
          <w:u w:val="single"/>
        </w:rPr>
      </w:pPr>
      <w:r>
        <w:rPr>
          <w:b/>
          <w:color w:val="000000"/>
          <w:sz w:val="24"/>
          <w:szCs w:val="24"/>
          <w:u w:val="single"/>
        </w:rPr>
        <w:t xml:space="preserve">DOXYCYCLINE vs. PENICILLIN V </w:t>
      </w:r>
    </w:p>
    <w:p w14:paraId="1D6FB369" w14:textId="77777777" w:rsidR="002D58E4" w:rsidRDefault="00F721D4">
      <w:pPr>
        <w:spacing w:after="0"/>
        <w:rPr>
          <w:b/>
        </w:rPr>
      </w:pPr>
      <w:r>
        <w:rPr>
          <w:b/>
        </w:rPr>
        <w:t>In patients with erythema migrans, should Doxycycline be used over Penicillin V?</w:t>
      </w:r>
    </w:p>
    <w:p w14:paraId="6142975D" w14:textId="77777777" w:rsidR="002D58E4" w:rsidRDefault="00F721D4">
      <w:pPr>
        <w:spacing w:after="0"/>
      </w:pPr>
      <w:r>
        <w:t>P: In patients with erythema migrans</w:t>
      </w:r>
    </w:p>
    <w:p w14:paraId="52B5AAEB" w14:textId="77777777" w:rsidR="002D58E4" w:rsidRPr="00F721D4" w:rsidRDefault="00F721D4">
      <w:pPr>
        <w:spacing w:after="0"/>
        <w:rPr>
          <w:lang w:val="fr-CA"/>
        </w:rPr>
      </w:pPr>
      <w:r w:rsidRPr="00F721D4">
        <w:rPr>
          <w:lang w:val="fr-CA"/>
        </w:rPr>
        <w:t xml:space="preserve">I: Doxycycline </w:t>
      </w:r>
    </w:p>
    <w:p w14:paraId="1E6AD4F0" w14:textId="77777777" w:rsidR="002D58E4" w:rsidRPr="00F721D4" w:rsidRDefault="00F721D4">
      <w:pPr>
        <w:spacing w:after="0"/>
        <w:rPr>
          <w:lang w:val="fr-CA"/>
        </w:rPr>
      </w:pPr>
      <w:r w:rsidRPr="00F721D4">
        <w:rPr>
          <w:lang w:val="fr-CA"/>
        </w:rPr>
        <w:t xml:space="preserve">C: Penicillin V </w:t>
      </w:r>
    </w:p>
    <w:p w14:paraId="0377AD52" w14:textId="77777777" w:rsidR="002D58E4" w:rsidRPr="00F721D4" w:rsidRDefault="002D58E4">
      <w:pPr>
        <w:spacing w:after="0"/>
        <w:rPr>
          <w:b/>
          <w:color w:val="000000"/>
          <w:sz w:val="18"/>
          <w:szCs w:val="18"/>
          <w:lang w:val="fr-CA"/>
        </w:rPr>
      </w:pPr>
    </w:p>
    <w:p w14:paraId="2140C3C2" w14:textId="77777777" w:rsidR="002D58E4" w:rsidRDefault="00F721D4" w:rsidP="00DE33EC">
      <w:pPr>
        <w:rPr>
          <w:color w:val="000000"/>
          <w:sz w:val="18"/>
          <w:szCs w:val="18"/>
        </w:rPr>
      </w:pPr>
      <w:r w:rsidRPr="00F721D4">
        <w:rPr>
          <w:b/>
          <w:color w:val="000000"/>
          <w:sz w:val="18"/>
          <w:szCs w:val="18"/>
          <w:lang w:val="fr-CA"/>
        </w:rPr>
        <w:t>Bibliography</w:t>
      </w:r>
      <w:r w:rsidRPr="00F721D4">
        <w:rPr>
          <w:color w:val="000000"/>
          <w:sz w:val="18"/>
          <w:szCs w:val="18"/>
          <w:lang w:val="fr-CA"/>
        </w:rPr>
        <w:t xml:space="preserve">: 1. </w:t>
      </w:r>
      <w:r w:rsidRPr="00DE33EC">
        <w:rPr>
          <w:color w:val="000000"/>
          <w:sz w:val="18"/>
          <w:szCs w:val="18"/>
          <w:lang w:val="fr-CA"/>
        </w:rPr>
        <w:t>Eliassen, et al</w:t>
      </w:r>
      <w:r w:rsidRPr="00DE33EC">
        <w:rPr>
          <w:sz w:val="18"/>
          <w:szCs w:val="18"/>
          <w:lang w:val="fr-CA"/>
        </w:rPr>
        <w:t xml:space="preserve">. </w:t>
      </w:r>
      <w:hyperlink r:id="rId25">
        <w:r w:rsidRPr="00DE33EC">
          <w:rPr>
            <w:rFonts w:eastAsia="Arial"/>
            <w:sz w:val="18"/>
            <w:szCs w:val="18"/>
            <w:highlight w:val="white"/>
            <w:lang w:val="fr-CA"/>
          </w:rPr>
          <w:t>Clin Microbiol Infect.</w:t>
        </w:r>
      </w:hyperlink>
      <w:r w:rsidRPr="00DE33EC">
        <w:rPr>
          <w:rFonts w:eastAsia="Arial"/>
          <w:color w:val="000000"/>
          <w:sz w:val="18"/>
          <w:szCs w:val="18"/>
          <w:highlight w:val="white"/>
          <w:lang w:val="fr-CA"/>
        </w:rPr>
        <w:t> 2018 Dec; 24(12):1290-1296</w:t>
      </w:r>
      <w:r w:rsidRPr="00DE33EC">
        <w:rPr>
          <w:color w:val="000000"/>
          <w:sz w:val="18"/>
          <w:szCs w:val="18"/>
          <w:lang w:val="fr-CA"/>
        </w:rPr>
        <w:t xml:space="preserve">; 2. Strle, et al. </w:t>
      </w:r>
      <w:r w:rsidRPr="00DE33EC">
        <w:rPr>
          <w:color w:val="000000"/>
          <w:sz w:val="18"/>
          <w:szCs w:val="18"/>
        </w:rPr>
        <w:t>J Antimicrob Chemother. 1992 Oct; 30(4):543-50.</w:t>
      </w:r>
    </w:p>
    <w:tbl>
      <w:tblPr>
        <w:tblStyle w:val="af"/>
        <w:tblW w:w="14393"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6"/>
        <w:gridCol w:w="682"/>
        <w:gridCol w:w="1085"/>
        <w:gridCol w:w="1044"/>
        <w:gridCol w:w="197"/>
        <w:gridCol w:w="795"/>
        <w:gridCol w:w="36"/>
        <w:gridCol w:w="927"/>
        <w:gridCol w:w="167"/>
        <w:gridCol w:w="921"/>
        <w:gridCol w:w="21"/>
        <w:gridCol w:w="1005"/>
        <w:gridCol w:w="179"/>
        <w:gridCol w:w="1014"/>
        <w:gridCol w:w="51"/>
        <w:gridCol w:w="1328"/>
        <w:gridCol w:w="90"/>
        <w:gridCol w:w="1781"/>
        <w:gridCol w:w="155"/>
        <w:gridCol w:w="886"/>
        <w:gridCol w:w="44"/>
        <w:gridCol w:w="1259"/>
      </w:tblGrid>
      <w:tr w:rsidR="002D58E4" w14:paraId="598DCEBC" w14:textId="77777777" w:rsidTr="00E70FE5">
        <w:tc>
          <w:tcPr>
            <w:tcW w:w="6601" w:type="dxa"/>
            <w:gridSpan w:val="11"/>
            <w:tcBorders>
              <w:top w:val="single" w:sz="6" w:space="0" w:color="000000"/>
              <w:left w:val="single" w:sz="6" w:space="0" w:color="000000"/>
              <w:bottom w:val="single" w:sz="6" w:space="0" w:color="000000"/>
              <w:right w:val="single" w:sz="6" w:space="0" w:color="000000"/>
            </w:tcBorders>
            <w:shd w:val="clear" w:color="auto" w:fill="DDDDDD"/>
            <w:vAlign w:val="center"/>
          </w:tcPr>
          <w:p w14:paraId="4CA2C051" w14:textId="77777777" w:rsidR="002D58E4" w:rsidRDefault="00F721D4">
            <w:pPr>
              <w:jc w:val="center"/>
              <w:rPr>
                <w:b/>
                <w:sz w:val="20"/>
                <w:szCs w:val="20"/>
              </w:rPr>
            </w:pPr>
            <w:r>
              <w:rPr>
                <w:b/>
                <w:sz w:val="20"/>
                <w:szCs w:val="20"/>
              </w:rPr>
              <w:t>Certainty assessment</w:t>
            </w:r>
          </w:p>
        </w:tc>
        <w:tc>
          <w:tcPr>
            <w:tcW w:w="2249" w:type="dxa"/>
            <w:gridSpan w:val="4"/>
            <w:tcBorders>
              <w:top w:val="single" w:sz="6" w:space="0" w:color="000000"/>
              <w:left w:val="single" w:sz="6" w:space="0" w:color="000000"/>
              <w:bottom w:val="single" w:sz="6" w:space="0" w:color="000000"/>
              <w:right w:val="single" w:sz="6" w:space="0" w:color="000000"/>
            </w:tcBorders>
            <w:shd w:val="clear" w:color="auto" w:fill="DDDDDD"/>
            <w:vAlign w:val="center"/>
          </w:tcPr>
          <w:p w14:paraId="1AB8D146" w14:textId="77777777" w:rsidR="002D58E4" w:rsidRDefault="00F721D4">
            <w:pPr>
              <w:jc w:val="center"/>
              <w:rPr>
                <w:b/>
                <w:sz w:val="20"/>
                <w:szCs w:val="20"/>
              </w:rPr>
            </w:pPr>
            <w:r>
              <w:rPr>
                <w:b/>
                <w:sz w:val="18"/>
                <w:szCs w:val="18"/>
              </w:rPr>
              <w:t>№ of Events/№ of patients</w:t>
            </w:r>
          </w:p>
        </w:tc>
        <w:tc>
          <w:tcPr>
            <w:tcW w:w="3199" w:type="dxa"/>
            <w:gridSpan w:val="3"/>
            <w:tcBorders>
              <w:top w:val="single" w:sz="6" w:space="0" w:color="000000"/>
              <w:left w:val="single" w:sz="6" w:space="0" w:color="000000"/>
              <w:bottom w:val="single" w:sz="6" w:space="0" w:color="000000"/>
              <w:right w:val="single" w:sz="6" w:space="0" w:color="000000"/>
            </w:tcBorders>
            <w:shd w:val="clear" w:color="auto" w:fill="DDDDDD"/>
            <w:vAlign w:val="center"/>
          </w:tcPr>
          <w:p w14:paraId="3F4128D8" w14:textId="77777777" w:rsidR="002D58E4" w:rsidRDefault="00F721D4">
            <w:pPr>
              <w:jc w:val="center"/>
              <w:rPr>
                <w:b/>
                <w:sz w:val="20"/>
                <w:szCs w:val="20"/>
              </w:rPr>
            </w:pPr>
            <w:r>
              <w:rPr>
                <w:b/>
                <w:sz w:val="20"/>
                <w:szCs w:val="20"/>
              </w:rPr>
              <w:t>Effect</w:t>
            </w:r>
          </w:p>
        </w:tc>
        <w:tc>
          <w:tcPr>
            <w:tcW w:w="1041" w:type="dxa"/>
            <w:gridSpan w:val="2"/>
            <w:vMerge w:val="restart"/>
            <w:tcBorders>
              <w:left w:val="single" w:sz="6" w:space="0" w:color="000000"/>
              <w:right w:val="single" w:sz="6" w:space="0" w:color="000000"/>
            </w:tcBorders>
            <w:shd w:val="clear" w:color="auto" w:fill="DDDDDD"/>
            <w:vAlign w:val="center"/>
          </w:tcPr>
          <w:p w14:paraId="41C8CC12" w14:textId="77777777" w:rsidR="002D58E4" w:rsidRDefault="00F721D4">
            <w:pPr>
              <w:rPr>
                <w:b/>
                <w:sz w:val="20"/>
                <w:szCs w:val="20"/>
              </w:rPr>
            </w:pPr>
            <w:r>
              <w:rPr>
                <w:b/>
                <w:sz w:val="20"/>
                <w:szCs w:val="20"/>
              </w:rPr>
              <w:t>Certainty</w:t>
            </w:r>
          </w:p>
        </w:tc>
        <w:tc>
          <w:tcPr>
            <w:tcW w:w="1301" w:type="dxa"/>
            <w:gridSpan w:val="2"/>
            <w:vMerge w:val="restart"/>
            <w:tcBorders>
              <w:left w:val="single" w:sz="6" w:space="0" w:color="000000"/>
              <w:right w:val="single" w:sz="6" w:space="0" w:color="000000"/>
            </w:tcBorders>
            <w:shd w:val="clear" w:color="auto" w:fill="DDDDDD"/>
            <w:vAlign w:val="center"/>
          </w:tcPr>
          <w:p w14:paraId="4F49B411" w14:textId="77777777" w:rsidR="002D58E4" w:rsidRDefault="00F721D4">
            <w:pPr>
              <w:rPr>
                <w:b/>
                <w:sz w:val="20"/>
                <w:szCs w:val="20"/>
              </w:rPr>
            </w:pPr>
            <w:r>
              <w:rPr>
                <w:b/>
                <w:sz w:val="20"/>
                <w:szCs w:val="20"/>
              </w:rPr>
              <w:t>Importance</w:t>
            </w:r>
          </w:p>
        </w:tc>
      </w:tr>
      <w:tr w:rsidR="002D58E4" w14:paraId="78445087" w14:textId="77777777" w:rsidTr="00E70FE5">
        <w:tc>
          <w:tcPr>
            <w:tcW w:w="72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040E4FB" w14:textId="77777777" w:rsidR="002D58E4" w:rsidRDefault="00F721D4">
            <w:pPr>
              <w:jc w:val="center"/>
              <w:rPr>
                <w:b/>
                <w:sz w:val="20"/>
                <w:szCs w:val="20"/>
              </w:rPr>
            </w:pPr>
            <w:r>
              <w:rPr>
                <w:b/>
                <w:sz w:val="20"/>
                <w:szCs w:val="20"/>
              </w:rPr>
              <w:t>№ of studies</w:t>
            </w:r>
          </w:p>
        </w:tc>
        <w:tc>
          <w:tcPr>
            <w:tcW w:w="682"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49D2D20" w14:textId="77777777" w:rsidR="002D58E4" w:rsidRDefault="00F721D4">
            <w:pPr>
              <w:jc w:val="center"/>
              <w:rPr>
                <w:b/>
                <w:sz w:val="20"/>
                <w:szCs w:val="20"/>
              </w:rPr>
            </w:pPr>
            <w:r>
              <w:rPr>
                <w:b/>
                <w:sz w:val="20"/>
                <w:szCs w:val="20"/>
              </w:rPr>
              <w:t>Study design</w:t>
            </w:r>
          </w:p>
        </w:tc>
        <w:tc>
          <w:tcPr>
            <w:tcW w:w="108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5CD90A73" w14:textId="77777777" w:rsidR="002D58E4" w:rsidRDefault="00F721D4">
            <w:pPr>
              <w:jc w:val="center"/>
              <w:rPr>
                <w:b/>
                <w:sz w:val="20"/>
                <w:szCs w:val="20"/>
              </w:rPr>
            </w:pPr>
            <w:r>
              <w:rPr>
                <w:b/>
                <w:sz w:val="20"/>
                <w:szCs w:val="20"/>
              </w:rPr>
              <w:t>Risk of bias</w:t>
            </w:r>
          </w:p>
        </w:tc>
        <w:tc>
          <w:tcPr>
            <w:tcW w:w="104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D72D837" w14:textId="77777777" w:rsidR="002D58E4" w:rsidRDefault="00F721D4">
            <w:pPr>
              <w:jc w:val="center"/>
              <w:rPr>
                <w:b/>
                <w:sz w:val="20"/>
                <w:szCs w:val="20"/>
              </w:rPr>
            </w:pPr>
            <w:r>
              <w:rPr>
                <w:b/>
                <w:sz w:val="20"/>
                <w:szCs w:val="20"/>
              </w:rPr>
              <w:t>Inconsistency</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09DD61D1" w14:textId="77777777" w:rsidR="002D58E4" w:rsidRDefault="00F721D4">
            <w:pPr>
              <w:jc w:val="center"/>
              <w:rPr>
                <w:b/>
                <w:sz w:val="20"/>
                <w:szCs w:val="20"/>
              </w:rPr>
            </w:pPr>
            <w:r>
              <w:rPr>
                <w:b/>
                <w:sz w:val="20"/>
                <w:szCs w:val="20"/>
              </w:rPr>
              <w:t>Indirectness</w:t>
            </w: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DDDDDD"/>
            <w:vAlign w:val="center"/>
          </w:tcPr>
          <w:p w14:paraId="0CFE4C5F" w14:textId="77777777" w:rsidR="002D58E4" w:rsidRDefault="00F721D4">
            <w:pPr>
              <w:jc w:val="center"/>
              <w:rPr>
                <w:b/>
                <w:sz w:val="20"/>
                <w:szCs w:val="20"/>
              </w:rPr>
            </w:pPr>
            <w:r>
              <w:rPr>
                <w:b/>
                <w:sz w:val="20"/>
                <w:szCs w:val="20"/>
              </w:rPr>
              <w:t>Imprecision</w:t>
            </w:r>
          </w:p>
        </w:tc>
        <w:tc>
          <w:tcPr>
            <w:tcW w:w="942"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12C489E4" w14:textId="77777777" w:rsidR="002D58E4" w:rsidRDefault="00F721D4">
            <w:pPr>
              <w:jc w:val="center"/>
              <w:rPr>
                <w:b/>
                <w:sz w:val="20"/>
                <w:szCs w:val="20"/>
              </w:rPr>
            </w:pPr>
            <w:r>
              <w:rPr>
                <w:b/>
                <w:sz w:val="20"/>
                <w:szCs w:val="20"/>
              </w:rPr>
              <w:t>Other considerations</w:t>
            </w:r>
          </w:p>
        </w:tc>
        <w:tc>
          <w:tcPr>
            <w:tcW w:w="1184"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18EABE35" w14:textId="77777777" w:rsidR="002D58E4" w:rsidRDefault="00F721D4">
            <w:pPr>
              <w:jc w:val="center"/>
              <w:rPr>
                <w:b/>
                <w:sz w:val="20"/>
                <w:szCs w:val="20"/>
              </w:rPr>
            </w:pPr>
            <w:r>
              <w:rPr>
                <w:b/>
                <w:sz w:val="20"/>
                <w:szCs w:val="20"/>
              </w:rPr>
              <w:t>Doxycycline</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008FAA96" w14:textId="77777777" w:rsidR="002D58E4" w:rsidRDefault="00F721D4">
            <w:pPr>
              <w:jc w:val="center"/>
              <w:rPr>
                <w:b/>
                <w:sz w:val="20"/>
                <w:szCs w:val="20"/>
              </w:rPr>
            </w:pPr>
            <w:r>
              <w:rPr>
                <w:b/>
                <w:sz w:val="20"/>
                <w:szCs w:val="20"/>
              </w:rPr>
              <w:t xml:space="preserve">Penicillin V </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28FD9DE" w14:textId="77777777" w:rsidR="002D58E4" w:rsidRDefault="00F721D4">
            <w:pPr>
              <w:jc w:val="center"/>
              <w:rPr>
                <w:b/>
                <w:sz w:val="20"/>
                <w:szCs w:val="20"/>
              </w:rPr>
            </w:pPr>
            <w:r>
              <w:rPr>
                <w:b/>
                <w:sz w:val="20"/>
                <w:szCs w:val="20"/>
              </w:rPr>
              <w:t>Relative</w:t>
            </w:r>
            <w:r>
              <w:rPr>
                <w:b/>
                <w:sz w:val="20"/>
                <w:szCs w:val="20"/>
              </w:rPr>
              <w:br/>
              <w:t>(95% CI)</w:t>
            </w:r>
          </w:p>
        </w:tc>
        <w:tc>
          <w:tcPr>
            <w:tcW w:w="178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3A5D4EC" w14:textId="77777777" w:rsidR="002D58E4" w:rsidRDefault="00F721D4">
            <w:pPr>
              <w:jc w:val="center"/>
              <w:rPr>
                <w:b/>
                <w:sz w:val="20"/>
                <w:szCs w:val="20"/>
              </w:rPr>
            </w:pPr>
            <w:r>
              <w:rPr>
                <w:b/>
                <w:sz w:val="20"/>
                <w:szCs w:val="20"/>
              </w:rPr>
              <w:t>Absolute</w:t>
            </w:r>
            <w:r>
              <w:rPr>
                <w:b/>
                <w:sz w:val="20"/>
                <w:szCs w:val="20"/>
              </w:rPr>
              <w:br/>
              <w:t>(95% CI)</w:t>
            </w:r>
          </w:p>
        </w:tc>
        <w:tc>
          <w:tcPr>
            <w:tcW w:w="1041" w:type="dxa"/>
            <w:gridSpan w:val="2"/>
            <w:vMerge/>
            <w:tcBorders>
              <w:left w:val="single" w:sz="6" w:space="0" w:color="000000"/>
              <w:right w:val="single" w:sz="6" w:space="0" w:color="000000"/>
            </w:tcBorders>
            <w:shd w:val="clear" w:color="auto" w:fill="DDDDDD"/>
            <w:vAlign w:val="center"/>
          </w:tcPr>
          <w:p w14:paraId="0BE6145A" w14:textId="77777777" w:rsidR="002D58E4" w:rsidRDefault="002D58E4">
            <w:pPr>
              <w:widowControl w:val="0"/>
              <w:pBdr>
                <w:top w:val="nil"/>
                <w:left w:val="nil"/>
                <w:bottom w:val="nil"/>
                <w:right w:val="nil"/>
                <w:between w:val="nil"/>
              </w:pBdr>
              <w:spacing w:line="276" w:lineRule="auto"/>
              <w:rPr>
                <w:b/>
                <w:sz w:val="20"/>
                <w:szCs w:val="20"/>
              </w:rPr>
            </w:pPr>
          </w:p>
        </w:tc>
        <w:tc>
          <w:tcPr>
            <w:tcW w:w="1301" w:type="dxa"/>
            <w:gridSpan w:val="2"/>
            <w:vMerge/>
            <w:tcBorders>
              <w:left w:val="single" w:sz="6" w:space="0" w:color="000000"/>
              <w:right w:val="single" w:sz="6" w:space="0" w:color="000000"/>
            </w:tcBorders>
            <w:shd w:val="clear" w:color="auto" w:fill="DDDDDD"/>
            <w:vAlign w:val="center"/>
          </w:tcPr>
          <w:p w14:paraId="14A77BC7" w14:textId="77777777" w:rsidR="002D58E4" w:rsidRDefault="002D58E4">
            <w:pPr>
              <w:widowControl w:val="0"/>
              <w:pBdr>
                <w:top w:val="nil"/>
                <w:left w:val="nil"/>
                <w:bottom w:val="nil"/>
                <w:right w:val="nil"/>
                <w:between w:val="nil"/>
              </w:pBdr>
              <w:spacing w:line="276" w:lineRule="auto"/>
              <w:rPr>
                <w:b/>
                <w:sz w:val="20"/>
                <w:szCs w:val="20"/>
              </w:rPr>
            </w:pPr>
          </w:p>
        </w:tc>
      </w:tr>
      <w:tr w:rsidR="002D58E4" w14:paraId="6F3AAD26" w14:textId="77777777" w:rsidTr="00E70FE5">
        <w:tc>
          <w:tcPr>
            <w:tcW w:w="14393" w:type="dxa"/>
            <w:gridSpan w:val="22"/>
            <w:tcBorders>
              <w:top w:val="single" w:sz="6" w:space="0" w:color="000000"/>
              <w:left w:val="single" w:sz="6" w:space="0" w:color="000000"/>
              <w:bottom w:val="single" w:sz="6" w:space="0" w:color="000000"/>
              <w:right w:val="single" w:sz="6" w:space="0" w:color="000000"/>
            </w:tcBorders>
            <w:shd w:val="clear" w:color="auto" w:fill="EDEDED"/>
            <w:vAlign w:val="center"/>
          </w:tcPr>
          <w:p w14:paraId="6FD23B52" w14:textId="77777777" w:rsidR="002D58E4" w:rsidRDefault="00F721D4">
            <w:pPr>
              <w:rPr>
                <w:sz w:val="20"/>
                <w:szCs w:val="20"/>
              </w:rPr>
            </w:pPr>
            <w:r>
              <w:rPr>
                <w:b/>
                <w:sz w:val="20"/>
                <w:szCs w:val="20"/>
              </w:rPr>
              <w:t>Resolution of Erythema Migrans (</w:t>
            </w:r>
            <w:r>
              <w:rPr>
                <w:sz w:val="20"/>
                <w:szCs w:val="20"/>
              </w:rPr>
              <w:t>at 14 days)</w:t>
            </w:r>
          </w:p>
        </w:tc>
      </w:tr>
      <w:tr w:rsidR="002D58E4" w14:paraId="143B3B2E" w14:textId="77777777" w:rsidTr="00E70FE5">
        <w:tc>
          <w:tcPr>
            <w:tcW w:w="726" w:type="dxa"/>
            <w:tcBorders>
              <w:top w:val="single" w:sz="6" w:space="0" w:color="000000"/>
              <w:left w:val="single" w:sz="6" w:space="0" w:color="000000"/>
              <w:bottom w:val="single" w:sz="6" w:space="0" w:color="000000"/>
              <w:right w:val="single" w:sz="6" w:space="0" w:color="000000"/>
            </w:tcBorders>
          </w:tcPr>
          <w:p w14:paraId="39118E74" w14:textId="77777777" w:rsidR="002D58E4" w:rsidRDefault="00F721D4">
            <w:pPr>
              <w:rPr>
                <w:sz w:val="20"/>
                <w:szCs w:val="20"/>
              </w:rPr>
            </w:pPr>
            <w:r>
              <w:rPr>
                <w:sz w:val="20"/>
                <w:szCs w:val="20"/>
              </w:rPr>
              <w:t xml:space="preserve">1 </w:t>
            </w:r>
          </w:p>
        </w:tc>
        <w:tc>
          <w:tcPr>
            <w:tcW w:w="682" w:type="dxa"/>
            <w:tcBorders>
              <w:top w:val="single" w:sz="6" w:space="0" w:color="000000"/>
              <w:left w:val="single" w:sz="6" w:space="0" w:color="000000"/>
              <w:bottom w:val="single" w:sz="6" w:space="0" w:color="000000"/>
              <w:right w:val="single" w:sz="6" w:space="0" w:color="000000"/>
            </w:tcBorders>
          </w:tcPr>
          <w:p w14:paraId="7192D786" w14:textId="77777777" w:rsidR="002D58E4" w:rsidRDefault="00F721D4">
            <w:pPr>
              <w:rPr>
                <w:sz w:val="20"/>
                <w:szCs w:val="20"/>
              </w:rPr>
            </w:pPr>
            <w:r>
              <w:rPr>
                <w:sz w:val="20"/>
                <w:szCs w:val="20"/>
              </w:rPr>
              <w:t xml:space="preserve">RCT </w:t>
            </w:r>
            <w:r>
              <w:rPr>
                <w:sz w:val="20"/>
                <w:szCs w:val="20"/>
                <w:vertAlign w:val="superscript"/>
              </w:rPr>
              <w:t>1</w:t>
            </w:r>
          </w:p>
        </w:tc>
        <w:tc>
          <w:tcPr>
            <w:tcW w:w="1085" w:type="dxa"/>
            <w:tcBorders>
              <w:top w:val="single" w:sz="6" w:space="0" w:color="000000"/>
              <w:left w:val="single" w:sz="6" w:space="0" w:color="000000"/>
              <w:bottom w:val="single" w:sz="6" w:space="0" w:color="000000"/>
              <w:right w:val="single" w:sz="6" w:space="0" w:color="000000"/>
            </w:tcBorders>
          </w:tcPr>
          <w:p w14:paraId="29631249" w14:textId="77777777" w:rsidR="002D58E4" w:rsidRDefault="00F721D4">
            <w:pPr>
              <w:rPr>
                <w:sz w:val="20"/>
                <w:szCs w:val="20"/>
              </w:rPr>
            </w:pPr>
            <w:r>
              <w:rPr>
                <w:sz w:val="20"/>
                <w:szCs w:val="20"/>
              </w:rPr>
              <w:t xml:space="preserve">not serious </w:t>
            </w:r>
          </w:p>
        </w:tc>
        <w:tc>
          <w:tcPr>
            <w:tcW w:w="1044" w:type="dxa"/>
            <w:tcBorders>
              <w:top w:val="single" w:sz="6" w:space="0" w:color="000000"/>
              <w:left w:val="single" w:sz="6" w:space="0" w:color="000000"/>
              <w:bottom w:val="single" w:sz="6" w:space="0" w:color="000000"/>
              <w:right w:val="single" w:sz="6" w:space="0" w:color="000000"/>
            </w:tcBorders>
          </w:tcPr>
          <w:p w14:paraId="58C155DB" w14:textId="77777777" w:rsidR="002D58E4" w:rsidRDefault="00F721D4">
            <w:pPr>
              <w:rPr>
                <w:sz w:val="20"/>
                <w:szCs w:val="20"/>
              </w:rPr>
            </w:pPr>
            <w:r>
              <w:rPr>
                <w:sz w:val="20"/>
                <w:szCs w:val="20"/>
              </w:rPr>
              <w:t>not serious</w:t>
            </w:r>
          </w:p>
        </w:tc>
        <w:tc>
          <w:tcPr>
            <w:tcW w:w="992" w:type="dxa"/>
            <w:gridSpan w:val="2"/>
            <w:tcBorders>
              <w:top w:val="single" w:sz="6" w:space="0" w:color="000000"/>
              <w:left w:val="single" w:sz="6" w:space="0" w:color="000000"/>
              <w:bottom w:val="single" w:sz="6" w:space="0" w:color="000000"/>
              <w:right w:val="single" w:sz="6" w:space="0" w:color="000000"/>
            </w:tcBorders>
          </w:tcPr>
          <w:p w14:paraId="0C079C83" w14:textId="77777777" w:rsidR="002D58E4" w:rsidRDefault="00F721D4">
            <w:pPr>
              <w:rPr>
                <w:sz w:val="20"/>
                <w:szCs w:val="20"/>
              </w:rPr>
            </w:pPr>
            <w:r>
              <w:rPr>
                <w:sz w:val="20"/>
                <w:szCs w:val="20"/>
              </w:rPr>
              <w:t xml:space="preserve">not serious </w:t>
            </w:r>
          </w:p>
        </w:tc>
        <w:tc>
          <w:tcPr>
            <w:tcW w:w="1130" w:type="dxa"/>
            <w:gridSpan w:val="3"/>
            <w:tcBorders>
              <w:top w:val="single" w:sz="6" w:space="0" w:color="000000"/>
              <w:left w:val="single" w:sz="6" w:space="0" w:color="000000"/>
              <w:bottom w:val="single" w:sz="6" w:space="0" w:color="000000"/>
              <w:right w:val="single" w:sz="6" w:space="0" w:color="000000"/>
            </w:tcBorders>
          </w:tcPr>
          <w:p w14:paraId="1B0BFAED" w14:textId="77777777" w:rsidR="002D58E4" w:rsidRDefault="00F721D4">
            <w:pPr>
              <w:rPr>
                <w:sz w:val="20"/>
                <w:szCs w:val="20"/>
              </w:rPr>
            </w:pPr>
            <w:r>
              <w:rPr>
                <w:sz w:val="20"/>
                <w:szCs w:val="20"/>
              </w:rPr>
              <w:t xml:space="preserve">not serious </w:t>
            </w:r>
            <w:r>
              <w:rPr>
                <w:sz w:val="20"/>
                <w:szCs w:val="20"/>
                <w:vertAlign w:val="superscript"/>
              </w:rPr>
              <w:t>a</w:t>
            </w:r>
          </w:p>
        </w:tc>
        <w:tc>
          <w:tcPr>
            <w:tcW w:w="942" w:type="dxa"/>
            <w:gridSpan w:val="2"/>
            <w:tcBorders>
              <w:top w:val="single" w:sz="6" w:space="0" w:color="000000"/>
              <w:left w:val="single" w:sz="6" w:space="0" w:color="000000"/>
              <w:bottom w:val="single" w:sz="6" w:space="0" w:color="000000"/>
              <w:right w:val="single" w:sz="6" w:space="0" w:color="000000"/>
            </w:tcBorders>
          </w:tcPr>
          <w:p w14:paraId="35A60574" w14:textId="77777777" w:rsidR="002D58E4" w:rsidRDefault="00F721D4">
            <w:pPr>
              <w:rPr>
                <w:sz w:val="20"/>
                <w:szCs w:val="20"/>
              </w:rPr>
            </w:pPr>
            <w:r>
              <w:rPr>
                <w:sz w:val="20"/>
                <w:szCs w:val="20"/>
              </w:rPr>
              <w:t xml:space="preserve">none </w:t>
            </w:r>
          </w:p>
        </w:tc>
        <w:tc>
          <w:tcPr>
            <w:tcW w:w="1184" w:type="dxa"/>
            <w:gridSpan w:val="2"/>
            <w:tcBorders>
              <w:top w:val="single" w:sz="6" w:space="0" w:color="000000"/>
              <w:left w:val="single" w:sz="6" w:space="0" w:color="000000"/>
              <w:bottom w:val="single" w:sz="6" w:space="0" w:color="000000"/>
              <w:right w:val="single" w:sz="6" w:space="0" w:color="000000"/>
            </w:tcBorders>
          </w:tcPr>
          <w:p w14:paraId="3D2C0530" w14:textId="77777777" w:rsidR="002D58E4" w:rsidRDefault="00F721D4">
            <w:pPr>
              <w:jc w:val="center"/>
              <w:rPr>
                <w:sz w:val="20"/>
                <w:szCs w:val="20"/>
              </w:rPr>
            </w:pPr>
            <w:r>
              <w:rPr>
                <w:sz w:val="20"/>
                <w:szCs w:val="20"/>
              </w:rPr>
              <w:t xml:space="preserve">68/68 </w:t>
            </w:r>
          </w:p>
          <w:p w14:paraId="5CCFD84E" w14:textId="77777777" w:rsidR="002D58E4" w:rsidRDefault="00F721D4">
            <w:pPr>
              <w:jc w:val="center"/>
              <w:rPr>
                <w:sz w:val="20"/>
                <w:szCs w:val="20"/>
              </w:rPr>
            </w:pPr>
            <w:r>
              <w:rPr>
                <w:sz w:val="20"/>
                <w:szCs w:val="20"/>
              </w:rPr>
              <w:t xml:space="preserve">(100.0%) </w:t>
            </w:r>
          </w:p>
        </w:tc>
        <w:tc>
          <w:tcPr>
            <w:tcW w:w="1065" w:type="dxa"/>
            <w:gridSpan w:val="2"/>
            <w:tcBorders>
              <w:top w:val="single" w:sz="6" w:space="0" w:color="000000"/>
              <w:left w:val="single" w:sz="6" w:space="0" w:color="000000"/>
              <w:bottom w:val="single" w:sz="6" w:space="0" w:color="000000"/>
              <w:right w:val="single" w:sz="6" w:space="0" w:color="000000"/>
            </w:tcBorders>
          </w:tcPr>
          <w:p w14:paraId="2CAA0852" w14:textId="77777777" w:rsidR="002D58E4" w:rsidRDefault="00F721D4">
            <w:pPr>
              <w:jc w:val="center"/>
              <w:rPr>
                <w:sz w:val="20"/>
                <w:szCs w:val="20"/>
              </w:rPr>
            </w:pPr>
            <w:r>
              <w:rPr>
                <w:sz w:val="20"/>
                <w:szCs w:val="20"/>
              </w:rPr>
              <w:t xml:space="preserve">54/55 </w:t>
            </w:r>
          </w:p>
          <w:p w14:paraId="120DFF6B" w14:textId="77777777" w:rsidR="002D58E4" w:rsidRDefault="00F721D4">
            <w:pPr>
              <w:jc w:val="center"/>
              <w:rPr>
                <w:sz w:val="20"/>
                <w:szCs w:val="20"/>
              </w:rPr>
            </w:pPr>
            <w:r>
              <w:rPr>
                <w:sz w:val="20"/>
                <w:szCs w:val="20"/>
              </w:rPr>
              <w:t xml:space="preserve">(98.2%) </w:t>
            </w:r>
          </w:p>
        </w:tc>
        <w:tc>
          <w:tcPr>
            <w:tcW w:w="1418" w:type="dxa"/>
            <w:gridSpan w:val="2"/>
            <w:tcBorders>
              <w:top w:val="single" w:sz="6" w:space="0" w:color="000000"/>
              <w:left w:val="single" w:sz="6" w:space="0" w:color="000000"/>
              <w:bottom w:val="single" w:sz="6" w:space="0" w:color="000000"/>
              <w:right w:val="single" w:sz="6" w:space="0" w:color="000000"/>
            </w:tcBorders>
          </w:tcPr>
          <w:p w14:paraId="3E0C663E" w14:textId="77777777" w:rsidR="002D58E4" w:rsidRDefault="00F721D4">
            <w:pPr>
              <w:jc w:val="center"/>
              <w:rPr>
                <w:sz w:val="20"/>
                <w:szCs w:val="20"/>
              </w:rPr>
            </w:pPr>
            <w:r>
              <w:rPr>
                <w:sz w:val="20"/>
                <w:szCs w:val="20"/>
              </w:rPr>
              <w:t>RR 1.02</w:t>
            </w:r>
            <w:r>
              <w:rPr>
                <w:sz w:val="20"/>
                <w:szCs w:val="20"/>
              </w:rPr>
              <w:br/>
              <w:t>(0.98 to 1.06)</w:t>
            </w:r>
          </w:p>
        </w:tc>
        <w:tc>
          <w:tcPr>
            <w:tcW w:w="1781" w:type="dxa"/>
            <w:tcBorders>
              <w:top w:val="single" w:sz="6" w:space="0" w:color="000000"/>
              <w:left w:val="single" w:sz="6" w:space="0" w:color="000000"/>
              <w:bottom w:val="single" w:sz="6" w:space="0" w:color="000000"/>
              <w:right w:val="single" w:sz="6" w:space="0" w:color="000000"/>
            </w:tcBorders>
          </w:tcPr>
          <w:p w14:paraId="7CBB1F1A" w14:textId="77777777" w:rsidR="002D58E4" w:rsidRDefault="00F721D4">
            <w:pPr>
              <w:jc w:val="center"/>
              <w:rPr>
                <w:sz w:val="20"/>
                <w:szCs w:val="20"/>
              </w:rPr>
            </w:pPr>
            <w:r>
              <w:rPr>
                <w:sz w:val="20"/>
                <w:szCs w:val="20"/>
              </w:rPr>
              <w:t>20 more per 1,000</w:t>
            </w:r>
            <w:r>
              <w:rPr>
                <w:sz w:val="20"/>
                <w:szCs w:val="20"/>
              </w:rPr>
              <w:br/>
              <w:t xml:space="preserve">(from 20 fewer to 59 more) </w:t>
            </w:r>
          </w:p>
        </w:tc>
        <w:tc>
          <w:tcPr>
            <w:tcW w:w="1041" w:type="dxa"/>
            <w:gridSpan w:val="2"/>
            <w:tcBorders>
              <w:top w:val="single" w:sz="6" w:space="0" w:color="000000"/>
              <w:left w:val="single" w:sz="6" w:space="0" w:color="000000"/>
              <w:bottom w:val="single" w:sz="6" w:space="0" w:color="000000"/>
              <w:right w:val="single" w:sz="6" w:space="0" w:color="000000"/>
            </w:tcBorders>
          </w:tcPr>
          <w:p w14:paraId="31A52CB2" w14:textId="77777777" w:rsidR="002D58E4" w:rsidRDefault="00F721D4">
            <w:pPr>
              <w:jc w:val="center"/>
              <w:rPr>
                <w:sz w:val="20"/>
                <w:szCs w:val="20"/>
              </w:rPr>
            </w:pPr>
            <w:r>
              <w:rPr>
                <w:rFonts w:ascii="Cambria Math" w:eastAsia="Cambria Math" w:hAnsi="Cambria Math" w:cs="Cambria Math"/>
                <w:sz w:val="20"/>
                <w:szCs w:val="20"/>
              </w:rPr>
              <w:t>⨁⨁⨁⨁</w:t>
            </w:r>
            <w:r>
              <w:rPr>
                <w:sz w:val="20"/>
                <w:szCs w:val="20"/>
              </w:rPr>
              <w:br/>
              <w:t xml:space="preserve">HIGH </w:t>
            </w:r>
          </w:p>
        </w:tc>
        <w:tc>
          <w:tcPr>
            <w:tcW w:w="1301" w:type="dxa"/>
            <w:gridSpan w:val="2"/>
            <w:tcBorders>
              <w:top w:val="single" w:sz="6" w:space="0" w:color="000000"/>
              <w:left w:val="single" w:sz="6" w:space="0" w:color="000000"/>
              <w:bottom w:val="single" w:sz="6" w:space="0" w:color="000000"/>
              <w:right w:val="single" w:sz="6" w:space="0" w:color="000000"/>
            </w:tcBorders>
          </w:tcPr>
          <w:p w14:paraId="28B07312" w14:textId="77777777" w:rsidR="002D58E4" w:rsidRDefault="00F721D4">
            <w:pPr>
              <w:rPr>
                <w:sz w:val="20"/>
                <w:szCs w:val="20"/>
              </w:rPr>
            </w:pPr>
            <w:r>
              <w:rPr>
                <w:sz w:val="20"/>
                <w:szCs w:val="20"/>
              </w:rPr>
              <w:t xml:space="preserve">CRITICAL </w:t>
            </w:r>
          </w:p>
        </w:tc>
      </w:tr>
      <w:tr w:rsidR="002D58E4" w14:paraId="7C7F0659" w14:textId="77777777" w:rsidTr="00E70FE5">
        <w:tc>
          <w:tcPr>
            <w:tcW w:w="14393" w:type="dxa"/>
            <w:gridSpan w:val="22"/>
            <w:tcBorders>
              <w:top w:val="single" w:sz="6" w:space="0" w:color="000000"/>
              <w:left w:val="single" w:sz="6" w:space="0" w:color="000000"/>
              <w:bottom w:val="single" w:sz="6" w:space="0" w:color="000000"/>
              <w:right w:val="single" w:sz="6" w:space="0" w:color="000000"/>
            </w:tcBorders>
            <w:shd w:val="clear" w:color="auto" w:fill="EDEDED"/>
            <w:vAlign w:val="center"/>
          </w:tcPr>
          <w:p w14:paraId="3F5A0BAF" w14:textId="77777777" w:rsidR="002D58E4" w:rsidRDefault="00F721D4">
            <w:pPr>
              <w:rPr>
                <w:sz w:val="20"/>
                <w:szCs w:val="20"/>
              </w:rPr>
            </w:pPr>
            <w:r>
              <w:rPr>
                <w:b/>
                <w:sz w:val="20"/>
                <w:szCs w:val="20"/>
              </w:rPr>
              <w:t xml:space="preserve">Time to Resolution of Erythema Migrans </w:t>
            </w:r>
            <w:r>
              <w:rPr>
                <w:sz w:val="20"/>
                <w:szCs w:val="20"/>
              </w:rPr>
              <w:t>(Days since treatment initiation. Mean times to resolution are shown in the order of reference.)</w:t>
            </w:r>
          </w:p>
        </w:tc>
      </w:tr>
      <w:tr w:rsidR="002D58E4" w14:paraId="1B2A77C0" w14:textId="77777777" w:rsidTr="00E70FE5">
        <w:tc>
          <w:tcPr>
            <w:tcW w:w="726" w:type="dxa"/>
            <w:tcBorders>
              <w:top w:val="single" w:sz="6" w:space="0" w:color="000000"/>
              <w:left w:val="single" w:sz="6" w:space="0" w:color="000000"/>
              <w:bottom w:val="single" w:sz="6" w:space="0" w:color="000000"/>
              <w:right w:val="single" w:sz="6" w:space="0" w:color="000000"/>
            </w:tcBorders>
          </w:tcPr>
          <w:p w14:paraId="30237301" w14:textId="77777777" w:rsidR="002D58E4" w:rsidRDefault="00F721D4">
            <w:pPr>
              <w:rPr>
                <w:sz w:val="20"/>
                <w:szCs w:val="20"/>
              </w:rPr>
            </w:pPr>
            <w:r>
              <w:rPr>
                <w:sz w:val="20"/>
                <w:szCs w:val="20"/>
              </w:rPr>
              <w:t xml:space="preserve">2 </w:t>
            </w:r>
          </w:p>
        </w:tc>
        <w:tc>
          <w:tcPr>
            <w:tcW w:w="682" w:type="dxa"/>
            <w:tcBorders>
              <w:top w:val="single" w:sz="6" w:space="0" w:color="000000"/>
              <w:left w:val="single" w:sz="6" w:space="0" w:color="000000"/>
              <w:bottom w:val="single" w:sz="6" w:space="0" w:color="000000"/>
              <w:right w:val="single" w:sz="6" w:space="0" w:color="000000"/>
            </w:tcBorders>
          </w:tcPr>
          <w:p w14:paraId="5AFFABC7" w14:textId="77777777" w:rsidR="002D58E4" w:rsidRDefault="00F721D4">
            <w:pPr>
              <w:rPr>
                <w:sz w:val="20"/>
                <w:szCs w:val="20"/>
              </w:rPr>
            </w:pPr>
            <w:r>
              <w:rPr>
                <w:sz w:val="20"/>
                <w:szCs w:val="20"/>
              </w:rPr>
              <w:t xml:space="preserve">RCT </w:t>
            </w:r>
            <w:r>
              <w:rPr>
                <w:sz w:val="20"/>
                <w:szCs w:val="20"/>
                <w:vertAlign w:val="superscript"/>
              </w:rPr>
              <w:t>1,2</w:t>
            </w:r>
          </w:p>
        </w:tc>
        <w:tc>
          <w:tcPr>
            <w:tcW w:w="1085" w:type="dxa"/>
            <w:tcBorders>
              <w:top w:val="single" w:sz="6" w:space="0" w:color="000000"/>
              <w:left w:val="single" w:sz="6" w:space="0" w:color="000000"/>
              <w:bottom w:val="single" w:sz="6" w:space="0" w:color="000000"/>
              <w:right w:val="single" w:sz="6" w:space="0" w:color="000000"/>
            </w:tcBorders>
          </w:tcPr>
          <w:p w14:paraId="1D6DD6E6" w14:textId="77777777" w:rsidR="002D58E4" w:rsidRDefault="00F721D4">
            <w:pPr>
              <w:rPr>
                <w:sz w:val="20"/>
                <w:szCs w:val="20"/>
              </w:rPr>
            </w:pPr>
            <w:r>
              <w:rPr>
                <w:sz w:val="20"/>
                <w:szCs w:val="20"/>
              </w:rPr>
              <w:t xml:space="preserve">serious </w:t>
            </w:r>
            <w:r>
              <w:rPr>
                <w:sz w:val="20"/>
                <w:szCs w:val="20"/>
                <w:vertAlign w:val="superscript"/>
              </w:rPr>
              <w:t>b</w:t>
            </w:r>
          </w:p>
        </w:tc>
        <w:tc>
          <w:tcPr>
            <w:tcW w:w="1044" w:type="dxa"/>
            <w:tcBorders>
              <w:top w:val="single" w:sz="6" w:space="0" w:color="000000"/>
              <w:left w:val="single" w:sz="6" w:space="0" w:color="000000"/>
              <w:bottom w:val="single" w:sz="6" w:space="0" w:color="000000"/>
              <w:right w:val="single" w:sz="6" w:space="0" w:color="000000"/>
            </w:tcBorders>
          </w:tcPr>
          <w:p w14:paraId="19D9F4B9" w14:textId="77777777" w:rsidR="002D58E4" w:rsidRDefault="00F721D4">
            <w:pPr>
              <w:rPr>
                <w:sz w:val="20"/>
                <w:szCs w:val="20"/>
              </w:rPr>
            </w:pPr>
            <w:r>
              <w:rPr>
                <w:sz w:val="20"/>
                <w:szCs w:val="20"/>
              </w:rPr>
              <w:t xml:space="preserve"> serious </w:t>
            </w:r>
            <w:r>
              <w:rPr>
                <w:sz w:val="20"/>
                <w:szCs w:val="20"/>
                <w:vertAlign w:val="superscript"/>
              </w:rPr>
              <w:t>c</w:t>
            </w:r>
          </w:p>
        </w:tc>
        <w:tc>
          <w:tcPr>
            <w:tcW w:w="992" w:type="dxa"/>
            <w:gridSpan w:val="2"/>
            <w:tcBorders>
              <w:top w:val="single" w:sz="6" w:space="0" w:color="000000"/>
              <w:left w:val="single" w:sz="6" w:space="0" w:color="000000"/>
              <w:bottom w:val="single" w:sz="6" w:space="0" w:color="000000"/>
              <w:right w:val="single" w:sz="6" w:space="0" w:color="000000"/>
            </w:tcBorders>
          </w:tcPr>
          <w:p w14:paraId="598E1567" w14:textId="77777777" w:rsidR="002D58E4" w:rsidRDefault="00F721D4">
            <w:pPr>
              <w:rPr>
                <w:sz w:val="20"/>
                <w:szCs w:val="20"/>
              </w:rPr>
            </w:pPr>
            <w:r>
              <w:rPr>
                <w:sz w:val="20"/>
                <w:szCs w:val="20"/>
              </w:rPr>
              <w:t xml:space="preserve">not serious </w:t>
            </w:r>
          </w:p>
        </w:tc>
        <w:tc>
          <w:tcPr>
            <w:tcW w:w="1130" w:type="dxa"/>
            <w:gridSpan w:val="3"/>
            <w:tcBorders>
              <w:top w:val="single" w:sz="6" w:space="0" w:color="000000"/>
              <w:left w:val="single" w:sz="6" w:space="0" w:color="000000"/>
              <w:bottom w:val="single" w:sz="6" w:space="0" w:color="000000"/>
              <w:right w:val="single" w:sz="6" w:space="0" w:color="000000"/>
            </w:tcBorders>
          </w:tcPr>
          <w:p w14:paraId="3AD7F319" w14:textId="77777777" w:rsidR="002D58E4" w:rsidRDefault="00F721D4">
            <w:pPr>
              <w:rPr>
                <w:sz w:val="20"/>
                <w:szCs w:val="20"/>
              </w:rPr>
            </w:pPr>
            <w:r>
              <w:rPr>
                <w:sz w:val="20"/>
                <w:szCs w:val="20"/>
              </w:rPr>
              <w:t xml:space="preserve">serious </w:t>
            </w:r>
            <w:r>
              <w:rPr>
                <w:sz w:val="20"/>
                <w:szCs w:val="20"/>
                <w:vertAlign w:val="superscript"/>
              </w:rPr>
              <w:t>d</w:t>
            </w:r>
          </w:p>
        </w:tc>
        <w:tc>
          <w:tcPr>
            <w:tcW w:w="942" w:type="dxa"/>
            <w:gridSpan w:val="2"/>
            <w:tcBorders>
              <w:top w:val="single" w:sz="6" w:space="0" w:color="000000"/>
              <w:left w:val="single" w:sz="6" w:space="0" w:color="000000"/>
              <w:bottom w:val="single" w:sz="6" w:space="0" w:color="000000"/>
              <w:right w:val="single" w:sz="6" w:space="0" w:color="000000"/>
            </w:tcBorders>
          </w:tcPr>
          <w:p w14:paraId="0995E864" w14:textId="77777777" w:rsidR="002D58E4" w:rsidRDefault="00F721D4">
            <w:pPr>
              <w:rPr>
                <w:sz w:val="20"/>
                <w:szCs w:val="20"/>
              </w:rPr>
            </w:pPr>
            <w:r>
              <w:rPr>
                <w:sz w:val="20"/>
                <w:szCs w:val="20"/>
              </w:rPr>
              <w:t xml:space="preserve">none </w:t>
            </w:r>
          </w:p>
        </w:tc>
        <w:tc>
          <w:tcPr>
            <w:tcW w:w="1184" w:type="dxa"/>
            <w:gridSpan w:val="2"/>
            <w:tcBorders>
              <w:top w:val="single" w:sz="6" w:space="0" w:color="000000"/>
              <w:left w:val="single" w:sz="6" w:space="0" w:color="000000"/>
              <w:bottom w:val="single" w:sz="6" w:space="0" w:color="000000"/>
              <w:right w:val="single" w:sz="6" w:space="0" w:color="000000"/>
            </w:tcBorders>
          </w:tcPr>
          <w:p w14:paraId="570103CB" w14:textId="77777777" w:rsidR="002D58E4" w:rsidRDefault="00F721D4">
            <w:pPr>
              <w:jc w:val="center"/>
              <w:rPr>
                <w:sz w:val="20"/>
                <w:szCs w:val="20"/>
              </w:rPr>
            </w:pPr>
            <w:r>
              <w:rPr>
                <w:sz w:val="20"/>
                <w:szCs w:val="20"/>
              </w:rPr>
              <w:t>Mean days: 81, 8.8</w:t>
            </w:r>
          </w:p>
        </w:tc>
        <w:tc>
          <w:tcPr>
            <w:tcW w:w="1065" w:type="dxa"/>
            <w:gridSpan w:val="2"/>
            <w:tcBorders>
              <w:top w:val="single" w:sz="6" w:space="0" w:color="000000"/>
              <w:left w:val="single" w:sz="6" w:space="0" w:color="000000"/>
              <w:bottom w:val="single" w:sz="6" w:space="0" w:color="000000"/>
              <w:right w:val="single" w:sz="6" w:space="0" w:color="000000"/>
            </w:tcBorders>
          </w:tcPr>
          <w:p w14:paraId="5CFB56D0" w14:textId="77777777" w:rsidR="002D58E4" w:rsidRDefault="00F721D4">
            <w:pPr>
              <w:jc w:val="center"/>
              <w:rPr>
                <w:sz w:val="20"/>
                <w:szCs w:val="20"/>
              </w:rPr>
            </w:pPr>
            <w:r>
              <w:rPr>
                <w:sz w:val="20"/>
                <w:szCs w:val="20"/>
              </w:rPr>
              <w:t>Mean days: 31, 10.5</w:t>
            </w:r>
          </w:p>
        </w:tc>
        <w:tc>
          <w:tcPr>
            <w:tcW w:w="3199" w:type="dxa"/>
            <w:gridSpan w:val="3"/>
            <w:tcBorders>
              <w:top w:val="single" w:sz="6" w:space="0" w:color="000000"/>
              <w:left w:val="single" w:sz="6" w:space="0" w:color="000000"/>
              <w:bottom w:val="single" w:sz="6" w:space="0" w:color="000000"/>
              <w:right w:val="single" w:sz="6" w:space="0" w:color="000000"/>
            </w:tcBorders>
          </w:tcPr>
          <w:p w14:paraId="313E6220" w14:textId="77777777" w:rsidR="002D58E4" w:rsidRDefault="00F721D4">
            <w:pPr>
              <w:jc w:val="center"/>
              <w:rPr>
                <w:sz w:val="20"/>
                <w:szCs w:val="20"/>
              </w:rPr>
            </w:pPr>
            <w:r>
              <w:rPr>
                <w:sz w:val="20"/>
                <w:szCs w:val="20"/>
              </w:rPr>
              <w:t>SMD 0.23 higher</w:t>
            </w:r>
            <w:r>
              <w:rPr>
                <w:sz w:val="20"/>
                <w:szCs w:val="20"/>
              </w:rPr>
              <w:br/>
              <w:t xml:space="preserve">(0.89 lower to 1.34 higher) </w:t>
            </w:r>
          </w:p>
        </w:tc>
        <w:tc>
          <w:tcPr>
            <w:tcW w:w="1041" w:type="dxa"/>
            <w:gridSpan w:val="2"/>
            <w:tcBorders>
              <w:top w:val="single" w:sz="6" w:space="0" w:color="000000"/>
              <w:left w:val="single" w:sz="6" w:space="0" w:color="000000"/>
              <w:bottom w:val="single" w:sz="6" w:space="0" w:color="000000"/>
              <w:right w:val="single" w:sz="6" w:space="0" w:color="000000"/>
            </w:tcBorders>
          </w:tcPr>
          <w:p w14:paraId="4147231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301" w:type="dxa"/>
            <w:gridSpan w:val="2"/>
            <w:tcBorders>
              <w:top w:val="single" w:sz="6" w:space="0" w:color="000000"/>
              <w:left w:val="single" w:sz="6" w:space="0" w:color="000000"/>
              <w:bottom w:val="single" w:sz="6" w:space="0" w:color="000000"/>
              <w:right w:val="single" w:sz="6" w:space="0" w:color="000000"/>
            </w:tcBorders>
          </w:tcPr>
          <w:p w14:paraId="61191AEA" w14:textId="77777777" w:rsidR="002D58E4" w:rsidRDefault="00F721D4">
            <w:pPr>
              <w:rPr>
                <w:sz w:val="20"/>
                <w:szCs w:val="20"/>
              </w:rPr>
            </w:pPr>
            <w:r>
              <w:rPr>
                <w:sz w:val="20"/>
                <w:szCs w:val="20"/>
              </w:rPr>
              <w:t xml:space="preserve">IMPORTANT </w:t>
            </w:r>
          </w:p>
        </w:tc>
      </w:tr>
      <w:tr w:rsidR="002D58E4" w14:paraId="18492701" w14:textId="77777777" w:rsidTr="00E70FE5">
        <w:tc>
          <w:tcPr>
            <w:tcW w:w="14393" w:type="dxa"/>
            <w:gridSpan w:val="22"/>
            <w:tcBorders>
              <w:top w:val="single" w:sz="6" w:space="0" w:color="000000"/>
              <w:left w:val="single" w:sz="6" w:space="0" w:color="000000"/>
              <w:bottom w:val="single" w:sz="6" w:space="0" w:color="000000"/>
              <w:right w:val="single" w:sz="6" w:space="0" w:color="000000"/>
            </w:tcBorders>
            <w:shd w:val="clear" w:color="auto" w:fill="EDEDED"/>
            <w:vAlign w:val="center"/>
          </w:tcPr>
          <w:p w14:paraId="4740B413" w14:textId="77777777" w:rsidR="002D58E4" w:rsidRDefault="00F721D4">
            <w:pPr>
              <w:rPr>
                <w:sz w:val="20"/>
                <w:szCs w:val="20"/>
              </w:rPr>
            </w:pPr>
            <w:r>
              <w:rPr>
                <w:b/>
                <w:sz w:val="20"/>
                <w:szCs w:val="20"/>
              </w:rPr>
              <w:t xml:space="preserve">Patients Experiencing Objective Findings of Lyme </w:t>
            </w:r>
            <w:r>
              <w:rPr>
                <w:sz w:val="20"/>
                <w:szCs w:val="20"/>
              </w:rPr>
              <w:t>(at 6 months and beyond)</w:t>
            </w:r>
            <w:r>
              <w:rPr>
                <w:b/>
                <w:sz w:val="20"/>
                <w:szCs w:val="20"/>
              </w:rPr>
              <w:t xml:space="preserve"> </w:t>
            </w:r>
          </w:p>
        </w:tc>
      </w:tr>
      <w:tr w:rsidR="002D58E4" w14:paraId="4CA22C41" w14:textId="77777777" w:rsidTr="00E70FE5">
        <w:tc>
          <w:tcPr>
            <w:tcW w:w="726" w:type="dxa"/>
            <w:tcBorders>
              <w:top w:val="single" w:sz="6" w:space="0" w:color="000000"/>
              <w:left w:val="single" w:sz="6" w:space="0" w:color="000000"/>
              <w:bottom w:val="single" w:sz="6" w:space="0" w:color="000000"/>
              <w:right w:val="single" w:sz="6" w:space="0" w:color="000000"/>
            </w:tcBorders>
          </w:tcPr>
          <w:p w14:paraId="496A0CA2" w14:textId="77777777" w:rsidR="002D58E4" w:rsidRDefault="00F721D4">
            <w:pPr>
              <w:rPr>
                <w:sz w:val="20"/>
                <w:szCs w:val="20"/>
              </w:rPr>
            </w:pPr>
            <w:r>
              <w:rPr>
                <w:sz w:val="20"/>
                <w:szCs w:val="20"/>
              </w:rPr>
              <w:t xml:space="preserve">2 </w:t>
            </w:r>
          </w:p>
        </w:tc>
        <w:tc>
          <w:tcPr>
            <w:tcW w:w="682" w:type="dxa"/>
            <w:tcBorders>
              <w:top w:val="single" w:sz="6" w:space="0" w:color="000000"/>
              <w:left w:val="single" w:sz="6" w:space="0" w:color="000000"/>
              <w:bottom w:val="single" w:sz="6" w:space="0" w:color="000000"/>
              <w:right w:val="single" w:sz="6" w:space="0" w:color="000000"/>
            </w:tcBorders>
          </w:tcPr>
          <w:p w14:paraId="04737055" w14:textId="77777777" w:rsidR="002D58E4" w:rsidRDefault="00F721D4">
            <w:pPr>
              <w:rPr>
                <w:sz w:val="20"/>
                <w:szCs w:val="20"/>
              </w:rPr>
            </w:pPr>
            <w:r>
              <w:rPr>
                <w:sz w:val="20"/>
                <w:szCs w:val="20"/>
              </w:rPr>
              <w:t xml:space="preserve">RCT </w:t>
            </w:r>
            <w:r>
              <w:rPr>
                <w:sz w:val="20"/>
                <w:szCs w:val="20"/>
                <w:vertAlign w:val="superscript"/>
              </w:rPr>
              <w:t>1,2</w:t>
            </w:r>
          </w:p>
        </w:tc>
        <w:tc>
          <w:tcPr>
            <w:tcW w:w="1085" w:type="dxa"/>
            <w:tcBorders>
              <w:top w:val="single" w:sz="6" w:space="0" w:color="000000"/>
              <w:left w:val="single" w:sz="6" w:space="0" w:color="000000"/>
              <w:bottom w:val="single" w:sz="6" w:space="0" w:color="000000"/>
              <w:right w:val="single" w:sz="6" w:space="0" w:color="000000"/>
            </w:tcBorders>
          </w:tcPr>
          <w:p w14:paraId="5BA9194F" w14:textId="77777777" w:rsidR="002D58E4" w:rsidRDefault="00F721D4">
            <w:pPr>
              <w:rPr>
                <w:sz w:val="20"/>
                <w:szCs w:val="20"/>
              </w:rPr>
            </w:pPr>
            <w:r>
              <w:rPr>
                <w:sz w:val="20"/>
                <w:szCs w:val="20"/>
              </w:rPr>
              <w:t>serious</w:t>
            </w:r>
            <w:r>
              <w:rPr>
                <w:sz w:val="20"/>
                <w:szCs w:val="20"/>
                <w:vertAlign w:val="superscript"/>
              </w:rPr>
              <w:t xml:space="preserve"> b</w:t>
            </w:r>
          </w:p>
        </w:tc>
        <w:tc>
          <w:tcPr>
            <w:tcW w:w="1044" w:type="dxa"/>
            <w:tcBorders>
              <w:top w:val="single" w:sz="6" w:space="0" w:color="000000"/>
              <w:left w:val="single" w:sz="6" w:space="0" w:color="000000"/>
              <w:bottom w:val="single" w:sz="6" w:space="0" w:color="000000"/>
              <w:right w:val="single" w:sz="6" w:space="0" w:color="000000"/>
            </w:tcBorders>
          </w:tcPr>
          <w:p w14:paraId="013CE0E4" w14:textId="77777777" w:rsidR="002D58E4" w:rsidRDefault="00F721D4">
            <w:pPr>
              <w:rPr>
                <w:sz w:val="20"/>
                <w:szCs w:val="20"/>
              </w:rPr>
            </w:pPr>
            <w:r>
              <w:rPr>
                <w:sz w:val="20"/>
                <w:szCs w:val="20"/>
              </w:rPr>
              <w:t xml:space="preserve">not serious </w:t>
            </w:r>
          </w:p>
        </w:tc>
        <w:tc>
          <w:tcPr>
            <w:tcW w:w="992" w:type="dxa"/>
            <w:gridSpan w:val="2"/>
            <w:tcBorders>
              <w:top w:val="single" w:sz="6" w:space="0" w:color="000000"/>
              <w:left w:val="single" w:sz="6" w:space="0" w:color="000000"/>
              <w:bottom w:val="single" w:sz="6" w:space="0" w:color="000000"/>
              <w:right w:val="single" w:sz="6" w:space="0" w:color="000000"/>
            </w:tcBorders>
          </w:tcPr>
          <w:p w14:paraId="178C419A" w14:textId="77777777" w:rsidR="002D58E4" w:rsidRDefault="00F721D4">
            <w:pPr>
              <w:rPr>
                <w:sz w:val="20"/>
                <w:szCs w:val="20"/>
              </w:rPr>
            </w:pPr>
            <w:r>
              <w:rPr>
                <w:sz w:val="20"/>
                <w:szCs w:val="20"/>
              </w:rPr>
              <w:t xml:space="preserve">not serious </w:t>
            </w:r>
          </w:p>
        </w:tc>
        <w:tc>
          <w:tcPr>
            <w:tcW w:w="1130" w:type="dxa"/>
            <w:gridSpan w:val="3"/>
            <w:tcBorders>
              <w:top w:val="single" w:sz="6" w:space="0" w:color="000000"/>
              <w:left w:val="single" w:sz="6" w:space="0" w:color="000000"/>
              <w:bottom w:val="single" w:sz="6" w:space="0" w:color="000000"/>
              <w:right w:val="single" w:sz="6" w:space="0" w:color="000000"/>
            </w:tcBorders>
          </w:tcPr>
          <w:p w14:paraId="7ABD8251" w14:textId="77777777" w:rsidR="002D58E4" w:rsidRDefault="00F721D4">
            <w:pPr>
              <w:rPr>
                <w:sz w:val="20"/>
                <w:szCs w:val="20"/>
              </w:rPr>
            </w:pPr>
            <w:r>
              <w:rPr>
                <w:sz w:val="20"/>
                <w:szCs w:val="20"/>
              </w:rPr>
              <w:t xml:space="preserve">serious </w:t>
            </w:r>
            <w:r>
              <w:rPr>
                <w:sz w:val="20"/>
                <w:szCs w:val="20"/>
                <w:vertAlign w:val="superscript"/>
              </w:rPr>
              <w:t>e</w:t>
            </w:r>
          </w:p>
        </w:tc>
        <w:tc>
          <w:tcPr>
            <w:tcW w:w="942" w:type="dxa"/>
            <w:gridSpan w:val="2"/>
            <w:tcBorders>
              <w:top w:val="single" w:sz="6" w:space="0" w:color="000000"/>
              <w:left w:val="single" w:sz="6" w:space="0" w:color="000000"/>
              <w:bottom w:val="single" w:sz="6" w:space="0" w:color="000000"/>
              <w:right w:val="single" w:sz="6" w:space="0" w:color="000000"/>
            </w:tcBorders>
          </w:tcPr>
          <w:p w14:paraId="533D4CCE" w14:textId="77777777" w:rsidR="002D58E4" w:rsidRDefault="00F721D4">
            <w:pPr>
              <w:rPr>
                <w:sz w:val="20"/>
                <w:szCs w:val="20"/>
              </w:rPr>
            </w:pPr>
            <w:r>
              <w:rPr>
                <w:sz w:val="20"/>
                <w:szCs w:val="20"/>
              </w:rPr>
              <w:t xml:space="preserve">none </w:t>
            </w:r>
          </w:p>
        </w:tc>
        <w:tc>
          <w:tcPr>
            <w:tcW w:w="1184" w:type="dxa"/>
            <w:gridSpan w:val="2"/>
            <w:tcBorders>
              <w:top w:val="single" w:sz="6" w:space="0" w:color="000000"/>
              <w:left w:val="single" w:sz="6" w:space="0" w:color="000000"/>
              <w:bottom w:val="single" w:sz="6" w:space="0" w:color="000000"/>
              <w:right w:val="single" w:sz="6" w:space="0" w:color="000000"/>
            </w:tcBorders>
          </w:tcPr>
          <w:p w14:paraId="71B8684E" w14:textId="77777777" w:rsidR="002D58E4" w:rsidRDefault="00F721D4">
            <w:pPr>
              <w:jc w:val="center"/>
              <w:rPr>
                <w:sz w:val="20"/>
                <w:szCs w:val="20"/>
              </w:rPr>
            </w:pPr>
            <w:r>
              <w:rPr>
                <w:sz w:val="20"/>
                <w:szCs w:val="20"/>
              </w:rPr>
              <w:t xml:space="preserve">2/91 </w:t>
            </w:r>
          </w:p>
          <w:p w14:paraId="4A8660A3" w14:textId="77777777" w:rsidR="002D58E4" w:rsidRDefault="00F721D4">
            <w:pPr>
              <w:jc w:val="center"/>
              <w:rPr>
                <w:sz w:val="20"/>
                <w:szCs w:val="20"/>
              </w:rPr>
            </w:pPr>
            <w:r>
              <w:rPr>
                <w:sz w:val="20"/>
                <w:szCs w:val="20"/>
              </w:rPr>
              <w:t xml:space="preserve">(2.2%) </w:t>
            </w:r>
          </w:p>
        </w:tc>
        <w:tc>
          <w:tcPr>
            <w:tcW w:w="1065" w:type="dxa"/>
            <w:gridSpan w:val="2"/>
            <w:tcBorders>
              <w:top w:val="single" w:sz="6" w:space="0" w:color="000000"/>
              <w:left w:val="single" w:sz="6" w:space="0" w:color="000000"/>
              <w:bottom w:val="single" w:sz="6" w:space="0" w:color="000000"/>
              <w:right w:val="single" w:sz="6" w:space="0" w:color="000000"/>
            </w:tcBorders>
          </w:tcPr>
          <w:p w14:paraId="20362110" w14:textId="77777777" w:rsidR="002D58E4" w:rsidRDefault="00F721D4">
            <w:pPr>
              <w:jc w:val="center"/>
              <w:rPr>
                <w:sz w:val="20"/>
                <w:szCs w:val="20"/>
              </w:rPr>
            </w:pPr>
            <w:r>
              <w:rPr>
                <w:sz w:val="20"/>
                <w:szCs w:val="20"/>
              </w:rPr>
              <w:t xml:space="preserve">2/76 </w:t>
            </w:r>
          </w:p>
          <w:p w14:paraId="579F201A" w14:textId="77777777" w:rsidR="002D58E4" w:rsidRDefault="00F721D4">
            <w:pPr>
              <w:jc w:val="center"/>
              <w:rPr>
                <w:sz w:val="20"/>
                <w:szCs w:val="20"/>
              </w:rPr>
            </w:pPr>
            <w:r>
              <w:rPr>
                <w:sz w:val="20"/>
                <w:szCs w:val="20"/>
              </w:rPr>
              <w:t xml:space="preserve">(2.6%) </w:t>
            </w:r>
          </w:p>
        </w:tc>
        <w:tc>
          <w:tcPr>
            <w:tcW w:w="1418" w:type="dxa"/>
            <w:gridSpan w:val="2"/>
            <w:tcBorders>
              <w:top w:val="single" w:sz="6" w:space="0" w:color="000000"/>
              <w:left w:val="single" w:sz="6" w:space="0" w:color="000000"/>
              <w:bottom w:val="single" w:sz="6" w:space="0" w:color="000000"/>
              <w:right w:val="single" w:sz="6" w:space="0" w:color="000000"/>
            </w:tcBorders>
          </w:tcPr>
          <w:p w14:paraId="0E9F759E" w14:textId="77777777" w:rsidR="002D58E4" w:rsidRDefault="00F721D4">
            <w:pPr>
              <w:jc w:val="center"/>
              <w:rPr>
                <w:sz w:val="20"/>
                <w:szCs w:val="20"/>
              </w:rPr>
            </w:pPr>
            <w:r>
              <w:rPr>
                <w:sz w:val="20"/>
                <w:szCs w:val="20"/>
              </w:rPr>
              <w:t>RR 0.91</w:t>
            </w:r>
            <w:r>
              <w:rPr>
                <w:sz w:val="20"/>
                <w:szCs w:val="20"/>
              </w:rPr>
              <w:br/>
              <w:t xml:space="preserve">(0.14 to 5.92) </w:t>
            </w:r>
          </w:p>
        </w:tc>
        <w:tc>
          <w:tcPr>
            <w:tcW w:w="1781" w:type="dxa"/>
            <w:tcBorders>
              <w:top w:val="single" w:sz="6" w:space="0" w:color="000000"/>
              <w:left w:val="single" w:sz="6" w:space="0" w:color="000000"/>
              <w:bottom w:val="single" w:sz="6" w:space="0" w:color="000000"/>
              <w:right w:val="single" w:sz="6" w:space="0" w:color="000000"/>
            </w:tcBorders>
          </w:tcPr>
          <w:p w14:paraId="166FDEA8" w14:textId="77777777" w:rsidR="002D58E4" w:rsidRDefault="00F721D4">
            <w:pPr>
              <w:jc w:val="center"/>
              <w:rPr>
                <w:sz w:val="20"/>
                <w:szCs w:val="20"/>
              </w:rPr>
            </w:pPr>
            <w:r>
              <w:rPr>
                <w:sz w:val="20"/>
                <w:szCs w:val="20"/>
              </w:rPr>
              <w:t>2 fewer per 1,000</w:t>
            </w:r>
            <w:r>
              <w:rPr>
                <w:sz w:val="20"/>
                <w:szCs w:val="20"/>
              </w:rPr>
              <w:br/>
              <w:t xml:space="preserve">(from 23 fewer to 129 more) </w:t>
            </w:r>
          </w:p>
        </w:tc>
        <w:tc>
          <w:tcPr>
            <w:tcW w:w="1041" w:type="dxa"/>
            <w:gridSpan w:val="2"/>
            <w:tcBorders>
              <w:top w:val="single" w:sz="6" w:space="0" w:color="000000"/>
              <w:left w:val="single" w:sz="6" w:space="0" w:color="000000"/>
              <w:bottom w:val="single" w:sz="6" w:space="0" w:color="000000"/>
              <w:right w:val="single" w:sz="6" w:space="0" w:color="000000"/>
            </w:tcBorders>
          </w:tcPr>
          <w:p w14:paraId="5CBD859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01" w:type="dxa"/>
            <w:gridSpan w:val="2"/>
            <w:tcBorders>
              <w:top w:val="single" w:sz="6" w:space="0" w:color="000000"/>
              <w:left w:val="single" w:sz="6" w:space="0" w:color="000000"/>
              <w:bottom w:val="single" w:sz="6" w:space="0" w:color="000000"/>
              <w:right w:val="single" w:sz="6" w:space="0" w:color="000000"/>
            </w:tcBorders>
          </w:tcPr>
          <w:p w14:paraId="6DBB7C73" w14:textId="77777777" w:rsidR="002D58E4" w:rsidRDefault="00F721D4">
            <w:pPr>
              <w:rPr>
                <w:sz w:val="20"/>
                <w:szCs w:val="20"/>
              </w:rPr>
            </w:pPr>
            <w:r>
              <w:rPr>
                <w:sz w:val="20"/>
                <w:szCs w:val="20"/>
              </w:rPr>
              <w:t xml:space="preserve">CRITICAL </w:t>
            </w:r>
          </w:p>
        </w:tc>
      </w:tr>
      <w:tr w:rsidR="002D58E4" w14:paraId="09E63447" w14:textId="77777777" w:rsidTr="00E70FE5">
        <w:tc>
          <w:tcPr>
            <w:tcW w:w="14393" w:type="dxa"/>
            <w:gridSpan w:val="22"/>
            <w:tcBorders>
              <w:top w:val="single" w:sz="6" w:space="0" w:color="000000"/>
              <w:left w:val="single" w:sz="6" w:space="0" w:color="000000"/>
              <w:bottom w:val="single" w:sz="6" w:space="0" w:color="000000"/>
              <w:right w:val="single" w:sz="6" w:space="0" w:color="000000"/>
            </w:tcBorders>
            <w:shd w:val="clear" w:color="auto" w:fill="EDEDED"/>
            <w:vAlign w:val="center"/>
          </w:tcPr>
          <w:p w14:paraId="0488A9C9" w14:textId="77777777" w:rsidR="002D58E4" w:rsidRDefault="00F721D4">
            <w:pPr>
              <w:rPr>
                <w:b/>
                <w:sz w:val="20"/>
                <w:szCs w:val="20"/>
              </w:rPr>
            </w:pPr>
            <w:r>
              <w:rPr>
                <w:b/>
                <w:sz w:val="20"/>
                <w:szCs w:val="20"/>
              </w:rPr>
              <w:t xml:space="preserve">Gastrointestinal Adverse Events </w:t>
            </w:r>
          </w:p>
        </w:tc>
      </w:tr>
      <w:tr w:rsidR="002D58E4" w14:paraId="258A94AE" w14:textId="77777777" w:rsidTr="00E70FE5">
        <w:tc>
          <w:tcPr>
            <w:tcW w:w="726" w:type="dxa"/>
            <w:tcBorders>
              <w:top w:val="single" w:sz="6" w:space="0" w:color="000000"/>
              <w:left w:val="single" w:sz="6" w:space="0" w:color="000000"/>
              <w:bottom w:val="single" w:sz="6" w:space="0" w:color="000000"/>
              <w:right w:val="single" w:sz="6" w:space="0" w:color="000000"/>
            </w:tcBorders>
          </w:tcPr>
          <w:p w14:paraId="5F703A5E" w14:textId="77777777" w:rsidR="002D58E4" w:rsidRDefault="00F721D4">
            <w:pPr>
              <w:rPr>
                <w:sz w:val="20"/>
                <w:szCs w:val="20"/>
              </w:rPr>
            </w:pPr>
            <w:r>
              <w:rPr>
                <w:sz w:val="20"/>
                <w:szCs w:val="20"/>
              </w:rPr>
              <w:t xml:space="preserve">2 </w:t>
            </w:r>
          </w:p>
        </w:tc>
        <w:tc>
          <w:tcPr>
            <w:tcW w:w="682" w:type="dxa"/>
            <w:tcBorders>
              <w:top w:val="single" w:sz="6" w:space="0" w:color="000000"/>
              <w:left w:val="single" w:sz="6" w:space="0" w:color="000000"/>
              <w:bottom w:val="single" w:sz="6" w:space="0" w:color="000000"/>
              <w:right w:val="single" w:sz="6" w:space="0" w:color="000000"/>
            </w:tcBorders>
          </w:tcPr>
          <w:p w14:paraId="6F7C194A" w14:textId="77777777" w:rsidR="002D58E4" w:rsidRDefault="00F721D4">
            <w:pPr>
              <w:rPr>
                <w:sz w:val="20"/>
                <w:szCs w:val="20"/>
              </w:rPr>
            </w:pPr>
            <w:r>
              <w:rPr>
                <w:sz w:val="20"/>
                <w:szCs w:val="20"/>
              </w:rPr>
              <w:t xml:space="preserve">RCT </w:t>
            </w:r>
            <w:r>
              <w:rPr>
                <w:sz w:val="20"/>
                <w:szCs w:val="20"/>
                <w:vertAlign w:val="superscript"/>
              </w:rPr>
              <w:t>1,2</w:t>
            </w:r>
          </w:p>
        </w:tc>
        <w:tc>
          <w:tcPr>
            <w:tcW w:w="1085" w:type="dxa"/>
            <w:tcBorders>
              <w:top w:val="single" w:sz="6" w:space="0" w:color="000000"/>
              <w:left w:val="single" w:sz="6" w:space="0" w:color="000000"/>
              <w:bottom w:val="single" w:sz="6" w:space="0" w:color="000000"/>
              <w:right w:val="single" w:sz="6" w:space="0" w:color="000000"/>
            </w:tcBorders>
          </w:tcPr>
          <w:p w14:paraId="06E3105E" w14:textId="77777777" w:rsidR="002D58E4" w:rsidRDefault="00F721D4">
            <w:pPr>
              <w:rPr>
                <w:sz w:val="20"/>
                <w:szCs w:val="20"/>
              </w:rPr>
            </w:pPr>
            <w:r>
              <w:rPr>
                <w:sz w:val="20"/>
                <w:szCs w:val="20"/>
              </w:rPr>
              <w:t xml:space="preserve">serious </w:t>
            </w:r>
            <w:r>
              <w:rPr>
                <w:sz w:val="20"/>
                <w:szCs w:val="20"/>
                <w:vertAlign w:val="superscript"/>
              </w:rPr>
              <w:t>b, f</w:t>
            </w:r>
          </w:p>
        </w:tc>
        <w:tc>
          <w:tcPr>
            <w:tcW w:w="1044" w:type="dxa"/>
            <w:tcBorders>
              <w:top w:val="single" w:sz="6" w:space="0" w:color="000000"/>
              <w:left w:val="single" w:sz="6" w:space="0" w:color="000000"/>
              <w:bottom w:val="single" w:sz="6" w:space="0" w:color="000000"/>
              <w:right w:val="single" w:sz="6" w:space="0" w:color="000000"/>
            </w:tcBorders>
          </w:tcPr>
          <w:p w14:paraId="4FF78997" w14:textId="77777777" w:rsidR="002D58E4" w:rsidRDefault="00F721D4">
            <w:pPr>
              <w:rPr>
                <w:sz w:val="20"/>
                <w:szCs w:val="20"/>
              </w:rPr>
            </w:pPr>
            <w:r>
              <w:rPr>
                <w:sz w:val="20"/>
                <w:szCs w:val="20"/>
              </w:rPr>
              <w:t xml:space="preserve">not serious </w:t>
            </w:r>
          </w:p>
        </w:tc>
        <w:tc>
          <w:tcPr>
            <w:tcW w:w="992" w:type="dxa"/>
            <w:gridSpan w:val="2"/>
            <w:tcBorders>
              <w:top w:val="single" w:sz="6" w:space="0" w:color="000000"/>
              <w:left w:val="single" w:sz="6" w:space="0" w:color="000000"/>
              <w:bottom w:val="single" w:sz="6" w:space="0" w:color="000000"/>
              <w:right w:val="single" w:sz="6" w:space="0" w:color="000000"/>
            </w:tcBorders>
          </w:tcPr>
          <w:p w14:paraId="66663C78" w14:textId="77777777" w:rsidR="002D58E4" w:rsidRDefault="00F721D4">
            <w:pPr>
              <w:rPr>
                <w:sz w:val="20"/>
                <w:szCs w:val="20"/>
              </w:rPr>
            </w:pPr>
            <w:r>
              <w:rPr>
                <w:sz w:val="20"/>
                <w:szCs w:val="20"/>
              </w:rPr>
              <w:t xml:space="preserve">not serious </w:t>
            </w:r>
          </w:p>
        </w:tc>
        <w:tc>
          <w:tcPr>
            <w:tcW w:w="1130" w:type="dxa"/>
            <w:gridSpan w:val="3"/>
            <w:tcBorders>
              <w:top w:val="single" w:sz="6" w:space="0" w:color="000000"/>
              <w:left w:val="single" w:sz="6" w:space="0" w:color="000000"/>
              <w:bottom w:val="single" w:sz="6" w:space="0" w:color="000000"/>
              <w:right w:val="single" w:sz="6" w:space="0" w:color="000000"/>
            </w:tcBorders>
          </w:tcPr>
          <w:p w14:paraId="7B2AC6E5" w14:textId="77777777" w:rsidR="002D58E4" w:rsidRDefault="00F721D4">
            <w:pPr>
              <w:rPr>
                <w:sz w:val="20"/>
                <w:szCs w:val="20"/>
              </w:rPr>
            </w:pPr>
            <w:r>
              <w:rPr>
                <w:sz w:val="20"/>
                <w:szCs w:val="20"/>
              </w:rPr>
              <w:t xml:space="preserve">serious </w:t>
            </w:r>
            <w:r>
              <w:rPr>
                <w:sz w:val="20"/>
                <w:szCs w:val="20"/>
                <w:vertAlign w:val="superscript"/>
              </w:rPr>
              <w:t>g</w:t>
            </w:r>
          </w:p>
        </w:tc>
        <w:tc>
          <w:tcPr>
            <w:tcW w:w="942" w:type="dxa"/>
            <w:gridSpan w:val="2"/>
            <w:tcBorders>
              <w:top w:val="single" w:sz="6" w:space="0" w:color="000000"/>
              <w:left w:val="single" w:sz="6" w:space="0" w:color="000000"/>
              <w:bottom w:val="single" w:sz="6" w:space="0" w:color="000000"/>
              <w:right w:val="single" w:sz="6" w:space="0" w:color="000000"/>
            </w:tcBorders>
          </w:tcPr>
          <w:p w14:paraId="331D3056" w14:textId="77777777" w:rsidR="002D58E4" w:rsidRDefault="00F721D4">
            <w:pPr>
              <w:rPr>
                <w:sz w:val="20"/>
                <w:szCs w:val="20"/>
              </w:rPr>
            </w:pPr>
            <w:r>
              <w:rPr>
                <w:sz w:val="20"/>
                <w:szCs w:val="20"/>
              </w:rPr>
              <w:t xml:space="preserve">none </w:t>
            </w:r>
          </w:p>
        </w:tc>
        <w:tc>
          <w:tcPr>
            <w:tcW w:w="1184" w:type="dxa"/>
            <w:gridSpan w:val="2"/>
            <w:tcBorders>
              <w:top w:val="single" w:sz="6" w:space="0" w:color="000000"/>
              <w:left w:val="single" w:sz="6" w:space="0" w:color="000000"/>
              <w:bottom w:val="single" w:sz="6" w:space="0" w:color="000000"/>
              <w:right w:val="single" w:sz="6" w:space="0" w:color="000000"/>
            </w:tcBorders>
          </w:tcPr>
          <w:p w14:paraId="01D41183" w14:textId="77777777" w:rsidR="002D58E4" w:rsidRDefault="00F721D4">
            <w:pPr>
              <w:jc w:val="center"/>
              <w:rPr>
                <w:sz w:val="20"/>
                <w:szCs w:val="20"/>
              </w:rPr>
            </w:pPr>
            <w:r>
              <w:rPr>
                <w:sz w:val="20"/>
                <w:szCs w:val="20"/>
              </w:rPr>
              <w:t xml:space="preserve">25/90 </w:t>
            </w:r>
          </w:p>
          <w:p w14:paraId="3FB07FE5" w14:textId="77777777" w:rsidR="002D58E4" w:rsidRDefault="00F721D4">
            <w:pPr>
              <w:jc w:val="center"/>
              <w:rPr>
                <w:sz w:val="20"/>
                <w:szCs w:val="20"/>
              </w:rPr>
            </w:pPr>
            <w:r>
              <w:rPr>
                <w:sz w:val="20"/>
                <w:szCs w:val="20"/>
              </w:rPr>
              <w:t xml:space="preserve">(27.8%) </w:t>
            </w:r>
          </w:p>
        </w:tc>
        <w:tc>
          <w:tcPr>
            <w:tcW w:w="1065" w:type="dxa"/>
            <w:gridSpan w:val="2"/>
            <w:tcBorders>
              <w:top w:val="single" w:sz="6" w:space="0" w:color="000000"/>
              <w:left w:val="single" w:sz="6" w:space="0" w:color="000000"/>
              <w:bottom w:val="single" w:sz="6" w:space="0" w:color="000000"/>
              <w:right w:val="single" w:sz="6" w:space="0" w:color="000000"/>
            </w:tcBorders>
          </w:tcPr>
          <w:p w14:paraId="71273B99" w14:textId="77777777" w:rsidR="002D58E4" w:rsidRDefault="00F721D4">
            <w:pPr>
              <w:jc w:val="center"/>
              <w:rPr>
                <w:sz w:val="20"/>
                <w:szCs w:val="20"/>
              </w:rPr>
            </w:pPr>
            <w:r>
              <w:rPr>
                <w:sz w:val="20"/>
                <w:szCs w:val="20"/>
              </w:rPr>
              <w:t xml:space="preserve">21/76 </w:t>
            </w:r>
          </w:p>
          <w:p w14:paraId="09265166" w14:textId="77777777" w:rsidR="002D58E4" w:rsidRDefault="00F721D4">
            <w:pPr>
              <w:jc w:val="center"/>
              <w:rPr>
                <w:sz w:val="20"/>
                <w:szCs w:val="20"/>
              </w:rPr>
            </w:pPr>
            <w:r>
              <w:rPr>
                <w:sz w:val="20"/>
                <w:szCs w:val="20"/>
              </w:rPr>
              <w:t xml:space="preserve">(27.6%) </w:t>
            </w:r>
          </w:p>
        </w:tc>
        <w:tc>
          <w:tcPr>
            <w:tcW w:w="1418" w:type="dxa"/>
            <w:gridSpan w:val="2"/>
            <w:tcBorders>
              <w:top w:val="single" w:sz="6" w:space="0" w:color="000000"/>
              <w:left w:val="single" w:sz="6" w:space="0" w:color="000000"/>
              <w:bottom w:val="single" w:sz="6" w:space="0" w:color="000000"/>
              <w:right w:val="single" w:sz="6" w:space="0" w:color="000000"/>
            </w:tcBorders>
          </w:tcPr>
          <w:p w14:paraId="1E0D706D" w14:textId="77777777" w:rsidR="002D58E4" w:rsidRDefault="00F721D4">
            <w:pPr>
              <w:jc w:val="center"/>
              <w:rPr>
                <w:sz w:val="20"/>
                <w:szCs w:val="20"/>
              </w:rPr>
            </w:pPr>
            <w:r>
              <w:rPr>
                <w:sz w:val="20"/>
                <w:szCs w:val="20"/>
              </w:rPr>
              <w:t>RR 1.23</w:t>
            </w:r>
            <w:r>
              <w:rPr>
                <w:sz w:val="20"/>
                <w:szCs w:val="20"/>
              </w:rPr>
              <w:br/>
              <w:t xml:space="preserve">(0.36 to 4.26) </w:t>
            </w:r>
          </w:p>
        </w:tc>
        <w:tc>
          <w:tcPr>
            <w:tcW w:w="1781" w:type="dxa"/>
            <w:tcBorders>
              <w:top w:val="single" w:sz="6" w:space="0" w:color="000000"/>
              <w:left w:val="single" w:sz="6" w:space="0" w:color="000000"/>
              <w:bottom w:val="single" w:sz="6" w:space="0" w:color="000000"/>
              <w:right w:val="single" w:sz="6" w:space="0" w:color="000000"/>
            </w:tcBorders>
          </w:tcPr>
          <w:p w14:paraId="049ECC2F" w14:textId="77777777" w:rsidR="002D58E4" w:rsidRDefault="00F721D4">
            <w:pPr>
              <w:jc w:val="center"/>
              <w:rPr>
                <w:sz w:val="20"/>
                <w:szCs w:val="20"/>
              </w:rPr>
            </w:pPr>
            <w:r>
              <w:rPr>
                <w:sz w:val="20"/>
                <w:szCs w:val="20"/>
              </w:rPr>
              <w:t>64 more per 1,000</w:t>
            </w:r>
            <w:r>
              <w:rPr>
                <w:sz w:val="20"/>
                <w:szCs w:val="20"/>
              </w:rPr>
              <w:br/>
              <w:t xml:space="preserve">(from 177 fewer to 901 more) </w:t>
            </w:r>
          </w:p>
        </w:tc>
        <w:tc>
          <w:tcPr>
            <w:tcW w:w="1041" w:type="dxa"/>
            <w:gridSpan w:val="2"/>
            <w:tcBorders>
              <w:top w:val="single" w:sz="6" w:space="0" w:color="000000"/>
              <w:left w:val="single" w:sz="6" w:space="0" w:color="000000"/>
              <w:bottom w:val="single" w:sz="6" w:space="0" w:color="000000"/>
              <w:right w:val="single" w:sz="6" w:space="0" w:color="000000"/>
            </w:tcBorders>
          </w:tcPr>
          <w:p w14:paraId="5B0BDE9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01" w:type="dxa"/>
            <w:gridSpan w:val="2"/>
            <w:tcBorders>
              <w:top w:val="single" w:sz="6" w:space="0" w:color="000000"/>
              <w:left w:val="single" w:sz="6" w:space="0" w:color="000000"/>
              <w:bottom w:val="single" w:sz="6" w:space="0" w:color="000000"/>
              <w:right w:val="single" w:sz="6" w:space="0" w:color="000000"/>
            </w:tcBorders>
          </w:tcPr>
          <w:p w14:paraId="71675DE9" w14:textId="77777777" w:rsidR="002D58E4" w:rsidRDefault="00F721D4">
            <w:pPr>
              <w:rPr>
                <w:sz w:val="20"/>
                <w:szCs w:val="20"/>
              </w:rPr>
            </w:pPr>
            <w:r>
              <w:rPr>
                <w:sz w:val="20"/>
                <w:szCs w:val="20"/>
              </w:rPr>
              <w:t xml:space="preserve">IMPORTANT </w:t>
            </w:r>
          </w:p>
        </w:tc>
      </w:tr>
      <w:tr w:rsidR="002D58E4" w14:paraId="7000C49B" w14:textId="77777777" w:rsidTr="00E70FE5">
        <w:tc>
          <w:tcPr>
            <w:tcW w:w="14393" w:type="dxa"/>
            <w:gridSpan w:val="22"/>
            <w:tcBorders>
              <w:top w:val="single" w:sz="6" w:space="0" w:color="000000"/>
              <w:left w:val="single" w:sz="6" w:space="0" w:color="000000"/>
              <w:bottom w:val="single" w:sz="6" w:space="0" w:color="000000"/>
              <w:right w:val="single" w:sz="6" w:space="0" w:color="000000"/>
            </w:tcBorders>
            <w:shd w:val="clear" w:color="auto" w:fill="EDEDED"/>
            <w:vAlign w:val="center"/>
          </w:tcPr>
          <w:p w14:paraId="50769361" w14:textId="77777777" w:rsidR="002D58E4" w:rsidRDefault="00F721D4">
            <w:pPr>
              <w:rPr>
                <w:b/>
                <w:sz w:val="20"/>
                <w:szCs w:val="20"/>
              </w:rPr>
            </w:pPr>
            <w:r>
              <w:rPr>
                <w:b/>
                <w:sz w:val="20"/>
                <w:szCs w:val="20"/>
              </w:rPr>
              <w:t xml:space="preserve">Serious Adverse Events </w:t>
            </w:r>
          </w:p>
        </w:tc>
      </w:tr>
      <w:tr w:rsidR="002D58E4" w14:paraId="2F818989" w14:textId="77777777" w:rsidTr="00E70FE5">
        <w:tc>
          <w:tcPr>
            <w:tcW w:w="726" w:type="dxa"/>
            <w:tcBorders>
              <w:top w:val="single" w:sz="6" w:space="0" w:color="000000"/>
              <w:left w:val="single" w:sz="6" w:space="0" w:color="000000"/>
              <w:bottom w:val="single" w:sz="6" w:space="0" w:color="000000"/>
              <w:right w:val="single" w:sz="6" w:space="0" w:color="000000"/>
            </w:tcBorders>
          </w:tcPr>
          <w:p w14:paraId="68835C60" w14:textId="77777777" w:rsidR="002D58E4" w:rsidRDefault="00F721D4">
            <w:pPr>
              <w:rPr>
                <w:sz w:val="20"/>
                <w:szCs w:val="20"/>
              </w:rPr>
            </w:pPr>
            <w:r>
              <w:rPr>
                <w:sz w:val="20"/>
                <w:szCs w:val="20"/>
              </w:rPr>
              <w:lastRenderedPageBreak/>
              <w:t xml:space="preserve">1 </w:t>
            </w:r>
          </w:p>
        </w:tc>
        <w:tc>
          <w:tcPr>
            <w:tcW w:w="682" w:type="dxa"/>
            <w:tcBorders>
              <w:top w:val="single" w:sz="6" w:space="0" w:color="000000"/>
              <w:left w:val="single" w:sz="6" w:space="0" w:color="000000"/>
              <w:bottom w:val="single" w:sz="6" w:space="0" w:color="000000"/>
              <w:right w:val="single" w:sz="6" w:space="0" w:color="000000"/>
            </w:tcBorders>
          </w:tcPr>
          <w:p w14:paraId="127BC8A3" w14:textId="77777777" w:rsidR="002D58E4" w:rsidRDefault="00F721D4">
            <w:pPr>
              <w:rPr>
                <w:sz w:val="20"/>
                <w:szCs w:val="20"/>
              </w:rPr>
            </w:pPr>
            <w:r>
              <w:rPr>
                <w:sz w:val="20"/>
                <w:szCs w:val="20"/>
              </w:rPr>
              <w:t xml:space="preserve">RCT </w:t>
            </w:r>
            <w:r>
              <w:rPr>
                <w:sz w:val="20"/>
                <w:szCs w:val="20"/>
                <w:vertAlign w:val="superscript"/>
              </w:rPr>
              <w:t>2</w:t>
            </w:r>
          </w:p>
        </w:tc>
        <w:tc>
          <w:tcPr>
            <w:tcW w:w="1085" w:type="dxa"/>
            <w:tcBorders>
              <w:top w:val="single" w:sz="6" w:space="0" w:color="000000"/>
              <w:left w:val="single" w:sz="6" w:space="0" w:color="000000"/>
              <w:bottom w:val="single" w:sz="6" w:space="0" w:color="000000"/>
              <w:right w:val="single" w:sz="6" w:space="0" w:color="000000"/>
            </w:tcBorders>
          </w:tcPr>
          <w:p w14:paraId="31CCCF10" w14:textId="77777777" w:rsidR="002D58E4" w:rsidRDefault="00F721D4">
            <w:pPr>
              <w:rPr>
                <w:sz w:val="20"/>
                <w:szCs w:val="20"/>
              </w:rPr>
            </w:pPr>
            <w:r>
              <w:rPr>
                <w:sz w:val="20"/>
                <w:szCs w:val="20"/>
              </w:rPr>
              <w:t xml:space="preserve">serious </w:t>
            </w:r>
            <w:r>
              <w:rPr>
                <w:sz w:val="20"/>
                <w:szCs w:val="20"/>
                <w:vertAlign w:val="superscript"/>
              </w:rPr>
              <w:t>b</w:t>
            </w:r>
          </w:p>
        </w:tc>
        <w:tc>
          <w:tcPr>
            <w:tcW w:w="1044" w:type="dxa"/>
            <w:tcBorders>
              <w:top w:val="single" w:sz="6" w:space="0" w:color="000000"/>
              <w:left w:val="single" w:sz="6" w:space="0" w:color="000000"/>
              <w:bottom w:val="single" w:sz="6" w:space="0" w:color="000000"/>
              <w:right w:val="single" w:sz="6" w:space="0" w:color="000000"/>
            </w:tcBorders>
          </w:tcPr>
          <w:p w14:paraId="193054FC" w14:textId="77777777" w:rsidR="002D58E4" w:rsidRDefault="00F721D4">
            <w:pPr>
              <w:rPr>
                <w:sz w:val="20"/>
                <w:szCs w:val="20"/>
              </w:rPr>
            </w:pPr>
            <w:r>
              <w:rPr>
                <w:sz w:val="20"/>
                <w:szCs w:val="20"/>
              </w:rPr>
              <w:t xml:space="preserve">not serious </w:t>
            </w:r>
          </w:p>
        </w:tc>
        <w:tc>
          <w:tcPr>
            <w:tcW w:w="992" w:type="dxa"/>
            <w:gridSpan w:val="2"/>
            <w:tcBorders>
              <w:top w:val="single" w:sz="6" w:space="0" w:color="000000"/>
              <w:left w:val="single" w:sz="6" w:space="0" w:color="000000"/>
              <w:bottom w:val="single" w:sz="6" w:space="0" w:color="000000"/>
              <w:right w:val="single" w:sz="6" w:space="0" w:color="000000"/>
            </w:tcBorders>
          </w:tcPr>
          <w:p w14:paraId="6E38F58D" w14:textId="77777777" w:rsidR="002D58E4" w:rsidRDefault="00F721D4">
            <w:pPr>
              <w:rPr>
                <w:sz w:val="20"/>
                <w:szCs w:val="20"/>
              </w:rPr>
            </w:pPr>
            <w:r>
              <w:rPr>
                <w:sz w:val="20"/>
                <w:szCs w:val="20"/>
              </w:rPr>
              <w:t xml:space="preserve">not serious </w:t>
            </w:r>
          </w:p>
        </w:tc>
        <w:tc>
          <w:tcPr>
            <w:tcW w:w="1130" w:type="dxa"/>
            <w:gridSpan w:val="3"/>
            <w:tcBorders>
              <w:top w:val="single" w:sz="6" w:space="0" w:color="000000"/>
              <w:left w:val="single" w:sz="6" w:space="0" w:color="000000"/>
              <w:bottom w:val="single" w:sz="6" w:space="0" w:color="000000"/>
              <w:right w:val="single" w:sz="6" w:space="0" w:color="000000"/>
            </w:tcBorders>
          </w:tcPr>
          <w:p w14:paraId="1A31104C" w14:textId="77777777" w:rsidR="002D58E4" w:rsidRDefault="00F721D4">
            <w:pPr>
              <w:rPr>
                <w:sz w:val="20"/>
                <w:szCs w:val="20"/>
              </w:rPr>
            </w:pPr>
            <w:r>
              <w:rPr>
                <w:sz w:val="20"/>
                <w:szCs w:val="20"/>
              </w:rPr>
              <w:t xml:space="preserve">serious </w:t>
            </w:r>
            <w:r>
              <w:rPr>
                <w:sz w:val="20"/>
                <w:szCs w:val="20"/>
                <w:vertAlign w:val="superscript"/>
              </w:rPr>
              <w:t>e</w:t>
            </w:r>
          </w:p>
        </w:tc>
        <w:tc>
          <w:tcPr>
            <w:tcW w:w="942" w:type="dxa"/>
            <w:gridSpan w:val="2"/>
            <w:tcBorders>
              <w:top w:val="single" w:sz="6" w:space="0" w:color="000000"/>
              <w:left w:val="single" w:sz="6" w:space="0" w:color="000000"/>
              <w:bottom w:val="single" w:sz="6" w:space="0" w:color="000000"/>
              <w:right w:val="single" w:sz="6" w:space="0" w:color="000000"/>
            </w:tcBorders>
          </w:tcPr>
          <w:p w14:paraId="674AE0A4" w14:textId="77777777" w:rsidR="002D58E4" w:rsidRDefault="00F721D4">
            <w:pPr>
              <w:rPr>
                <w:sz w:val="20"/>
                <w:szCs w:val="20"/>
              </w:rPr>
            </w:pPr>
            <w:r>
              <w:rPr>
                <w:sz w:val="20"/>
                <w:szCs w:val="20"/>
              </w:rPr>
              <w:t xml:space="preserve">none </w:t>
            </w:r>
          </w:p>
        </w:tc>
        <w:tc>
          <w:tcPr>
            <w:tcW w:w="1184" w:type="dxa"/>
            <w:gridSpan w:val="2"/>
            <w:tcBorders>
              <w:top w:val="single" w:sz="6" w:space="0" w:color="000000"/>
              <w:left w:val="single" w:sz="6" w:space="0" w:color="000000"/>
              <w:bottom w:val="single" w:sz="6" w:space="0" w:color="000000"/>
              <w:right w:val="single" w:sz="6" w:space="0" w:color="000000"/>
            </w:tcBorders>
          </w:tcPr>
          <w:p w14:paraId="3E98D3C9" w14:textId="77777777" w:rsidR="002D58E4" w:rsidRDefault="00F721D4">
            <w:pPr>
              <w:jc w:val="center"/>
              <w:rPr>
                <w:sz w:val="20"/>
                <w:szCs w:val="20"/>
              </w:rPr>
            </w:pPr>
            <w:r>
              <w:rPr>
                <w:sz w:val="20"/>
                <w:szCs w:val="20"/>
              </w:rPr>
              <w:t xml:space="preserve">1/23 </w:t>
            </w:r>
          </w:p>
          <w:p w14:paraId="0801A88E" w14:textId="77777777" w:rsidR="002D58E4" w:rsidRDefault="00F721D4">
            <w:pPr>
              <w:jc w:val="center"/>
              <w:rPr>
                <w:sz w:val="20"/>
                <w:szCs w:val="20"/>
              </w:rPr>
            </w:pPr>
            <w:r>
              <w:rPr>
                <w:sz w:val="20"/>
                <w:szCs w:val="20"/>
              </w:rPr>
              <w:t xml:space="preserve">(4.3%) </w:t>
            </w:r>
          </w:p>
        </w:tc>
        <w:tc>
          <w:tcPr>
            <w:tcW w:w="1065" w:type="dxa"/>
            <w:gridSpan w:val="2"/>
            <w:tcBorders>
              <w:top w:val="single" w:sz="6" w:space="0" w:color="000000"/>
              <w:left w:val="single" w:sz="6" w:space="0" w:color="000000"/>
              <w:bottom w:val="single" w:sz="6" w:space="0" w:color="000000"/>
              <w:right w:val="single" w:sz="6" w:space="0" w:color="000000"/>
            </w:tcBorders>
          </w:tcPr>
          <w:p w14:paraId="42ABFD98" w14:textId="77777777" w:rsidR="002D58E4" w:rsidRDefault="00F721D4">
            <w:pPr>
              <w:jc w:val="center"/>
              <w:rPr>
                <w:sz w:val="20"/>
                <w:szCs w:val="20"/>
              </w:rPr>
            </w:pPr>
            <w:r>
              <w:rPr>
                <w:sz w:val="20"/>
                <w:szCs w:val="20"/>
              </w:rPr>
              <w:t xml:space="preserve">0/21 </w:t>
            </w:r>
          </w:p>
          <w:p w14:paraId="5B2C77EC" w14:textId="77777777" w:rsidR="002D58E4" w:rsidRDefault="00F721D4">
            <w:pPr>
              <w:jc w:val="center"/>
              <w:rPr>
                <w:sz w:val="20"/>
                <w:szCs w:val="20"/>
              </w:rPr>
            </w:pPr>
            <w:r>
              <w:rPr>
                <w:sz w:val="20"/>
                <w:szCs w:val="20"/>
              </w:rPr>
              <w:t xml:space="preserve">(0.0%) </w:t>
            </w:r>
          </w:p>
        </w:tc>
        <w:tc>
          <w:tcPr>
            <w:tcW w:w="1418" w:type="dxa"/>
            <w:gridSpan w:val="2"/>
            <w:tcBorders>
              <w:top w:val="single" w:sz="6" w:space="0" w:color="000000"/>
              <w:left w:val="single" w:sz="6" w:space="0" w:color="000000"/>
              <w:bottom w:val="single" w:sz="6" w:space="0" w:color="000000"/>
              <w:right w:val="single" w:sz="6" w:space="0" w:color="000000"/>
            </w:tcBorders>
          </w:tcPr>
          <w:p w14:paraId="5401926B" w14:textId="77777777" w:rsidR="002D58E4" w:rsidRDefault="00F721D4">
            <w:pPr>
              <w:jc w:val="center"/>
              <w:rPr>
                <w:sz w:val="20"/>
                <w:szCs w:val="20"/>
              </w:rPr>
            </w:pPr>
            <w:r>
              <w:rPr>
                <w:sz w:val="20"/>
                <w:szCs w:val="20"/>
              </w:rPr>
              <w:t xml:space="preserve">NA </w:t>
            </w:r>
            <w:r>
              <w:rPr>
                <w:sz w:val="20"/>
                <w:szCs w:val="20"/>
                <w:vertAlign w:val="superscript"/>
              </w:rPr>
              <w:t>h</w:t>
            </w:r>
          </w:p>
        </w:tc>
        <w:tc>
          <w:tcPr>
            <w:tcW w:w="1781" w:type="dxa"/>
            <w:tcBorders>
              <w:top w:val="single" w:sz="6" w:space="0" w:color="000000"/>
              <w:left w:val="single" w:sz="6" w:space="0" w:color="000000"/>
              <w:bottom w:val="single" w:sz="6" w:space="0" w:color="000000"/>
              <w:right w:val="single" w:sz="6" w:space="0" w:color="000000"/>
            </w:tcBorders>
          </w:tcPr>
          <w:p w14:paraId="5B5AEC1C" w14:textId="77777777" w:rsidR="002D58E4" w:rsidRDefault="00F721D4">
            <w:pPr>
              <w:jc w:val="center"/>
              <w:rPr>
                <w:sz w:val="20"/>
                <w:szCs w:val="20"/>
              </w:rPr>
            </w:pPr>
            <w:r>
              <w:rPr>
                <w:sz w:val="20"/>
                <w:szCs w:val="20"/>
              </w:rPr>
              <w:t>43 more per 1,000</w:t>
            </w:r>
          </w:p>
        </w:tc>
        <w:tc>
          <w:tcPr>
            <w:tcW w:w="1041" w:type="dxa"/>
            <w:gridSpan w:val="2"/>
            <w:tcBorders>
              <w:top w:val="single" w:sz="6" w:space="0" w:color="000000"/>
              <w:left w:val="single" w:sz="6" w:space="0" w:color="000000"/>
              <w:bottom w:val="single" w:sz="6" w:space="0" w:color="000000"/>
              <w:right w:val="single" w:sz="6" w:space="0" w:color="000000"/>
            </w:tcBorders>
          </w:tcPr>
          <w:p w14:paraId="4A20D4D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01" w:type="dxa"/>
            <w:gridSpan w:val="2"/>
            <w:tcBorders>
              <w:top w:val="single" w:sz="6" w:space="0" w:color="000000"/>
              <w:left w:val="single" w:sz="6" w:space="0" w:color="000000"/>
              <w:bottom w:val="single" w:sz="6" w:space="0" w:color="000000"/>
              <w:right w:val="single" w:sz="6" w:space="0" w:color="000000"/>
            </w:tcBorders>
          </w:tcPr>
          <w:p w14:paraId="689176A5" w14:textId="77777777" w:rsidR="002D58E4" w:rsidRDefault="00F721D4">
            <w:pPr>
              <w:rPr>
                <w:sz w:val="20"/>
                <w:szCs w:val="20"/>
              </w:rPr>
            </w:pPr>
            <w:r>
              <w:rPr>
                <w:sz w:val="20"/>
                <w:szCs w:val="20"/>
              </w:rPr>
              <w:t xml:space="preserve">IMPORTANT </w:t>
            </w:r>
          </w:p>
        </w:tc>
      </w:tr>
      <w:tr w:rsidR="002D58E4" w14:paraId="0CE0AA40" w14:textId="77777777" w:rsidTr="00E70FE5">
        <w:tc>
          <w:tcPr>
            <w:tcW w:w="14393" w:type="dxa"/>
            <w:gridSpan w:val="22"/>
            <w:tcBorders>
              <w:top w:val="single" w:sz="6" w:space="0" w:color="000000"/>
              <w:left w:val="single" w:sz="6" w:space="0" w:color="000000"/>
              <w:bottom w:val="single" w:sz="6" w:space="0" w:color="000000"/>
              <w:right w:val="single" w:sz="6" w:space="0" w:color="000000"/>
            </w:tcBorders>
            <w:shd w:val="clear" w:color="auto" w:fill="EDEDED"/>
            <w:vAlign w:val="center"/>
          </w:tcPr>
          <w:p w14:paraId="17860E56" w14:textId="77777777" w:rsidR="002D58E4" w:rsidRDefault="00F721D4">
            <w:pPr>
              <w:rPr>
                <w:b/>
                <w:sz w:val="20"/>
                <w:szCs w:val="20"/>
              </w:rPr>
            </w:pPr>
            <w:r>
              <w:rPr>
                <w:b/>
                <w:sz w:val="20"/>
                <w:szCs w:val="20"/>
              </w:rPr>
              <w:t>Allergic reaction</w:t>
            </w:r>
          </w:p>
        </w:tc>
      </w:tr>
      <w:tr w:rsidR="002D58E4" w14:paraId="06F751DE" w14:textId="77777777" w:rsidTr="00E70FE5">
        <w:tc>
          <w:tcPr>
            <w:tcW w:w="726" w:type="dxa"/>
            <w:tcBorders>
              <w:top w:val="single" w:sz="6" w:space="0" w:color="000000"/>
              <w:left w:val="single" w:sz="6" w:space="0" w:color="000000"/>
              <w:bottom w:val="single" w:sz="6" w:space="0" w:color="000000"/>
              <w:right w:val="single" w:sz="6" w:space="0" w:color="000000"/>
            </w:tcBorders>
          </w:tcPr>
          <w:p w14:paraId="21F004C9" w14:textId="77777777" w:rsidR="002D58E4" w:rsidRDefault="00F721D4">
            <w:pPr>
              <w:rPr>
                <w:sz w:val="20"/>
                <w:szCs w:val="20"/>
              </w:rPr>
            </w:pPr>
            <w:r>
              <w:rPr>
                <w:sz w:val="20"/>
                <w:szCs w:val="20"/>
              </w:rPr>
              <w:t xml:space="preserve">2 </w:t>
            </w:r>
          </w:p>
        </w:tc>
        <w:tc>
          <w:tcPr>
            <w:tcW w:w="682" w:type="dxa"/>
            <w:tcBorders>
              <w:top w:val="single" w:sz="6" w:space="0" w:color="000000"/>
              <w:left w:val="single" w:sz="6" w:space="0" w:color="000000"/>
              <w:bottom w:val="single" w:sz="6" w:space="0" w:color="000000"/>
              <w:right w:val="single" w:sz="6" w:space="0" w:color="000000"/>
            </w:tcBorders>
          </w:tcPr>
          <w:p w14:paraId="0FF45AF4" w14:textId="77777777" w:rsidR="002D58E4" w:rsidRDefault="00F721D4">
            <w:pPr>
              <w:rPr>
                <w:sz w:val="20"/>
                <w:szCs w:val="20"/>
              </w:rPr>
            </w:pPr>
            <w:r>
              <w:rPr>
                <w:sz w:val="20"/>
                <w:szCs w:val="20"/>
              </w:rPr>
              <w:t xml:space="preserve">RCT </w:t>
            </w:r>
            <w:r>
              <w:rPr>
                <w:sz w:val="20"/>
                <w:szCs w:val="20"/>
                <w:vertAlign w:val="superscript"/>
              </w:rPr>
              <w:t>1,2</w:t>
            </w:r>
          </w:p>
        </w:tc>
        <w:tc>
          <w:tcPr>
            <w:tcW w:w="1085" w:type="dxa"/>
            <w:tcBorders>
              <w:top w:val="single" w:sz="6" w:space="0" w:color="000000"/>
              <w:left w:val="single" w:sz="6" w:space="0" w:color="000000"/>
              <w:bottom w:val="single" w:sz="6" w:space="0" w:color="000000"/>
              <w:right w:val="single" w:sz="6" w:space="0" w:color="000000"/>
            </w:tcBorders>
          </w:tcPr>
          <w:p w14:paraId="2C520481" w14:textId="77777777" w:rsidR="002D58E4" w:rsidRDefault="00F721D4">
            <w:pPr>
              <w:rPr>
                <w:sz w:val="20"/>
                <w:szCs w:val="20"/>
              </w:rPr>
            </w:pPr>
            <w:r>
              <w:rPr>
                <w:sz w:val="20"/>
                <w:szCs w:val="20"/>
              </w:rPr>
              <w:t xml:space="preserve">serious </w:t>
            </w:r>
            <w:r>
              <w:rPr>
                <w:sz w:val="20"/>
                <w:szCs w:val="20"/>
                <w:vertAlign w:val="superscript"/>
              </w:rPr>
              <w:t>b, f</w:t>
            </w:r>
          </w:p>
        </w:tc>
        <w:tc>
          <w:tcPr>
            <w:tcW w:w="1241" w:type="dxa"/>
            <w:gridSpan w:val="2"/>
            <w:tcBorders>
              <w:top w:val="single" w:sz="6" w:space="0" w:color="000000"/>
              <w:left w:val="single" w:sz="6" w:space="0" w:color="000000"/>
              <w:bottom w:val="single" w:sz="6" w:space="0" w:color="000000"/>
              <w:right w:val="single" w:sz="6" w:space="0" w:color="000000"/>
            </w:tcBorders>
          </w:tcPr>
          <w:p w14:paraId="618395BD" w14:textId="77777777" w:rsidR="002D58E4" w:rsidRDefault="00F721D4">
            <w:pPr>
              <w:rPr>
                <w:sz w:val="20"/>
                <w:szCs w:val="20"/>
              </w:rPr>
            </w:pPr>
            <w:r>
              <w:rPr>
                <w:sz w:val="20"/>
                <w:szCs w:val="20"/>
              </w:rPr>
              <w:t xml:space="preserve">not serious </w:t>
            </w:r>
          </w:p>
        </w:tc>
        <w:tc>
          <w:tcPr>
            <w:tcW w:w="831" w:type="dxa"/>
            <w:gridSpan w:val="2"/>
            <w:tcBorders>
              <w:top w:val="single" w:sz="6" w:space="0" w:color="000000"/>
              <w:left w:val="single" w:sz="6" w:space="0" w:color="000000"/>
              <w:bottom w:val="single" w:sz="6" w:space="0" w:color="000000"/>
              <w:right w:val="single" w:sz="6" w:space="0" w:color="000000"/>
            </w:tcBorders>
          </w:tcPr>
          <w:p w14:paraId="10145B70" w14:textId="77777777" w:rsidR="002D58E4" w:rsidRDefault="00F721D4">
            <w:pPr>
              <w:rPr>
                <w:sz w:val="20"/>
                <w:szCs w:val="20"/>
              </w:rPr>
            </w:pPr>
            <w:r>
              <w:rPr>
                <w:sz w:val="20"/>
                <w:szCs w:val="20"/>
              </w:rPr>
              <w:t xml:space="preserve">not serious </w:t>
            </w:r>
          </w:p>
        </w:tc>
        <w:tc>
          <w:tcPr>
            <w:tcW w:w="927" w:type="dxa"/>
            <w:tcBorders>
              <w:top w:val="single" w:sz="6" w:space="0" w:color="000000"/>
              <w:left w:val="single" w:sz="6" w:space="0" w:color="000000"/>
              <w:bottom w:val="single" w:sz="6" w:space="0" w:color="000000"/>
              <w:right w:val="single" w:sz="6" w:space="0" w:color="000000"/>
            </w:tcBorders>
          </w:tcPr>
          <w:p w14:paraId="7804A11D" w14:textId="77777777" w:rsidR="002D58E4" w:rsidRDefault="00F721D4">
            <w:pPr>
              <w:rPr>
                <w:sz w:val="20"/>
                <w:szCs w:val="20"/>
              </w:rPr>
            </w:pPr>
            <w:r>
              <w:rPr>
                <w:sz w:val="20"/>
                <w:szCs w:val="20"/>
              </w:rPr>
              <w:t xml:space="preserve">serious </w:t>
            </w:r>
            <w:r>
              <w:rPr>
                <w:sz w:val="20"/>
                <w:szCs w:val="20"/>
                <w:vertAlign w:val="superscript"/>
              </w:rPr>
              <w:t>e</w:t>
            </w:r>
          </w:p>
        </w:tc>
        <w:tc>
          <w:tcPr>
            <w:tcW w:w="1088" w:type="dxa"/>
            <w:gridSpan w:val="2"/>
            <w:tcBorders>
              <w:top w:val="single" w:sz="6" w:space="0" w:color="000000"/>
              <w:left w:val="single" w:sz="6" w:space="0" w:color="000000"/>
              <w:bottom w:val="single" w:sz="6" w:space="0" w:color="000000"/>
              <w:right w:val="single" w:sz="6" w:space="0" w:color="000000"/>
            </w:tcBorders>
          </w:tcPr>
          <w:p w14:paraId="64A5D609" w14:textId="77777777" w:rsidR="002D58E4" w:rsidRDefault="00F721D4">
            <w:pPr>
              <w:rPr>
                <w:sz w:val="20"/>
                <w:szCs w:val="20"/>
              </w:rPr>
            </w:pPr>
            <w:r>
              <w:rPr>
                <w:sz w:val="20"/>
                <w:szCs w:val="20"/>
              </w:rPr>
              <w:t xml:space="preserve">none </w:t>
            </w:r>
          </w:p>
        </w:tc>
        <w:tc>
          <w:tcPr>
            <w:tcW w:w="1026" w:type="dxa"/>
            <w:gridSpan w:val="2"/>
            <w:tcBorders>
              <w:top w:val="single" w:sz="6" w:space="0" w:color="000000"/>
              <w:left w:val="single" w:sz="6" w:space="0" w:color="000000"/>
              <w:bottom w:val="single" w:sz="6" w:space="0" w:color="000000"/>
              <w:right w:val="single" w:sz="6" w:space="0" w:color="000000"/>
            </w:tcBorders>
          </w:tcPr>
          <w:p w14:paraId="491104E4" w14:textId="77777777" w:rsidR="002D58E4" w:rsidRDefault="00F721D4">
            <w:pPr>
              <w:jc w:val="center"/>
              <w:rPr>
                <w:sz w:val="20"/>
                <w:szCs w:val="20"/>
              </w:rPr>
            </w:pPr>
            <w:r>
              <w:rPr>
                <w:sz w:val="20"/>
                <w:szCs w:val="20"/>
              </w:rPr>
              <w:t xml:space="preserve">1/90 </w:t>
            </w:r>
          </w:p>
          <w:p w14:paraId="2CF56EB4" w14:textId="77777777" w:rsidR="002D58E4" w:rsidRDefault="00F721D4">
            <w:pPr>
              <w:jc w:val="center"/>
              <w:rPr>
                <w:sz w:val="20"/>
                <w:szCs w:val="20"/>
              </w:rPr>
            </w:pPr>
            <w:r>
              <w:rPr>
                <w:sz w:val="20"/>
                <w:szCs w:val="20"/>
              </w:rPr>
              <w:t xml:space="preserve">(1.1%) </w:t>
            </w:r>
          </w:p>
        </w:tc>
        <w:tc>
          <w:tcPr>
            <w:tcW w:w="1193" w:type="dxa"/>
            <w:gridSpan w:val="2"/>
            <w:tcBorders>
              <w:top w:val="single" w:sz="6" w:space="0" w:color="000000"/>
              <w:left w:val="single" w:sz="6" w:space="0" w:color="000000"/>
              <w:bottom w:val="single" w:sz="6" w:space="0" w:color="000000"/>
              <w:right w:val="single" w:sz="6" w:space="0" w:color="000000"/>
            </w:tcBorders>
          </w:tcPr>
          <w:p w14:paraId="5EA4BAFE" w14:textId="77777777" w:rsidR="002D58E4" w:rsidRDefault="00F721D4">
            <w:pPr>
              <w:jc w:val="center"/>
              <w:rPr>
                <w:sz w:val="20"/>
                <w:szCs w:val="20"/>
              </w:rPr>
            </w:pPr>
            <w:r>
              <w:rPr>
                <w:sz w:val="20"/>
                <w:szCs w:val="20"/>
              </w:rPr>
              <w:t xml:space="preserve">0/76 </w:t>
            </w:r>
          </w:p>
          <w:p w14:paraId="70A686AD" w14:textId="77777777" w:rsidR="002D58E4" w:rsidRDefault="00F721D4">
            <w:pPr>
              <w:jc w:val="center"/>
              <w:rPr>
                <w:sz w:val="20"/>
                <w:szCs w:val="20"/>
              </w:rPr>
            </w:pPr>
            <w:r>
              <w:rPr>
                <w:sz w:val="20"/>
                <w:szCs w:val="20"/>
              </w:rPr>
              <w:t xml:space="preserve">(0.0%) </w:t>
            </w:r>
          </w:p>
        </w:tc>
        <w:tc>
          <w:tcPr>
            <w:tcW w:w="1379" w:type="dxa"/>
            <w:gridSpan w:val="2"/>
            <w:tcBorders>
              <w:top w:val="single" w:sz="6" w:space="0" w:color="000000"/>
              <w:left w:val="single" w:sz="6" w:space="0" w:color="000000"/>
              <w:bottom w:val="single" w:sz="6" w:space="0" w:color="000000"/>
              <w:right w:val="single" w:sz="6" w:space="0" w:color="000000"/>
            </w:tcBorders>
          </w:tcPr>
          <w:p w14:paraId="3F8983F9" w14:textId="77777777" w:rsidR="002D58E4" w:rsidRDefault="00F721D4">
            <w:pPr>
              <w:jc w:val="center"/>
              <w:rPr>
                <w:sz w:val="20"/>
                <w:szCs w:val="20"/>
              </w:rPr>
            </w:pPr>
            <w:r>
              <w:rPr>
                <w:sz w:val="20"/>
                <w:szCs w:val="20"/>
              </w:rPr>
              <w:t xml:space="preserve">NA </w:t>
            </w:r>
            <w:r>
              <w:rPr>
                <w:sz w:val="20"/>
                <w:szCs w:val="20"/>
                <w:vertAlign w:val="superscript"/>
              </w:rPr>
              <w:t>h</w:t>
            </w:r>
          </w:p>
        </w:tc>
        <w:tc>
          <w:tcPr>
            <w:tcW w:w="2026" w:type="dxa"/>
            <w:gridSpan w:val="3"/>
            <w:tcBorders>
              <w:top w:val="single" w:sz="6" w:space="0" w:color="000000"/>
              <w:left w:val="single" w:sz="6" w:space="0" w:color="000000"/>
              <w:bottom w:val="single" w:sz="6" w:space="0" w:color="000000"/>
              <w:right w:val="single" w:sz="6" w:space="0" w:color="000000"/>
            </w:tcBorders>
          </w:tcPr>
          <w:p w14:paraId="1998BB4E" w14:textId="77777777" w:rsidR="002D58E4" w:rsidRDefault="00F721D4">
            <w:pPr>
              <w:jc w:val="center"/>
              <w:rPr>
                <w:sz w:val="20"/>
                <w:szCs w:val="20"/>
              </w:rPr>
            </w:pPr>
            <w:r>
              <w:rPr>
                <w:sz w:val="20"/>
                <w:szCs w:val="20"/>
              </w:rPr>
              <w:t>1 more per 1,000</w:t>
            </w:r>
          </w:p>
        </w:tc>
        <w:tc>
          <w:tcPr>
            <w:tcW w:w="930" w:type="dxa"/>
            <w:gridSpan w:val="2"/>
            <w:tcBorders>
              <w:top w:val="single" w:sz="6" w:space="0" w:color="000000"/>
              <w:left w:val="single" w:sz="6" w:space="0" w:color="000000"/>
              <w:bottom w:val="single" w:sz="6" w:space="0" w:color="000000"/>
              <w:right w:val="single" w:sz="6" w:space="0" w:color="000000"/>
            </w:tcBorders>
          </w:tcPr>
          <w:p w14:paraId="13565CA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59" w:type="dxa"/>
            <w:tcBorders>
              <w:top w:val="single" w:sz="6" w:space="0" w:color="000000"/>
              <w:left w:val="single" w:sz="6" w:space="0" w:color="000000"/>
              <w:bottom w:val="single" w:sz="6" w:space="0" w:color="000000"/>
              <w:right w:val="single" w:sz="6" w:space="0" w:color="000000"/>
            </w:tcBorders>
          </w:tcPr>
          <w:p w14:paraId="732C564A" w14:textId="77777777" w:rsidR="002D58E4" w:rsidRDefault="00F721D4">
            <w:pPr>
              <w:rPr>
                <w:sz w:val="20"/>
                <w:szCs w:val="20"/>
              </w:rPr>
            </w:pPr>
            <w:r>
              <w:rPr>
                <w:sz w:val="20"/>
                <w:szCs w:val="20"/>
              </w:rPr>
              <w:t xml:space="preserve">IMPORTANT </w:t>
            </w:r>
          </w:p>
        </w:tc>
      </w:tr>
    </w:tbl>
    <w:p w14:paraId="590C6439" w14:textId="77777777" w:rsidR="002D58E4" w:rsidRDefault="00F721D4">
      <w:pP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 </w:t>
      </w:r>
      <w:r>
        <w:rPr>
          <w:b/>
          <w:color w:val="000000"/>
          <w:sz w:val="18"/>
          <w:szCs w:val="18"/>
        </w:rPr>
        <w:t>SMD:</w:t>
      </w:r>
      <w:r>
        <w:rPr>
          <w:color w:val="000000"/>
          <w:sz w:val="18"/>
          <w:szCs w:val="18"/>
        </w:rPr>
        <w:t xml:space="preserve"> Standardized mean difference</w:t>
      </w:r>
    </w:p>
    <w:p w14:paraId="4B6DCFD9" w14:textId="77777777" w:rsidR="002D58E4" w:rsidRDefault="00F721D4">
      <w:pPr>
        <w:spacing w:before="280" w:after="0"/>
        <w:rPr>
          <w:b/>
          <w:sz w:val="24"/>
          <w:szCs w:val="24"/>
        </w:rPr>
      </w:pPr>
      <w:r>
        <w:rPr>
          <w:b/>
          <w:sz w:val="24"/>
          <w:szCs w:val="24"/>
        </w:rPr>
        <w:t>Explanations</w:t>
      </w:r>
    </w:p>
    <w:p w14:paraId="4ECB9C4F" w14:textId="77777777" w:rsidR="002D58E4" w:rsidRDefault="00F721D4">
      <w:pPr>
        <w:spacing w:after="0" w:line="240" w:lineRule="auto"/>
        <w:rPr>
          <w:sz w:val="18"/>
          <w:szCs w:val="18"/>
        </w:rPr>
      </w:pPr>
      <w:r>
        <w:rPr>
          <w:sz w:val="18"/>
          <w:szCs w:val="18"/>
        </w:rPr>
        <w:t xml:space="preserve">a. Based on an inferiority margin of 15%, not rated down for imprecision.  </w:t>
      </w:r>
    </w:p>
    <w:p w14:paraId="743872CA" w14:textId="584CA205" w:rsidR="002D58E4" w:rsidRDefault="00F721D4">
      <w:pPr>
        <w:spacing w:after="0" w:line="240" w:lineRule="auto"/>
        <w:rPr>
          <w:sz w:val="18"/>
          <w:szCs w:val="18"/>
        </w:rPr>
      </w:pPr>
      <w:r>
        <w:rPr>
          <w:sz w:val="18"/>
          <w:szCs w:val="18"/>
        </w:rPr>
        <w:t>b. Strle 1992 study received high risk of bias ratings due to inadequate randomization technique (sequence generation and allocation sequence concealment) and potentially inadequate blinding (outcomes were self-reported).</w:t>
      </w:r>
    </w:p>
    <w:p w14:paraId="3498A565" w14:textId="77777777" w:rsidR="002D58E4" w:rsidRDefault="00F721D4">
      <w:pPr>
        <w:spacing w:after="0" w:line="240" w:lineRule="auto"/>
        <w:rPr>
          <w:sz w:val="18"/>
          <w:szCs w:val="18"/>
        </w:rPr>
      </w:pPr>
      <w:r>
        <w:rPr>
          <w:sz w:val="18"/>
          <w:szCs w:val="18"/>
        </w:rPr>
        <w:t>c. I</w:t>
      </w:r>
      <w:r>
        <w:rPr>
          <w:sz w:val="18"/>
          <w:szCs w:val="18"/>
          <w:vertAlign w:val="superscript"/>
        </w:rPr>
        <w:t>2</w:t>
      </w:r>
      <w:r>
        <w:rPr>
          <w:sz w:val="18"/>
          <w:szCs w:val="18"/>
        </w:rPr>
        <w:t>= 90%</w:t>
      </w:r>
    </w:p>
    <w:p w14:paraId="5F0DF0D3" w14:textId="77777777" w:rsidR="002D58E4" w:rsidRDefault="00F721D4">
      <w:pPr>
        <w:spacing w:after="0" w:line="240" w:lineRule="auto"/>
        <w:rPr>
          <w:sz w:val="18"/>
          <w:szCs w:val="18"/>
        </w:rPr>
      </w:pPr>
      <w:r>
        <w:rPr>
          <w:sz w:val="18"/>
          <w:szCs w:val="18"/>
        </w:rPr>
        <w:t xml:space="preserve">d. 95% CI is wide and crossing the null value. Eliassen 2018 study reported duration of EM as median and range- Median for Doxy group was 14 days (range 3-293 days) and for PenV group was 14 days (range 5-91 days). These were converted to mean and SD using method by Hozo, et al. However, due to a wide range of EM duration in this study, the SDs are very large. </w:t>
      </w:r>
    </w:p>
    <w:p w14:paraId="34DCC664" w14:textId="77777777" w:rsidR="002D58E4" w:rsidRDefault="00F721D4">
      <w:pPr>
        <w:spacing w:after="0" w:line="240" w:lineRule="auto"/>
        <w:rPr>
          <w:sz w:val="18"/>
          <w:szCs w:val="18"/>
        </w:rPr>
      </w:pPr>
      <w:r>
        <w:rPr>
          <w:sz w:val="18"/>
          <w:szCs w:val="18"/>
        </w:rPr>
        <w:t>e. Due to low event rate.</w:t>
      </w:r>
    </w:p>
    <w:p w14:paraId="14B3A7D9" w14:textId="3A131FE2" w:rsidR="002D58E4" w:rsidRDefault="00F721D4">
      <w:pPr>
        <w:spacing w:after="0" w:line="240" w:lineRule="auto"/>
        <w:rPr>
          <w:sz w:val="18"/>
          <w:szCs w:val="18"/>
        </w:rPr>
      </w:pPr>
      <w:r>
        <w:rPr>
          <w:sz w:val="18"/>
          <w:szCs w:val="18"/>
        </w:rPr>
        <w:t>f. Eliassen 2018 study received high risk of bias ratings due to single-blind design (outcomes were self-reported).</w:t>
      </w:r>
    </w:p>
    <w:p w14:paraId="4B3AE82E" w14:textId="77777777" w:rsidR="002D58E4" w:rsidRDefault="00F721D4">
      <w:pPr>
        <w:spacing w:after="0" w:line="240" w:lineRule="auto"/>
        <w:rPr>
          <w:sz w:val="18"/>
          <w:szCs w:val="18"/>
        </w:rPr>
      </w:pPr>
      <w:r>
        <w:rPr>
          <w:sz w:val="18"/>
          <w:szCs w:val="18"/>
        </w:rPr>
        <w:t xml:space="preserve">g. 95% CI crossing the null value. </w:t>
      </w:r>
    </w:p>
    <w:p w14:paraId="2DE9F6F7" w14:textId="77777777" w:rsidR="002D58E4" w:rsidRDefault="00F721D4">
      <w:pPr>
        <w:spacing w:after="0" w:line="240" w:lineRule="auto"/>
        <w:rPr>
          <w:sz w:val="18"/>
          <w:szCs w:val="18"/>
        </w:rPr>
      </w:pPr>
      <w:r>
        <w:rPr>
          <w:sz w:val="18"/>
          <w:szCs w:val="18"/>
        </w:rPr>
        <w:t>h. Due to zero events in one study arm, unable to estimate relative risk.</w:t>
      </w:r>
    </w:p>
    <w:p w14:paraId="03B43BCC" w14:textId="77777777" w:rsidR="002D58E4" w:rsidRDefault="00F721D4">
      <w:pPr>
        <w:widowControl w:val="0"/>
        <w:pBdr>
          <w:top w:val="nil"/>
          <w:left w:val="nil"/>
          <w:bottom w:val="nil"/>
          <w:right w:val="nil"/>
          <w:between w:val="nil"/>
        </w:pBdr>
        <w:spacing w:after="0"/>
        <w:rPr>
          <w:b/>
          <w:color w:val="0070C0"/>
          <w:sz w:val="24"/>
          <w:szCs w:val="24"/>
          <w:u w:val="single"/>
        </w:rPr>
        <w:sectPr w:rsidR="002D58E4" w:rsidSect="009F5BCE">
          <w:type w:val="continuous"/>
          <w:pgSz w:w="15840" w:h="12240"/>
          <w:pgMar w:top="720" w:right="956" w:bottom="720" w:left="720" w:header="720" w:footer="720" w:gutter="0"/>
          <w:cols w:space="720" w:equalWidth="0">
            <w:col w:w="14164"/>
          </w:cols>
        </w:sectPr>
      </w:pPr>
      <w:r>
        <w:br w:type="page"/>
      </w:r>
    </w:p>
    <w:p w14:paraId="3466C153" w14:textId="77777777" w:rsidR="002D58E4" w:rsidRDefault="00F721D4">
      <w:pPr>
        <w:spacing w:after="0"/>
        <w:rPr>
          <w:b/>
          <w:color w:val="000000"/>
          <w:sz w:val="24"/>
          <w:szCs w:val="24"/>
          <w:u w:val="single"/>
        </w:rPr>
      </w:pPr>
      <w:r>
        <w:rPr>
          <w:b/>
          <w:color w:val="000000"/>
          <w:sz w:val="24"/>
          <w:szCs w:val="24"/>
          <w:u w:val="single"/>
        </w:rPr>
        <w:lastRenderedPageBreak/>
        <w:t xml:space="preserve">DOXYCYCLINE vs. AMOXICILLIN </w:t>
      </w:r>
    </w:p>
    <w:p w14:paraId="65135A2D" w14:textId="77777777" w:rsidR="002D58E4" w:rsidRDefault="00F721D4">
      <w:pPr>
        <w:spacing w:after="0"/>
        <w:rPr>
          <w:b/>
        </w:rPr>
      </w:pPr>
      <w:r>
        <w:rPr>
          <w:b/>
        </w:rPr>
        <w:t>In patients with erythema migrans, should Doxycycline be used over Amoxicillin?</w:t>
      </w:r>
    </w:p>
    <w:p w14:paraId="32776610" w14:textId="77777777" w:rsidR="002D58E4" w:rsidRDefault="00F721D4">
      <w:pPr>
        <w:spacing w:after="0"/>
      </w:pPr>
      <w:r>
        <w:t>P: In patients with erythema migrans</w:t>
      </w:r>
    </w:p>
    <w:p w14:paraId="29933500" w14:textId="77777777" w:rsidR="002D58E4" w:rsidRPr="007957CB" w:rsidRDefault="00F721D4">
      <w:pPr>
        <w:spacing w:after="0"/>
        <w:rPr>
          <w:lang w:val="fr-CA"/>
        </w:rPr>
      </w:pPr>
      <w:r w:rsidRPr="007957CB">
        <w:rPr>
          <w:lang w:val="fr-CA"/>
        </w:rPr>
        <w:t xml:space="preserve">I: Doxycycline </w:t>
      </w:r>
    </w:p>
    <w:p w14:paraId="0F651BE4" w14:textId="77777777" w:rsidR="002D58E4" w:rsidRPr="007957CB" w:rsidRDefault="00F721D4">
      <w:pPr>
        <w:spacing w:after="0"/>
        <w:rPr>
          <w:lang w:val="fr-CA"/>
        </w:rPr>
      </w:pPr>
      <w:r w:rsidRPr="007957CB">
        <w:rPr>
          <w:lang w:val="fr-CA"/>
        </w:rPr>
        <w:t xml:space="preserve">C: Amoxicillin </w:t>
      </w:r>
    </w:p>
    <w:p w14:paraId="34EBB9F8" w14:textId="77777777" w:rsidR="002D58E4" w:rsidRPr="007957CB" w:rsidRDefault="002D58E4">
      <w:pPr>
        <w:spacing w:after="0"/>
        <w:rPr>
          <w:b/>
          <w:color w:val="000000"/>
          <w:sz w:val="18"/>
          <w:szCs w:val="18"/>
          <w:lang w:val="fr-CA"/>
        </w:rPr>
      </w:pPr>
    </w:p>
    <w:p w14:paraId="524A2527" w14:textId="73C9CFA6" w:rsidR="002D58E4" w:rsidRDefault="00F721D4" w:rsidP="00DE33EC">
      <w:pPr>
        <w:rPr>
          <w:color w:val="000000"/>
          <w:sz w:val="14"/>
          <w:szCs w:val="14"/>
        </w:rPr>
      </w:pPr>
      <w:r w:rsidRPr="007957CB">
        <w:rPr>
          <w:b/>
          <w:color w:val="000000"/>
          <w:sz w:val="18"/>
          <w:szCs w:val="18"/>
          <w:lang w:val="fr-CA"/>
        </w:rPr>
        <w:t>Bibliography</w:t>
      </w:r>
      <w:r w:rsidRPr="007957CB">
        <w:rPr>
          <w:color w:val="000000"/>
          <w:sz w:val="18"/>
          <w:szCs w:val="18"/>
          <w:lang w:val="fr-CA"/>
        </w:rPr>
        <w:t xml:space="preserve">: 1. </w:t>
      </w:r>
      <w:r w:rsidR="00DE33EC" w:rsidRPr="00DE33EC">
        <w:rPr>
          <w:color w:val="000000"/>
          <w:sz w:val="18"/>
          <w:szCs w:val="18"/>
          <w:lang w:val="fr-CA"/>
        </w:rPr>
        <w:t>Eliassen, et al</w:t>
      </w:r>
      <w:r w:rsidR="00DE33EC" w:rsidRPr="00DE33EC">
        <w:rPr>
          <w:sz w:val="18"/>
          <w:szCs w:val="18"/>
          <w:lang w:val="fr-CA"/>
        </w:rPr>
        <w:t xml:space="preserve">. </w:t>
      </w:r>
      <w:hyperlink r:id="rId26">
        <w:r w:rsidR="00DE33EC" w:rsidRPr="00DE33EC">
          <w:rPr>
            <w:rFonts w:eastAsia="Arial"/>
            <w:sz w:val="18"/>
            <w:szCs w:val="18"/>
            <w:highlight w:val="white"/>
            <w:lang w:val="fr-CA"/>
          </w:rPr>
          <w:t>Clin Microbiol Infect.</w:t>
        </w:r>
      </w:hyperlink>
      <w:r w:rsidR="00DE33EC" w:rsidRPr="00DE33EC">
        <w:rPr>
          <w:rFonts w:eastAsia="Arial"/>
          <w:color w:val="000000"/>
          <w:sz w:val="18"/>
          <w:szCs w:val="18"/>
          <w:highlight w:val="white"/>
          <w:lang w:val="fr-CA"/>
        </w:rPr>
        <w:t> 2018 Dec; 24(12):1290-1296</w:t>
      </w:r>
      <w:r w:rsidR="00DE33EC">
        <w:rPr>
          <w:rFonts w:eastAsia="Arial"/>
          <w:color w:val="000000"/>
          <w:sz w:val="18"/>
          <w:szCs w:val="18"/>
          <w:lang w:val="fr-CA"/>
        </w:rPr>
        <w:t>; 2</w:t>
      </w:r>
      <w:r w:rsidRPr="007957CB">
        <w:rPr>
          <w:color w:val="000000"/>
          <w:sz w:val="18"/>
          <w:szCs w:val="18"/>
          <w:lang w:val="fr-CA"/>
        </w:rPr>
        <w:t xml:space="preserve">. Dattwyler, et al. Lancet. </w:t>
      </w:r>
      <w:r>
        <w:rPr>
          <w:color w:val="000000"/>
          <w:sz w:val="18"/>
          <w:szCs w:val="18"/>
        </w:rPr>
        <w:t>1990 Dec 8;336(8728):1404-6; 3. Massarotti, et al. Am J Med. 1992 Apr;92(4):396-403</w:t>
      </w:r>
      <w:r w:rsidR="00DE33EC">
        <w:rPr>
          <w:color w:val="000000"/>
          <w:sz w:val="18"/>
          <w:szCs w:val="18"/>
        </w:rPr>
        <w:t>.</w:t>
      </w:r>
    </w:p>
    <w:tbl>
      <w:tblPr>
        <w:tblStyle w:val="af0"/>
        <w:tblW w:w="1432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4"/>
        <w:gridCol w:w="828"/>
        <w:gridCol w:w="986"/>
        <w:gridCol w:w="991"/>
        <w:gridCol w:w="1140"/>
        <w:gridCol w:w="1065"/>
        <w:gridCol w:w="923"/>
        <w:gridCol w:w="1276"/>
        <w:gridCol w:w="1139"/>
        <w:gridCol w:w="1276"/>
        <w:gridCol w:w="51"/>
        <w:gridCol w:w="1792"/>
        <w:gridCol w:w="1086"/>
        <w:gridCol w:w="1043"/>
      </w:tblGrid>
      <w:tr w:rsidR="00FF641A" w14:paraId="3D521CFD" w14:textId="77777777" w:rsidTr="00E70FE5">
        <w:tc>
          <w:tcPr>
            <w:tcW w:w="6657"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01801CA4" w14:textId="77777777" w:rsidR="00FF641A" w:rsidRDefault="00FF641A" w:rsidP="00FF641A">
            <w:pPr>
              <w:ind w:right="90"/>
              <w:jc w:val="center"/>
              <w:rPr>
                <w:b/>
                <w:sz w:val="20"/>
                <w:szCs w:val="20"/>
              </w:rPr>
            </w:pPr>
            <w:r>
              <w:rPr>
                <w:b/>
                <w:sz w:val="20"/>
                <w:szCs w:val="20"/>
              </w:rPr>
              <w:t>Certainty assessment</w:t>
            </w:r>
          </w:p>
        </w:tc>
        <w:tc>
          <w:tcPr>
            <w:tcW w:w="2415"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AD78065" w14:textId="77777777" w:rsidR="00FF641A" w:rsidRDefault="00FF641A">
            <w:pPr>
              <w:jc w:val="center"/>
              <w:rPr>
                <w:b/>
                <w:sz w:val="20"/>
                <w:szCs w:val="20"/>
              </w:rPr>
            </w:pPr>
            <w:r>
              <w:rPr>
                <w:b/>
                <w:sz w:val="18"/>
                <w:szCs w:val="18"/>
              </w:rPr>
              <w:t>№ of Events/№ of patients</w:t>
            </w:r>
          </w:p>
        </w:tc>
        <w:tc>
          <w:tcPr>
            <w:tcW w:w="3119" w:type="dxa"/>
            <w:gridSpan w:val="3"/>
            <w:tcBorders>
              <w:top w:val="single" w:sz="6" w:space="0" w:color="000000"/>
              <w:left w:val="single" w:sz="6" w:space="0" w:color="000000"/>
              <w:bottom w:val="single" w:sz="6" w:space="0" w:color="000000"/>
              <w:right w:val="single" w:sz="6" w:space="0" w:color="000000"/>
            </w:tcBorders>
            <w:shd w:val="clear" w:color="auto" w:fill="DDDDDD"/>
            <w:vAlign w:val="center"/>
          </w:tcPr>
          <w:p w14:paraId="28655ABE" w14:textId="77777777" w:rsidR="00FF641A" w:rsidRDefault="00FF641A">
            <w:pPr>
              <w:jc w:val="center"/>
              <w:rPr>
                <w:b/>
                <w:sz w:val="20"/>
                <w:szCs w:val="20"/>
              </w:rPr>
            </w:pPr>
            <w:r>
              <w:rPr>
                <w:b/>
                <w:sz w:val="20"/>
                <w:szCs w:val="20"/>
              </w:rPr>
              <w:t>Effect</w:t>
            </w:r>
          </w:p>
        </w:tc>
        <w:tc>
          <w:tcPr>
            <w:tcW w:w="1086" w:type="dxa"/>
            <w:vMerge w:val="restart"/>
            <w:tcBorders>
              <w:left w:val="single" w:sz="6" w:space="0" w:color="000000"/>
              <w:right w:val="single" w:sz="6" w:space="0" w:color="000000"/>
            </w:tcBorders>
            <w:shd w:val="clear" w:color="auto" w:fill="DDDDDD"/>
            <w:vAlign w:val="center"/>
          </w:tcPr>
          <w:p w14:paraId="5356E4E8" w14:textId="77777777" w:rsidR="00FF641A" w:rsidRDefault="00FF641A" w:rsidP="00FF641A">
            <w:pPr>
              <w:jc w:val="center"/>
              <w:rPr>
                <w:b/>
                <w:sz w:val="20"/>
                <w:szCs w:val="20"/>
              </w:rPr>
            </w:pPr>
            <w:r>
              <w:rPr>
                <w:b/>
                <w:sz w:val="20"/>
                <w:szCs w:val="20"/>
              </w:rPr>
              <w:t>Certainty</w:t>
            </w:r>
          </w:p>
        </w:tc>
        <w:tc>
          <w:tcPr>
            <w:tcW w:w="1041" w:type="dxa"/>
            <w:vMerge w:val="restart"/>
            <w:tcBorders>
              <w:left w:val="single" w:sz="6" w:space="0" w:color="000000"/>
              <w:right w:val="single" w:sz="6" w:space="0" w:color="000000"/>
            </w:tcBorders>
            <w:shd w:val="clear" w:color="auto" w:fill="DDDDDD"/>
            <w:vAlign w:val="center"/>
          </w:tcPr>
          <w:p w14:paraId="47986B1D" w14:textId="77777777" w:rsidR="00FF641A" w:rsidRDefault="00FF641A" w:rsidP="00FF641A">
            <w:pPr>
              <w:jc w:val="center"/>
              <w:rPr>
                <w:b/>
                <w:sz w:val="20"/>
                <w:szCs w:val="20"/>
              </w:rPr>
            </w:pPr>
            <w:r>
              <w:rPr>
                <w:b/>
                <w:sz w:val="20"/>
                <w:szCs w:val="20"/>
              </w:rPr>
              <w:t>Importance</w:t>
            </w:r>
          </w:p>
        </w:tc>
      </w:tr>
      <w:tr w:rsidR="00FF641A" w14:paraId="37073F7A" w14:textId="77777777" w:rsidTr="00E70FE5">
        <w:tc>
          <w:tcPr>
            <w:tcW w:w="72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22EED81" w14:textId="77777777" w:rsidR="00FF641A" w:rsidRDefault="00FF641A">
            <w:pPr>
              <w:jc w:val="center"/>
              <w:rPr>
                <w:b/>
                <w:sz w:val="20"/>
                <w:szCs w:val="20"/>
              </w:rPr>
            </w:pPr>
            <w:r>
              <w:rPr>
                <w:b/>
                <w:sz w:val="20"/>
                <w:szCs w:val="20"/>
              </w:rPr>
              <w:t>№ of studies</w:t>
            </w:r>
          </w:p>
        </w:tc>
        <w:tc>
          <w:tcPr>
            <w:tcW w:w="82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D5A2E4E" w14:textId="77777777" w:rsidR="00FF641A" w:rsidRDefault="00FF641A">
            <w:pPr>
              <w:jc w:val="center"/>
              <w:rPr>
                <w:b/>
                <w:sz w:val="20"/>
                <w:szCs w:val="20"/>
              </w:rPr>
            </w:pPr>
            <w:r>
              <w:rPr>
                <w:b/>
                <w:sz w:val="20"/>
                <w:szCs w:val="20"/>
              </w:rPr>
              <w:t>Study design</w:t>
            </w:r>
          </w:p>
        </w:tc>
        <w:tc>
          <w:tcPr>
            <w:tcW w:w="98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7AF21E7" w14:textId="77777777" w:rsidR="00FF641A" w:rsidRDefault="00FF641A">
            <w:pPr>
              <w:jc w:val="center"/>
              <w:rPr>
                <w:b/>
                <w:sz w:val="20"/>
                <w:szCs w:val="20"/>
              </w:rPr>
            </w:pPr>
            <w:r>
              <w:rPr>
                <w:b/>
                <w:sz w:val="20"/>
                <w:szCs w:val="20"/>
              </w:rPr>
              <w:t>Risk of bias</w:t>
            </w:r>
          </w:p>
        </w:tc>
        <w:tc>
          <w:tcPr>
            <w:tcW w:w="99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4B48445" w14:textId="77777777" w:rsidR="00FF641A" w:rsidRDefault="00FF641A">
            <w:pPr>
              <w:jc w:val="center"/>
              <w:rPr>
                <w:b/>
                <w:sz w:val="20"/>
                <w:szCs w:val="20"/>
              </w:rPr>
            </w:pPr>
            <w:r>
              <w:rPr>
                <w:b/>
                <w:sz w:val="20"/>
                <w:szCs w:val="20"/>
              </w:rPr>
              <w:t>Inconsistency</w:t>
            </w:r>
          </w:p>
        </w:tc>
        <w:tc>
          <w:tcPr>
            <w:tcW w:w="1140"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C430D87" w14:textId="77777777" w:rsidR="00FF641A" w:rsidRDefault="00FF641A">
            <w:pPr>
              <w:jc w:val="center"/>
              <w:rPr>
                <w:b/>
                <w:sz w:val="20"/>
                <w:szCs w:val="20"/>
              </w:rPr>
            </w:pPr>
            <w:r>
              <w:rPr>
                <w:b/>
                <w:sz w:val="20"/>
                <w:szCs w:val="20"/>
              </w:rPr>
              <w:t>Indirectness</w:t>
            </w:r>
          </w:p>
        </w:tc>
        <w:tc>
          <w:tcPr>
            <w:tcW w:w="106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36AD24D" w14:textId="77777777" w:rsidR="00FF641A" w:rsidRDefault="00FF641A">
            <w:pPr>
              <w:jc w:val="center"/>
              <w:rPr>
                <w:b/>
                <w:sz w:val="20"/>
                <w:szCs w:val="20"/>
              </w:rPr>
            </w:pPr>
            <w:r>
              <w:rPr>
                <w:b/>
                <w:sz w:val="20"/>
                <w:szCs w:val="20"/>
              </w:rPr>
              <w:t>Imprecision</w:t>
            </w:r>
          </w:p>
        </w:tc>
        <w:tc>
          <w:tcPr>
            <w:tcW w:w="92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412C14C" w14:textId="77777777" w:rsidR="00FF641A" w:rsidRDefault="00FF641A">
            <w:pPr>
              <w:jc w:val="center"/>
              <w:rPr>
                <w:b/>
                <w:sz w:val="20"/>
                <w:szCs w:val="20"/>
              </w:rPr>
            </w:pPr>
            <w:r>
              <w:rPr>
                <w:b/>
                <w:sz w:val="20"/>
                <w:szCs w:val="20"/>
              </w:rPr>
              <w:t>Other considerations</w:t>
            </w:r>
          </w:p>
        </w:tc>
        <w:tc>
          <w:tcPr>
            <w:tcW w:w="127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E8E349C" w14:textId="77777777" w:rsidR="00FF641A" w:rsidRDefault="00FF641A">
            <w:pPr>
              <w:jc w:val="center"/>
              <w:rPr>
                <w:b/>
                <w:sz w:val="20"/>
                <w:szCs w:val="20"/>
              </w:rPr>
            </w:pPr>
            <w:r>
              <w:rPr>
                <w:b/>
                <w:sz w:val="20"/>
                <w:szCs w:val="20"/>
              </w:rPr>
              <w:t>Doxycycline</w:t>
            </w:r>
          </w:p>
        </w:tc>
        <w:tc>
          <w:tcPr>
            <w:tcW w:w="113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08520C3" w14:textId="77777777" w:rsidR="00FF641A" w:rsidRDefault="00FF641A">
            <w:pPr>
              <w:jc w:val="center"/>
              <w:rPr>
                <w:b/>
                <w:sz w:val="20"/>
                <w:szCs w:val="20"/>
              </w:rPr>
            </w:pPr>
            <w:r>
              <w:rPr>
                <w:b/>
                <w:sz w:val="20"/>
                <w:szCs w:val="20"/>
              </w:rPr>
              <w:t>Amoxicillin</w:t>
            </w:r>
          </w:p>
        </w:tc>
        <w:tc>
          <w:tcPr>
            <w:tcW w:w="127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E469562" w14:textId="77777777" w:rsidR="00FF641A" w:rsidRDefault="00FF641A">
            <w:pPr>
              <w:jc w:val="center"/>
              <w:rPr>
                <w:b/>
                <w:sz w:val="20"/>
                <w:szCs w:val="20"/>
              </w:rPr>
            </w:pPr>
            <w:r>
              <w:rPr>
                <w:b/>
                <w:sz w:val="20"/>
                <w:szCs w:val="20"/>
              </w:rPr>
              <w:t>Relative</w:t>
            </w:r>
            <w:r>
              <w:rPr>
                <w:b/>
                <w:sz w:val="20"/>
                <w:szCs w:val="20"/>
              </w:rPr>
              <w:br/>
              <w:t>(95% CI)</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64DDA173" w14:textId="77777777" w:rsidR="00FF641A" w:rsidRDefault="00FF641A">
            <w:pPr>
              <w:jc w:val="center"/>
              <w:rPr>
                <w:b/>
                <w:sz w:val="20"/>
                <w:szCs w:val="20"/>
              </w:rPr>
            </w:pPr>
            <w:r>
              <w:rPr>
                <w:b/>
                <w:sz w:val="20"/>
                <w:szCs w:val="20"/>
              </w:rPr>
              <w:t>Absolute</w:t>
            </w:r>
            <w:r>
              <w:rPr>
                <w:b/>
                <w:sz w:val="20"/>
                <w:szCs w:val="20"/>
              </w:rPr>
              <w:br/>
              <w:t>(95% CI)</w:t>
            </w:r>
          </w:p>
        </w:tc>
        <w:tc>
          <w:tcPr>
            <w:tcW w:w="1086" w:type="dxa"/>
            <w:vMerge/>
            <w:tcBorders>
              <w:left w:val="single" w:sz="6" w:space="0" w:color="000000"/>
              <w:bottom w:val="single" w:sz="6" w:space="0" w:color="000000"/>
              <w:right w:val="single" w:sz="6" w:space="0" w:color="000000"/>
            </w:tcBorders>
            <w:shd w:val="clear" w:color="auto" w:fill="DDDDDD"/>
            <w:vAlign w:val="center"/>
          </w:tcPr>
          <w:p w14:paraId="2587923E" w14:textId="77777777" w:rsidR="00FF641A" w:rsidRDefault="00FF641A">
            <w:pPr>
              <w:rPr>
                <w:b/>
                <w:sz w:val="20"/>
                <w:szCs w:val="20"/>
              </w:rPr>
            </w:pPr>
          </w:p>
        </w:tc>
        <w:tc>
          <w:tcPr>
            <w:tcW w:w="1041" w:type="dxa"/>
            <w:vMerge/>
            <w:tcBorders>
              <w:left w:val="single" w:sz="6" w:space="0" w:color="000000"/>
              <w:bottom w:val="single" w:sz="6" w:space="0" w:color="000000"/>
              <w:right w:val="single" w:sz="6" w:space="0" w:color="000000"/>
            </w:tcBorders>
            <w:shd w:val="clear" w:color="auto" w:fill="DDDDDD"/>
            <w:vAlign w:val="center"/>
          </w:tcPr>
          <w:p w14:paraId="5D0229B7" w14:textId="77777777" w:rsidR="00FF641A" w:rsidRDefault="00FF641A">
            <w:pPr>
              <w:rPr>
                <w:b/>
                <w:sz w:val="20"/>
                <w:szCs w:val="20"/>
              </w:rPr>
            </w:pPr>
          </w:p>
        </w:tc>
      </w:tr>
      <w:tr w:rsidR="002D58E4" w14:paraId="219C5ED9"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2C1AF7AC" w14:textId="77777777" w:rsidR="002D58E4" w:rsidRDefault="00F721D4">
            <w:pPr>
              <w:rPr>
                <w:sz w:val="20"/>
                <w:szCs w:val="20"/>
              </w:rPr>
            </w:pPr>
            <w:r>
              <w:rPr>
                <w:b/>
                <w:sz w:val="20"/>
                <w:szCs w:val="20"/>
              </w:rPr>
              <w:t xml:space="preserve">Resolution of Erythema Migrans </w:t>
            </w:r>
            <w:r>
              <w:rPr>
                <w:sz w:val="20"/>
                <w:szCs w:val="20"/>
              </w:rPr>
              <w:t xml:space="preserve">(at 10 days (Massarotti, 1992) to 14 days (Eliassen, 2018)) </w:t>
            </w:r>
          </w:p>
        </w:tc>
      </w:tr>
      <w:tr w:rsidR="002D58E4" w14:paraId="71A29E0E" w14:textId="77777777" w:rsidTr="00E70FE5">
        <w:tc>
          <w:tcPr>
            <w:tcW w:w="724" w:type="dxa"/>
            <w:tcBorders>
              <w:top w:val="single" w:sz="6" w:space="0" w:color="000000"/>
              <w:left w:val="single" w:sz="6" w:space="0" w:color="000000"/>
              <w:bottom w:val="single" w:sz="6" w:space="0" w:color="000000"/>
              <w:right w:val="single" w:sz="6" w:space="0" w:color="000000"/>
            </w:tcBorders>
          </w:tcPr>
          <w:p w14:paraId="06EF6AC0"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29DEF8E8" w14:textId="77777777" w:rsidR="002D58E4" w:rsidRDefault="00F721D4">
            <w:pPr>
              <w:rPr>
                <w:sz w:val="20"/>
                <w:szCs w:val="20"/>
              </w:rPr>
            </w:pPr>
            <w:r>
              <w:rPr>
                <w:sz w:val="20"/>
                <w:szCs w:val="20"/>
              </w:rPr>
              <w:t xml:space="preserve">RCT </w:t>
            </w:r>
            <w:r>
              <w:rPr>
                <w:sz w:val="20"/>
                <w:szCs w:val="20"/>
                <w:vertAlign w:val="superscript"/>
              </w:rPr>
              <w:t>1,3</w:t>
            </w:r>
          </w:p>
        </w:tc>
        <w:tc>
          <w:tcPr>
            <w:tcW w:w="986" w:type="dxa"/>
            <w:tcBorders>
              <w:top w:val="single" w:sz="6" w:space="0" w:color="000000"/>
              <w:left w:val="single" w:sz="6" w:space="0" w:color="000000"/>
              <w:bottom w:val="single" w:sz="6" w:space="0" w:color="000000"/>
              <w:right w:val="single" w:sz="6" w:space="0" w:color="000000"/>
            </w:tcBorders>
          </w:tcPr>
          <w:p w14:paraId="69FF95C0" w14:textId="77777777" w:rsidR="002D58E4" w:rsidRDefault="00F721D4">
            <w:pPr>
              <w:rPr>
                <w:sz w:val="20"/>
                <w:szCs w:val="20"/>
              </w:rPr>
            </w:pPr>
            <w:r>
              <w:rPr>
                <w:sz w:val="20"/>
                <w:szCs w:val="20"/>
              </w:rPr>
              <w:t xml:space="preserve">serious </w:t>
            </w:r>
            <w:r>
              <w:rPr>
                <w:sz w:val="20"/>
                <w:szCs w:val="20"/>
                <w:vertAlign w:val="superscript"/>
              </w:rPr>
              <w:t>a</w:t>
            </w:r>
          </w:p>
        </w:tc>
        <w:tc>
          <w:tcPr>
            <w:tcW w:w="991" w:type="dxa"/>
            <w:tcBorders>
              <w:top w:val="single" w:sz="6" w:space="0" w:color="000000"/>
              <w:left w:val="single" w:sz="6" w:space="0" w:color="000000"/>
              <w:bottom w:val="single" w:sz="6" w:space="0" w:color="000000"/>
              <w:right w:val="single" w:sz="6" w:space="0" w:color="000000"/>
            </w:tcBorders>
          </w:tcPr>
          <w:p w14:paraId="0D20CCCE" w14:textId="77777777" w:rsidR="002D58E4" w:rsidRDefault="00F721D4">
            <w:pPr>
              <w:rPr>
                <w:sz w:val="20"/>
                <w:szCs w:val="20"/>
              </w:rPr>
            </w:pPr>
            <w:r>
              <w:rPr>
                <w:sz w:val="20"/>
                <w:szCs w:val="20"/>
              </w:rPr>
              <w:t xml:space="preserve">serious </w:t>
            </w:r>
            <w:r>
              <w:rPr>
                <w:sz w:val="20"/>
                <w:szCs w:val="20"/>
                <w:vertAlign w:val="superscript"/>
              </w:rPr>
              <w:t>b</w:t>
            </w:r>
          </w:p>
        </w:tc>
        <w:tc>
          <w:tcPr>
            <w:tcW w:w="1140" w:type="dxa"/>
            <w:tcBorders>
              <w:top w:val="single" w:sz="6" w:space="0" w:color="000000"/>
              <w:left w:val="single" w:sz="6" w:space="0" w:color="000000"/>
              <w:bottom w:val="single" w:sz="6" w:space="0" w:color="000000"/>
              <w:right w:val="single" w:sz="6" w:space="0" w:color="000000"/>
            </w:tcBorders>
          </w:tcPr>
          <w:p w14:paraId="3E5DBD73"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2D39AA9D" w14:textId="77777777" w:rsidR="002D58E4" w:rsidRDefault="00F721D4">
            <w:pPr>
              <w:rPr>
                <w:sz w:val="20"/>
                <w:szCs w:val="20"/>
              </w:rPr>
            </w:pPr>
            <w:r>
              <w:rPr>
                <w:sz w:val="20"/>
                <w:szCs w:val="20"/>
              </w:rPr>
              <w:t xml:space="preserve">not serious </w:t>
            </w:r>
            <w:r>
              <w:rPr>
                <w:sz w:val="20"/>
                <w:szCs w:val="20"/>
                <w:vertAlign w:val="superscript"/>
              </w:rPr>
              <w:t>c</w:t>
            </w:r>
          </w:p>
        </w:tc>
        <w:tc>
          <w:tcPr>
            <w:tcW w:w="923" w:type="dxa"/>
            <w:tcBorders>
              <w:top w:val="single" w:sz="6" w:space="0" w:color="000000"/>
              <w:left w:val="single" w:sz="6" w:space="0" w:color="000000"/>
              <w:bottom w:val="single" w:sz="6" w:space="0" w:color="000000"/>
              <w:right w:val="single" w:sz="6" w:space="0" w:color="000000"/>
            </w:tcBorders>
          </w:tcPr>
          <w:p w14:paraId="1853079A"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44576C1F" w14:textId="77777777" w:rsidR="002D58E4" w:rsidRDefault="00F721D4">
            <w:pPr>
              <w:jc w:val="center"/>
              <w:rPr>
                <w:sz w:val="20"/>
                <w:szCs w:val="20"/>
              </w:rPr>
            </w:pPr>
            <w:r>
              <w:rPr>
                <w:sz w:val="20"/>
                <w:szCs w:val="20"/>
              </w:rPr>
              <w:t xml:space="preserve">83/90 </w:t>
            </w:r>
          </w:p>
          <w:p w14:paraId="68DBBE8C" w14:textId="77777777" w:rsidR="002D58E4" w:rsidRDefault="00F721D4">
            <w:pPr>
              <w:jc w:val="center"/>
              <w:rPr>
                <w:sz w:val="20"/>
                <w:szCs w:val="20"/>
              </w:rPr>
            </w:pPr>
            <w:r>
              <w:rPr>
                <w:sz w:val="20"/>
                <w:szCs w:val="20"/>
              </w:rPr>
              <w:t xml:space="preserve">(92.2%) </w:t>
            </w:r>
          </w:p>
        </w:tc>
        <w:tc>
          <w:tcPr>
            <w:tcW w:w="1139" w:type="dxa"/>
            <w:tcBorders>
              <w:top w:val="single" w:sz="6" w:space="0" w:color="000000"/>
              <w:left w:val="single" w:sz="6" w:space="0" w:color="000000"/>
              <w:bottom w:val="single" w:sz="6" w:space="0" w:color="000000"/>
              <w:right w:val="single" w:sz="6" w:space="0" w:color="000000"/>
            </w:tcBorders>
          </w:tcPr>
          <w:p w14:paraId="5129E02B" w14:textId="77777777" w:rsidR="002D58E4" w:rsidRDefault="00F721D4">
            <w:pPr>
              <w:jc w:val="center"/>
              <w:rPr>
                <w:sz w:val="20"/>
                <w:szCs w:val="20"/>
              </w:rPr>
            </w:pPr>
            <w:r>
              <w:rPr>
                <w:sz w:val="20"/>
                <w:szCs w:val="20"/>
              </w:rPr>
              <w:t xml:space="preserve">78/82 </w:t>
            </w:r>
          </w:p>
          <w:p w14:paraId="4E89AD42" w14:textId="77777777" w:rsidR="002D58E4" w:rsidRDefault="00F721D4">
            <w:pPr>
              <w:jc w:val="center"/>
              <w:rPr>
                <w:sz w:val="20"/>
                <w:szCs w:val="20"/>
              </w:rPr>
            </w:pPr>
            <w:r>
              <w:rPr>
                <w:sz w:val="20"/>
                <w:szCs w:val="20"/>
              </w:rPr>
              <w:t xml:space="preserve">(95.1%) </w:t>
            </w:r>
          </w:p>
        </w:tc>
        <w:tc>
          <w:tcPr>
            <w:tcW w:w="1276" w:type="dxa"/>
            <w:tcBorders>
              <w:top w:val="single" w:sz="6" w:space="0" w:color="000000"/>
              <w:left w:val="single" w:sz="6" w:space="0" w:color="000000"/>
              <w:bottom w:val="single" w:sz="6" w:space="0" w:color="000000"/>
              <w:right w:val="single" w:sz="6" w:space="0" w:color="000000"/>
            </w:tcBorders>
          </w:tcPr>
          <w:p w14:paraId="12C89C70" w14:textId="77777777" w:rsidR="002D58E4" w:rsidRDefault="00F721D4">
            <w:pPr>
              <w:jc w:val="center"/>
              <w:rPr>
                <w:sz w:val="20"/>
                <w:szCs w:val="20"/>
              </w:rPr>
            </w:pPr>
            <w:r>
              <w:rPr>
                <w:sz w:val="20"/>
                <w:szCs w:val="20"/>
              </w:rPr>
              <w:t>0.97</w:t>
            </w:r>
          </w:p>
          <w:p w14:paraId="352637E6" w14:textId="77777777" w:rsidR="002D58E4" w:rsidRDefault="00F721D4">
            <w:pPr>
              <w:jc w:val="center"/>
              <w:rPr>
                <w:sz w:val="20"/>
                <w:szCs w:val="20"/>
              </w:rPr>
            </w:pPr>
            <w:r>
              <w:rPr>
                <w:sz w:val="20"/>
                <w:szCs w:val="20"/>
              </w:rPr>
              <w:t>(0.90 to 1.05)</w:t>
            </w:r>
          </w:p>
        </w:tc>
        <w:tc>
          <w:tcPr>
            <w:tcW w:w="1843" w:type="dxa"/>
            <w:gridSpan w:val="2"/>
            <w:tcBorders>
              <w:top w:val="single" w:sz="6" w:space="0" w:color="000000"/>
              <w:left w:val="single" w:sz="6" w:space="0" w:color="000000"/>
              <w:bottom w:val="single" w:sz="6" w:space="0" w:color="000000"/>
              <w:right w:val="single" w:sz="6" w:space="0" w:color="000000"/>
            </w:tcBorders>
          </w:tcPr>
          <w:p w14:paraId="163B49C6" w14:textId="77777777" w:rsidR="002D58E4" w:rsidRDefault="00F721D4">
            <w:pPr>
              <w:jc w:val="center"/>
              <w:rPr>
                <w:sz w:val="20"/>
                <w:szCs w:val="20"/>
              </w:rPr>
            </w:pPr>
            <w:r>
              <w:rPr>
                <w:sz w:val="20"/>
                <w:szCs w:val="20"/>
              </w:rPr>
              <w:t>29 fewer per 1,000</w:t>
            </w:r>
          </w:p>
          <w:p w14:paraId="7B89F4E3" w14:textId="77777777" w:rsidR="002D58E4" w:rsidRDefault="00F721D4">
            <w:pPr>
              <w:jc w:val="center"/>
              <w:rPr>
                <w:sz w:val="20"/>
                <w:szCs w:val="20"/>
              </w:rPr>
            </w:pPr>
            <w:r>
              <w:rPr>
                <w:sz w:val="20"/>
                <w:szCs w:val="20"/>
              </w:rPr>
              <w:t>(101 fewer to 43 more)</w:t>
            </w:r>
          </w:p>
        </w:tc>
        <w:tc>
          <w:tcPr>
            <w:tcW w:w="1086" w:type="dxa"/>
            <w:tcBorders>
              <w:top w:val="single" w:sz="6" w:space="0" w:color="000000"/>
              <w:left w:val="single" w:sz="6" w:space="0" w:color="000000"/>
              <w:bottom w:val="single" w:sz="6" w:space="0" w:color="000000"/>
              <w:right w:val="single" w:sz="6" w:space="0" w:color="000000"/>
            </w:tcBorders>
          </w:tcPr>
          <w:p w14:paraId="76849F0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41" w:type="dxa"/>
            <w:tcBorders>
              <w:top w:val="single" w:sz="6" w:space="0" w:color="000000"/>
              <w:left w:val="single" w:sz="6" w:space="0" w:color="000000"/>
              <w:bottom w:val="single" w:sz="6" w:space="0" w:color="000000"/>
              <w:right w:val="single" w:sz="6" w:space="0" w:color="000000"/>
            </w:tcBorders>
          </w:tcPr>
          <w:p w14:paraId="58D4AAA0" w14:textId="77777777" w:rsidR="002D58E4" w:rsidRDefault="00F721D4">
            <w:pPr>
              <w:rPr>
                <w:sz w:val="20"/>
                <w:szCs w:val="20"/>
              </w:rPr>
            </w:pPr>
            <w:r>
              <w:rPr>
                <w:sz w:val="20"/>
                <w:szCs w:val="20"/>
              </w:rPr>
              <w:t xml:space="preserve">CRITICAL </w:t>
            </w:r>
          </w:p>
        </w:tc>
      </w:tr>
      <w:tr w:rsidR="002D58E4" w14:paraId="53315326"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06966870" w14:textId="77777777" w:rsidR="002D58E4" w:rsidRDefault="00F721D4">
            <w:pPr>
              <w:rPr>
                <w:sz w:val="20"/>
                <w:szCs w:val="20"/>
              </w:rPr>
            </w:pPr>
            <w:r>
              <w:rPr>
                <w:b/>
                <w:sz w:val="20"/>
                <w:szCs w:val="20"/>
              </w:rPr>
              <w:t xml:space="preserve">Time to Resolution of Erythema Migrans </w:t>
            </w:r>
            <w:r>
              <w:rPr>
                <w:sz w:val="20"/>
                <w:szCs w:val="20"/>
              </w:rPr>
              <w:t>(Days since treatment initiation: Higher values indicate longer resolution time.)</w:t>
            </w:r>
          </w:p>
        </w:tc>
      </w:tr>
      <w:tr w:rsidR="002D58E4" w14:paraId="2002AC20" w14:textId="77777777" w:rsidTr="00E70FE5">
        <w:tc>
          <w:tcPr>
            <w:tcW w:w="724" w:type="dxa"/>
            <w:tcBorders>
              <w:top w:val="single" w:sz="6" w:space="0" w:color="000000"/>
              <w:left w:val="single" w:sz="6" w:space="0" w:color="000000"/>
              <w:bottom w:val="single" w:sz="6" w:space="0" w:color="000000"/>
              <w:right w:val="single" w:sz="6" w:space="0" w:color="000000"/>
            </w:tcBorders>
          </w:tcPr>
          <w:p w14:paraId="264FB711" w14:textId="77777777" w:rsidR="002D58E4" w:rsidRDefault="00F721D4">
            <w:pPr>
              <w:rPr>
                <w:sz w:val="20"/>
                <w:szCs w:val="20"/>
              </w:rPr>
            </w:pPr>
            <w:r>
              <w:rPr>
                <w:sz w:val="20"/>
                <w:szCs w:val="20"/>
              </w:rPr>
              <w:t xml:space="preserve">1 </w:t>
            </w:r>
          </w:p>
        </w:tc>
        <w:tc>
          <w:tcPr>
            <w:tcW w:w="828" w:type="dxa"/>
            <w:tcBorders>
              <w:top w:val="single" w:sz="6" w:space="0" w:color="000000"/>
              <w:left w:val="single" w:sz="6" w:space="0" w:color="000000"/>
              <w:bottom w:val="single" w:sz="6" w:space="0" w:color="000000"/>
              <w:right w:val="single" w:sz="6" w:space="0" w:color="000000"/>
            </w:tcBorders>
          </w:tcPr>
          <w:p w14:paraId="5B2ECDFB" w14:textId="77777777" w:rsidR="002D58E4" w:rsidRDefault="00F721D4">
            <w:pPr>
              <w:rPr>
                <w:sz w:val="20"/>
                <w:szCs w:val="20"/>
              </w:rPr>
            </w:pPr>
            <w:r>
              <w:rPr>
                <w:sz w:val="20"/>
                <w:szCs w:val="20"/>
              </w:rPr>
              <w:t xml:space="preserve">RCT </w:t>
            </w:r>
            <w:r>
              <w:rPr>
                <w:sz w:val="20"/>
                <w:szCs w:val="20"/>
                <w:vertAlign w:val="superscript"/>
              </w:rPr>
              <w:t>1</w:t>
            </w:r>
          </w:p>
        </w:tc>
        <w:tc>
          <w:tcPr>
            <w:tcW w:w="986" w:type="dxa"/>
            <w:tcBorders>
              <w:top w:val="single" w:sz="6" w:space="0" w:color="000000"/>
              <w:left w:val="single" w:sz="6" w:space="0" w:color="000000"/>
              <w:bottom w:val="single" w:sz="6" w:space="0" w:color="000000"/>
              <w:right w:val="single" w:sz="6" w:space="0" w:color="000000"/>
            </w:tcBorders>
          </w:tcPr>
          <w:p w14:paraId="2DA108FA" w14:textId="77777777" w:rsidR="002D58E4" w:rsidRDefault="00F721D4">
            <w:pPr>
              <w:rPr>
                <w:sz w:val="20"/>
                <w:szCs w:val="20"/>
              </w:rPr>
            </w:pPr>
            <w:r>
              <w:rPr>
                <w:sz w:val="20"/>
                <w:szCs w:val="20"/>
              </w:rPr>
              <w:t>not serious</w:t>
            </w:r>
          </w:p>
        </w:tc>
        <w:tc>
          <w:tcPr>
            <w:tcW w:w="991" w:type="dxa"/>
            <w:tcBorders>
              <w:top w:val="single" w:sz="6" w:space="0" w:color="000000"/>
              <w:left w:val="single" w:sz="6" w:space="0" w:color="000000"/>
              <w:bottom w:val="single" w:sz="6" w:space="0" w:color="000000"/>
              <w:right w:val="single" w:sz="6" w:space="0" w:color="000000"/>
            </w:tcBorders>
          </w:tcPr>
          <w:p w14:paraId="15E21CCA" w14:textId="77777777" w:rsidR="002D58E4" w:rsidRDefault="00F721D4">
            <w:pPr>
              <w:rPr>
                <w:sz w:val="20"/>
                <w:szCs w:val="20"/>
              </w:rPr>
            </w:pPr>
            <w:r>
              <w:rPr>
                <w:sz w:val="20"/>
                <w:szCs w:val="20"/>
              </w:rPr>
              <w:t xml:space="preserve">not serious </w:t>
            </w:r>
          </w:p>
        </w:tc>
        <w:tc>
          <w:tcPr>
            <w:tcW w:w="1140" w:type="dxa"/>
            <w:tcBorders>
              <w:top w:val="single" w:sz="6" w:space="0" w:color="000000"/>
              <w:left w:val="single" w:sz="6" w:space="0" w:color="000000"/>
              <w:bottom w:val="single" w:sz="6" w:space="0" w:color="000000"/>
              <w:right w:val="single" w:sz="6" w:space="0" w:color="000000"/>
            </w:tcBorders>
          </w:tcPr>
          <w:p w14:paraId="1E772D2E"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5D0CEF3D" w14:textId="77777777" w:rsidR="002D58E4" w:rsidRDefault="00F721D4">
            <w:pPr>
              <w:rPr>
                <w:sz w:val="20"/>
                <w:szCs w:val="20"/>
              </w:rPr>
            </w:pPr>
            <w:r>
              <w:rPr>
                <w:sz w:val="20"/>
                <w:szCs w:val="20"/>
              </w:rPr>
              <w:t xml:space="preserve">serious </w:t>
            </w:r>
            <w:r>
              <w:rPr>
                <w:sz w:val="20"/>
                <w:szCs w:val="20"/>
                <w:vertAlign w:val="superscript"/>
              </w:rPr>
              <w:t>d</w:t>
            </w:r>
          </w:p>
        </w:tc>
        <w:tc>
          <w:tcPr>
            <w:tcW w:w="923" w:type="dxa"/>
            <w:tcBorders>
              <w:top w:val="single" w:sz="6" w:space="0" w:color="000000"/>
              <w:left w:val="single" w:sz="6" w:space="0" w:color="000000"/>
              <w:bottom w:val="single" w:sz="6" w:space="0" w:color="000000"/>
              <w:right w:val="single" w:sz="6" w:space="0" w:color="000000"/>
            </w:tcBorders>
          </w:tcPr>
          <w:p w14:paraId="5442D379"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22B79A68" w14:textId="77777777" w:rsidR="002D58E4" w:rsidRDefault="00F721D4">
            <w:pPr>
              <w:jc w:val="center"/>
              <w:rPr>
                <w:sz w:val="20"/>
                <w:szCs w:val="20"/>
              </w:rPr>
            </w:pPr>
            <w:r>
              <w:rPr>
                <w:sz w:val="20"/>
                <w:szCs w:val="20"/>
              </w:rPr>
              <w:t xml:space="preserve">Mean days: </w:t>
            </w:r>
          </w:p>
          <w:p w14:paraId="78AB4C43" w14:textId="77777777" w:rsidR="002D58E4" w:rsidRDefault="00F721D4">
            <w:pPr>
              <w:jc w:val="center"/>
              <w:rPr>
                <w:sz w:val="20"/>
                <w:szCs w:val="20"/>
              </w:rPr>
            </w:pPr>
            <w:r>
              <w:rPr>
                <w:sz w:val="20"/>
                <w:szCs w:val="20"/>
              </w:rPr>
              <w:t>81</w:t>
            </w:r>
          </w:p>
        </w:tc>
        <w:tc>
          <w:tcPr>
            <w:tcW w:w="1139" w:type="dxa"/>
            <w:tcBorders>
              <w:top w:val="single" w:sz="6" w:space="0" w:color="000000"/>
              <w:left w:val="single" w:sz="6" w:space="0" w:color="000000"/>
              <w:bottom w:val="single" w:sz="6" w:space="0" w:color="000000"/>
              <w:right w:val="single" w:sz="6" w:space="0" w:color="000000"/>
            </w:tcBorders>
          </w:tcPr>
          <w:p w14:paraId="5E99A74A" w14:textId="77777777" w:rsidR="002D58E4" w:rsidRDefault="00F721D4">
            <w:pPr>
              <w:jc w:val="center"/>
              <w:rPr>
                <w:sz w:val="20"/>
                <w:szCs w:val="20"/>
              </w:rPr>
            </w:pPr>
            <w:r>
              <w:rPr>
                <w:sz w:val="20"/>
                <w:szCs w:val="20"/>
              </w:rPr>
              <w:t>Mean days:</w:t>
            </w:r>
          </w:p>
          <w:p w14:paraId="47B3B2F3" w14:textId="77777777" w:rsidR="002D58E4" w:rsidRDefault="00F721D4">
            <w:pPr>
              <w:jc w:val="center"/>
              <w:rPr>
                <w:sz w:val="20"/>
                <w:szCs w:val="20"/>
              </w:rPr>
            </w:pPr>
            <w:r>
              <w:rPr>
                <w:sz w:val="20"/>
                <w:szCs w:val="20"/>
              </w:rPr>
              <w:t xml:space="preserve"> 52</w:t>
            </w:r>
          </w:p>
        </w:tc>
        <w:tc>
          <w:tcPr>
            <w:tcW w:w="3119" w:type="dxa"/>
            <w:gridSpan w:val="3"/>
            <w:tcBorders>
              <w:top w:val="single" w:sz="6" w:space="0" w:color="000000"/>
              <w:left w:val="single" w:sz="6" w:space="0" w:color="000000"/>
              <w:bottom w:val="single" w:sz="6" w:space="0" w:color="000000"/>
              <w:right w:val="single" w:sz="6" w:space="0" w:color="000000"/>
            </w:tcBorders>
          </w:tcPr>
          <w:p w14:paraId="53E4F1C9" w14:textId="77777777" w:rsidR="002D58E4" w:rsidRDefault="00F721D4">
            <w:pPr>
              <w:jc w:val="center"/>
              <w:rPr>
                <w:b/>
                <w:sz w:val="20"/>
                <w:szCs w:val="20"/>
              </w:rPr>
            </w:pPr>
            <w:r>
              <w:rPr>
                <w:b/>
                <w:sz w:val="20"/>
                <w:szCs w:val="20"/>
              </w:rPr>
              <w:t>MD 28.75 higher</w:t>
            </w:r>
            <w:r>
              <w:rPr>
                <w:b/>
                <w:sz w:val="20"/>
                <w:szCs w:val="20"/>
              </w:rPr>
              <w:br/>
              <w:t xml:space="preserve">(5.32 higher to 52.18 higher) </w:t>
            </w:r>
          </w:p>
        </w:tc>
        <w:tc>
          <w:tcPr>
            <w:tcW w:w="1086" w:type="dxa"/>
            <w:tcBorders>
              <w:top w:val="single" w:sz="6" w:space="0" w:color="000000"/>
              <w:left w:val="single" w:sz="6" w:space="0" w:color="000000"/>
              <w:bottom w:val="single" w:sz="6" w:space="0" w:color="000000"/>
              <w:right w:val="single" w:sz="6" w:space="0" w:color="000000"/>
            </w:tcBorders>
          </w:tcPr>
          <w:p w14:paraId="111CA03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041" w:type="dxa"/>
            <w:tcBorders>
              <w:top w:val="single" w:sz="6" w:space="0" w:color="000000"/>
              <w:left w:val="single" w:sz="6" w:space="0" w:color="000000"/>
              <w:bottom w:val="single" w:sz="6" w:space="0" w:color="000000"/>
              <w:right w:val="single" w:sz="6" w:space="0" w:color="000000"/>
            </w:tcBorders>
          </w:tcPr>
          <w:p w14:paraId="123BED13" w14:textId="77777777" w:rsidR="002D58E4" w:rsidRDefault="00F721D4">
            <w:pPr>
              <w:rPr>
                <w:sz w:val="20"/>
                <w:szCs w:val="20"/>
              </w:rPr>
            </w:pPr>
            <w:r>
              <w:rPr>
                <w:sz w:val="20"/>
                <w:szCs w:val="20"/>
              </w:rPr>
              <w:t xml:space="preserve">IMPORTANT </w:t>
            </w:r>
          </w:p>
        </w:tc>
      </w:tr>
      <w:tr w:rsidR="002D58E4" w14:paraId="79213D31"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tcPr>
          <w:p w14:paraId="21920046" w14:textId="77777777" w:rsidR="002D58E4" w:rsidRDefault="00F721D4">
            <w:pPr>
              <w:rPr>
                <w:sz w:val="20"/>
                <w:szCs w:val="20"/>
              </w:rPr>
            </w:pPr>
            <w:r>
              <w:rPr>
                <w:b/>
                <w:sz w:val="20"/>
                <w:szCs w:val="20"/>
              </w:rPr>
              <w:t xml:space="preserve">Patients Experiencing Objective Findings of Lyme </w:t>
            </w:r>
            <w:r>
              <w:rPr>
                <w:sz w:val="20"/>
                <w:szCs w:val="20"/>
              </w:rPr>
              <w:t>(during treatment and up to 1 month)</w:t>
            </w:r>
          </w:p>
        </w:tc>
      </w:tr>
      <w:tr w:rsidR="002D58E4" w14:paraId="238A3C60" w14:textId="77777777" w:rsidTr="00E70FE5">
        <w:tc>
          <w:tcPr>
            <w:tcW w:w="724" w:type="dxa"/>
            <w:tcBorders>
              <w:top w:val="single" w:sz="6" w:space="0" w:color="000000"/>
              <w:left w:val="single" w:sz="6" w:space="0" w:color="000000"/>
              <w:bottom w:val="single" w:sz="6" w:space="0" w:color="000000"/>
              <w:right w:val="single" w:sz="6" w:space="0" w:color="000000"/>
            </w:tcBorders>
          </w:tcPr>
          <w:p w14:paraId="0B3570BF" w14:textId="77777777" w:rsidR="002D58E4" w:rsidRDefault="00F721D4">
            <w:pPr>
              <w:rPr>
                <w:sz w:val="20"/>
                <w:szCs w:val="20"/>
              </w:rPr>
            </w:pPr>
            <w:r>
              <w:rPr>
                <w:sz w:val="20"/>
                <w:szCs w:val="20"/>
              </w:rPr>
              <w:t xml:space="preserve">1 </w:t>
            </w:r>
          </w:p>
        </w:tc>
        <w:tc>
          <w:tcPr>
            <w:tcW w:w="828" w:type="dxa"/>
            <w:tcBorders>
              <w:top w:val="single" w:sz="6" w:space="0" w:color="000000"/>
              <w:left w:val="single" w:sz="6" w:space="0" w:color="000000"/>
              <w:bottom w:val="single" w:sz="6" w:space="0" w:color="000000"/>
              <w:right w:val="single" w:sz="6" w:space="0" w:color="000000"/>
            </w:tcBorders>
          </w:tcPr>
          <w:p w14:paraId="1C331140" w14:textId="77777777" w:rsidR="002D58E4" w:rsidRDefault="00F721D4">
            <w:pPr>
              <w:rPr>
                <w:sz w:val="20"/>
                <w:szCs w:val="20"/>
              </w:rPr>
            </w:pPr>
            <w:r>
              <w:rPr>
                <w:sz w:val="20"/>
                <w:szCs w:val="20"/>
              </w:rPr>
              <w:t xml:space="preserve">RCT </w:t>
            </w:r>
            <w:r>
              <w:rPr>
                <w:sz w:val="20"/>
                <w:szCs w:val="20"/>
                <w:vertAlign w:val="superscript"/>
              </w:rPr>
              <w:t>3</w:t>
            </w:r>
          </w:p>
        </w:tc>
        <w:tc>
          <w:tcPr>
            <w:tcW w:w="986" w:type="dxa"/>
            <w:tcBorders>
              <w:top w:val="single" w:sz="6" w:space="0" w:color="000000"/>
              <w:left w:val="single" w:sz="6" w:space="0" w:color="000000"/>
              <w:bottom w:val="single" w:sz="6" w:space="0" w:color="000000"/>
              <w:right w:val="single" w:sz="6" w:space="0" w:color="000000"/>
            </w:tcBorders>
          </w:tcPr>
          <w:p w14:paraId="6E299120" w14:textId="77777777" w:rsidR="002D58E4" w:rsidRDefault="00F721D4">
            <w:pPr>
              <w:rPr>
                <w:sz w:val="20"/>
                <w:szCs w:val="20"/>
              </w:rPr>
            </w:pPr>
            <w:r>
              <w:rPr>
                <w:sz w:val="20"/>
                <w:szCs w:val="20"/>
              </w:rPr>
              <w:t xml:space="preserve">serious </w:t>
            </w:r>
            <w:r>
              <w:rPr>
                <w:sz w:val="20"/>
                <w:szCs w:val="20"/>
                <w:vertAlign w:val="superscript"/>
              </w:rPr>
              <w:t>a</w:t>
            </w:r>
          </w:p>
        </w:tc>
        <w:tc>
          <w:tcPr>
            <w:tcW w:w="991" w:type="dxa"/>
            <w:tcBorders>
              <w:top w:val="single" w:sz="6" w:space="0" w:color="000000"/>
              <w:left w:val="single" w:sz="6" w:space="0" w:color="000000"/>
              <w:bottom w:val="single" w:sz="6" w:space="0" w:color="000000"/>
              <w:right w:val="single" w:sz="6" w:space="0" w:color="000000"/>
            </w:tcBorders>
          </w:tcPr>
          <w:p w14:paraId="4BB16066" w14:textId="77777777" w:rsidR="002D58E4" w:rsidRDefault="00F721D4">
            <w:pPr>
              <w:rPr>
                <w:sz w:val="20"/>
                <w:szCs w:val="20"/>
              </w:rPr>
            </w:pPr>
            <w:r>
              <w:rPr>
                <w:sz w:val="20"/>
                <w:szCs w:val="20"/>
              </w:rPr>
              <w:t>not serious</w:t>
            </w:r>
          </w:p>
        </w:tc>
        <w:tc>
          <w:tcPr>
            <w:tcW w:w="1140" w:type="dxa"/>
            <w:tcBorders>
              <w:top w:val="single" w:sz="6" w:space="0" w:color="000000"/>
              <w:left w:val="single" w:sz="6" w:space="0" w:color="000000"/>
              <w:bottom w:val="single" w:sz="6" w:space="0" w:color="000000"/>
              <w:right w:val="single" w:sz="6" w:space="0" w:color="000000"/>
            </w:tcBorders>
          </w:tcPr>
          <w:p w14:paraId="6ECC18EC"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26E4F6D8" w14:textId="77777777" w:rsidR="002D58E4" w:rsidRDefault="00F721D4">
            <w:pPr>
              <w:rPr>
                <w:sz w:val="20"/>
                <w:szCs w:val="20"/>
              </w:rPr>
            </w:pPr>
            <w:r>
              <w:rPr>
                <w:sz w:val="20"/>
                <w:szCs w:val="20"/>
              </w:rPr>
              <w:t xml:space="preserve">serious </w:t>
            </w:r>
            <w:r>
              <w:rPr>
                <w:sz w:val="20"/>
                <w:szCs w:val="20"/>
                <w:vertAlign w:val="superscript"/>
              </w:rPr>
              <w:t>e</w:t>
            </w:r>
          </w:p>
        </w:tc>
        <w:tc>
          <w:tcPr>
            <w:tcW w:w="923" w:type="dxa"/>
            <w:tcBorders>
              <w:top w:val="single" w:sz="6" w:space="0" w:color="000000"/>
              <w:left w:val="single" w:sz="6" w:space="0" w:color="000000"/>
              <w:bottom w:val="single" w:sz="6" w:space="0" w:color="000000"/>
              <w:right w:val="single" w:sz="6" w:space="0" w:color="000000"/>
            </w:tcBorders>
          </w:tcPr>
          <w:p w14:paraId="38DE7F88"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4ACF4DB0" w14:textId="77777777" w:rsidR="002D58E4" w:rsidRDefault="00F721D4">
            <w:pPr>
              <w:jc w:val="center"/>
              <w:rPr>
                <w:sz w:val="20"/>
                <w:szCs w:val="20"/>
              </w:rPr>
            </w:pPr>
            <w:r>
              <w:rPr>
                <w:sz w:val="20"/>
                <w:szCs w:val="20"/>
              </w:rPr>
              <w:t xml:space="preserve">1/22 </w:t>
            </w:r>
          </w:p>
          <w:p w14:paraId="0DE42525" w14:textId="77777777" w:rsidR="002D58E4" w:rsidRDefault="00F721D4">
            <w:pPr>
              <w:jc w:val="center"/>
              <w:rPr>
                <w:sz w:val="20"/>
                <w:szCs w:val="20"/>
              </w:rPr>
            </w:pPr>
            <w:r>
              <w:rPr>
                <w:sz w:val="20"/>
                <w:szCs w:val="20"/>
              </w:rPr>
              <w:t xml:space="preserve">(4.5%) </w:t>
            </w:r>
          </w:p>
        </w:tc>
        <w:tc>
          <w:tcPr>
            <w:tcW w:w="1139" w:type="dxa"/>
            <w:tcBorders>
              <w:top w:val="single" w:sz="6" w:space="0" w:color="000000"/>
              <w:left w:val="single" w:sz="6" w:space="0" w:color="000000"/>
              <w:bottom w:val="single" w:sz="6" w:space="0" w:color="000000"/>
              <w:right w:val="single" w:sz="6" w:space="0" w:color="000000"/>
            </w:tcBorders>
          </w:tcPr>
          <w:p w14:paraId="0471A582" w14:textId="77777777" w:rsidR="002D58E4" w:rsidRDefault="00F721D4">
            <w:pPr>
              <w:jc w:val="center"/>
              <w:rPr>
                <w:sz w:val="20"/>
                <w:szCs w:val="20"/>
              </w:rPr>
            </w:pPr>
            <w:r>
              <w:rPr>
                <w:sz w:val="20"/>
                <w:szCs w:val="20"/>
              </w:rPr>
              <w:t xml:space="preserve">0/19 </w:t>
            </w:r>
          </w:p>
          <w:p w14:paraId="16E70E06" w14:textId="77777777" w:rsidR="002D58E4" w:rsidRDefault="00F721D4">
            <w:pPr>
              <w:jc w:val="center"/>
              <w:rPr>
                <w:sz w:val="20"/>
                <w:szCs w:val="20"/>
              </w:rPr>
            </w:pPr>
            <w:r>
              <w:rPr>
                <w:sz w:val="20"/>
                <w:szCs w:val="20"/>
              </w:rPr>
              <w:t xml:space="preserve">(0.0%) </w:t>
            </w:r>
          </w:p>
        </w:tc>
        <w:tc>
          <w:tcPr>
            <w:tcW w:w="1327" w:type="dxa"/>
            <w:gridSpan w:val="2"/>
            <w:tcBorders>
              <w:top w:val="single" w:sz="6" w:space="0" w:color="000000"/>
              <w:left w:val="single" w:sz="6" w:space="0" w:color="000000"/>
              <w:bottom w:val="single" w:sz="6" w:space="0" w:color="000000"/>
              <w:right w:val="single" w:sz="6" w:space="0" w:color="000000"/>
            </w:tcBorders>
          </w:tcPr>
          <w:p w14:paraId="3911AC96" w14:textId="77777777" w:rsidR="002D58E4" w:rsidRDefault="00F721D4">
            <w:pPr>
              <w:jc w:val="center"/>
              <w:rPr>
                <w:sz w:val="20"/>
                <w:szCs w:val="20"/>
                <w:vertAlign w:val="superscript"/>
              </w:rPr>
            </w:pPr>
            <w:r>
              <w:rPr>
                <w:sz w:val="20"/>
                <w:szCs w:val="20"/>
              </w:rPr>
              <w:t xml:space="preserve">NA </w:t>
            </w:r>
            <w:r>
              <w:rPr>
                <w:sz w:val="20"/>
                <w:szCs w:val="20"/>
                <w:vertAlign w:val="superscript"/>
              </w:rPr>
              <w:t xml:space="preserve">f </w:t>
            </w:r>
          </w:p>
        </w:tc>
        <w:tc>
          <w:tcPr>
            <w:tcW w:w="1792" w:type="dxa"/>
            <w:tcBorders>
              <w:top w:val="single" w:sz="6" w:space="0" w:color="000000"/>
              <w:left w:val="single" w:sz="6" w:space="0" w:color="000000"/>
              <w:bottom w:val="single" w:sz="6" w:space="0" w:color="000000"/>
              <w:right w:val="single" w:sz="6" w:space="0" w:color="000000"/>
            </w:tcBorders>
          </w:tcPr>
          <w:p w14:paraId="7616B701" w14:textId="77777777" w:rsidR="002D58E4" w:rsidRDefault="00F721D4">
            <w:pPr>
              <w:jc w:val="center"/>
              <w:rPr>
                <w:sz w:val="20"/>
                <w:szCs w:val="20"/>
              </w:rPr>
            </w:pPr>
            <w:r>
              <w:rPr>
                <w:sz w:val="20"/>
                <w:szCs w:val="20"/>
              </w:rPr>
              <w:t>45 more per 1,000</w:t>
            </w:r>
          </w:p>
          <w:p w14:paraId="60778A43" w14:textId="77777777" w:rsidR="002D58E4" w:rsidRDefault="00F721D4">
            <w:pPr>
              <w:jc w:val="center"/>
              <w:rPr>
                <w:b/>
                <w:sz w:val="20"/>
                <w:szCs w:val="20"/>
              </w:rPr>
            </w:pPr>
            <w:r>
              <w:rPr>
                <w:sz w:val="20"/>
                <w:szCs w:val="20"/>
              </w:rPr>
              <w:t xml:space="preserve"> </w:t>
            </w:r>
          </w:p>
        </w:tc>
        <w:tc>
          <w:tcPr>
            <w:tcW w:w="1086" w:type="dxa"/>
            <w:tcBorders>
              <w:top w:val="single" w:sz="6" w:space="0" w:color="000000"/>
              <w:left w:val="single" w:sz="6" w:space="0" w:color="000000"/>
              <w:bottom w:val="single" w:sz="6" w:space="0" w:color="000000"/>
              <w:right w:val="single" w:sz="6" w:space="0" w:color="000000"/>
            </w:tcBorders>
          </w:tcPr>
          <w:p w14:paraId="6500119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41" w:type="dxa"/>
            <w:tcBorders>
              <w:top w:val="single" w:sz="6" w:space="0" w:color="000000"/>
              <w:left w:val="single" w:sz="6" w:space="0" w:color="000000"/>
              <w:bottom w:val="single" w:sz="6" w:space="0" w:color="000000"/>
              <w:right w:val="single" w:sz="6" w:space="0" w:color="000000"/>
            </w:tcBorders>
          </w:tcPr>
          <w:p w14:paraId="4EAED0BA" w14:textId="77777777" w:rsidR="002D58E4" w:rsidRDefault="00F721D4">
            <w:pPr>
              <w:rPr>
                <w:sz w:val="20"/>
                <w:szCs w:val="20"/>
              </w:rPr>
            </w:pPr>
            <w:r>
              <w:rPr>
                <w:sz w:val="20"/>
                <w:szCs w:val="20"/>
              </w:rPr>
              <w:t>IMPORTANT</w:t>
            </w:r>
          </w:p>
        </w:tc>
      </w:tr>
      <w:tr w:rsidR="002D58E4" w14:paraId="3415BC57"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093AE953" w14:textId="77777777" w:rsidR="002D58E4" w:rsidRDefault="00F721D4">
            <w:pPr>
              <w:rPr>
                <w:sz w:val="20"/>
                <w:szCs w:val="20"/>
              </w:rPr>
            </w:pPr>
            <w:r>
              <w:rPr>
                <w:b/>
                <w:sz w:val="20"/>
                <w:szCs w:val="20"/>
              </w:rPr>
              <w:t>Patients Experiencing Objective Findings of Lyme (</w:t>
            </w:r>
            <w:r>
              <w:rPr>
                <w:sz w:val="20"/>
                <w:szCs w:val="20"/>
              </w:rPr>
              <w:t>at 6 months and beyond)</w:t>
            </w:r>
            <w:r>
              <w:rPr>
                <w:b/>
                <w:sz w:val="20"/>
                <w:szCs w:val="20"/>
              </w:rPr>
              <w:t xml:space="preserve"> </w:t>
            </w:r>
          </w:p>
        </w:tc>
      </w:tr>
      <w:tr w:rsidR="002D58E4" w14:paraId="3DA3CAC0" w14:textId="77777777" w:rsidTr="00E70FE5">
        <w:tc>
          <w:tcPr>
            <w:tcW w:w="724" w:type="dxa"/>
            <w:tcBorders>
              <w:top w:val="single" w:sz="6" w:space="0" w:color="000000"/>
              <w:left w:val="single" w:sz="6" w:space="0" w:color="000000"/>
              <w:bottom w:val="single" w:sz="6" w:space="0" w:color="000000"/>
              <w:right w:val="single" w:sz="6" w:space="0" w:color="000000"/>
            </w:tcBorders>
          </w:tcPr>
          <w:p w14:paraId="40E72F5F"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00111A38" w14:textId="77777777" w:rsidR="002D58E4" w:rsidRDefault="00F721D4">
            <w:pPr>
              <w:rPr>
                <w:sz w:val="20"/>
                <w:szCs w:val="20"/>
              </w:rPr>
            </w:pPr>
            <w:r>
              <w:rPr>
                <w:sz w:val="20"/>
                <w:szCs w:val="20"/>
              </w:rPr>
              <w:t xml:space="preserve">RCT </w:t>
            </w:r>
            <w:r>
              <w:rPr>
                <w:sz w:val="20"/>
                <w:szCs w:val="20"/>
                <w:vertAlign w:val="superscript"/>
              </w:rPr>
              <w:t>1,2</w:t>
            </w:r>
          </w:p>
        </w:tc>
        <w:tc>
          <w:tcPr>
            <w:tcW w:w="986" w:type="dxa"/>
            <w:tcBorders>
              <w:top w:val="single" w:sz="6" w:space="0" w:color="000000"/>
              <w:left w:val="single" w:sz="6" w:space="0" w:color="000000"/>
              <w:bottom w:val="single" w:sz="6" w:space="0" w:color="000000"/>
              <w:right w:val="single" w:sz="6" w:space="0" w:color="000000"/>
            </w:tcBorders>
          </w:tcPr>
          <w:p w14:paraId="2B278D7E" w14:textId="77777777" w:rsidR="002D58E4" w:rsidRDefault="00F721D4">
            <w:pPr>
              <w:rPr>
                <w:sz w:val="20"/>
                <w:szCs w:val="20"/>
              </w:rPr>
            </w:pPr>
            <w:r>
              <w:rPr>
                <w:sz w:val="20"/>
                <w:szCs w:val="20"/>
              </w:rPr>
              <w:t xml:space="preserve">serious </w:t>
            </w:r>
            <w:r>
              <w:rPr>
                <w:sz w:val="20"/>
                <w:szCs w:val="20"/>
                <w:vertAlign w:val="superscript"/>
              </w:rPr>
              <w:t>a</w:t>
            </w:r>
          </w:p>
        </w:tc>
        <w:tc>
          <w:tcPr>
            <w:tcW w:w="991" w:type="dxa"/>
            <w:tcBorders>
              <w:top w:val="single" w:sz="6" w:space="0" w:color="000000"/>
              <w:left w:val="single" w:sz="6" w:space="0" w:color="000000"/>
              <w:bottom w:val="single" w:sz="6" w:space="0" w:color="000000"/>
              <w:right w:val="single" w:sz="6" w:space="0" w:color="000000"/>
            </w:tcBorders>
          </w:tcPr>
          <w:p w14:paraId="276BE8A1" w14:textId="77777777" w:rsidR="002D58E4" w:rsidRDefault="00F721D4">
            <w:pPr>
              <w:rPr>
                <w:sz w:val="20"/>
                <w:szCs w:val="20"/>
              </w:rPr>
            </w:pPr>
            <w:r>
              <w:rPr>
                <w:sz w:val="20"/>
                <w:szCs w:val="20"/>
              </w:rPr>
              <w:t xml:space="preserve">not serious </w:t>
            </w:r>
          </w:p>
        </w:tc>
        <w:tc>
          <w:tcPr>
            <w:tcW w:w="1140" w:type="dxa"/>
            <w:tcBorders>
              <w:top w:val="single" w:sz="6" w:space="0" w:color="000000"/>
              <w:left w:val="single" w:sz="6" w:space="0" w:color="000000"/>
              <w:bottom w:val="single" w:sz="6" w:space="0" w:color="000000"/>
              <w:right w:val="single" w:sz="6" w:space="0" w:color="000000"/>
            </w:tcBorders>
          </w:tcPr>
          <w:p w14:paraId="71C81F09"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255B7F1A" w14:textId="77777777" w:rsidR="002D58E4" w:rsidRDefault="00F721D4">
            <w:pPr>
              <w:rPr>
                <w:sz w:val="20"/>
                <w:szCs w:val="20"/>
              </w:rPr>
            </w:pPr>
            <w:r>
              <w:rPr>
                <w:sz w:val="20"/>
                <w:szCs w:val="20"/>
              </w:rPr>
              <w:t xml:space="preserve"> serious </w:t>
            </w:r>
            <w:r>
              <w:rPr>
                <w:sz w:val="20"/>
                <w:szCs w:val="20"/>
                <w:vertAlign w:val="superscript"/>
              </w:rPr>
              <w:t>e</w:t>
            </w:r>
          </w:p>
        </w:tc>
        <w:tc>
          <w:tcPr>
            <w:tcW w:w="923" w:type="dxa"/>
            <w:tcBorders>
              <w:top w:val="single" w:sz="6" w:space="0" w:color="000000"/>
              <w:left w:val="single" w:sz="6" w:space="0" w:color="000000"/>
              <w:bottom w:val="single" w:sz="6" w:space="0" w:color="000000"/>
              <w:right w:val="single" w:sz="6" w:space="0" w:color="000000"/>
            </w:tcBorders>
          </w:tcPr>
          <w:p w14:paraId="4227D266"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0CBF779D" w14:textId="77777777" w:rsidR="002D58E4" w:rsidRDefault="00F721D4">
            <w:pPr>
              <w:jc w:val="center"/>
              <w:rPr>
                <w:sz w:val="20"/>
                <w:szCs w:val="20"/>
              </w:rPr>
            </w:pPr>
            <w:r>
              <w:rPr>
                <w:sz w:val="20"/>
                <w:szCs w:val="20"/>
              </w:rPr>
              <w:t xml:space="preserve">0/103 </w:t>
            </w:r>
          </w:p>
          <w:p w14:paraId="285C6C5F" w14:textId="77777777" w:rsidR="002D58E4" w:rsidRDefault="00F721D4">
            <w:pPr>
              <w:jc w:val="center"/>
              <w:rPr>
                <w:sz w:val="20"/>
                <w:szCs w:val="20"/>
              </w:rPr>
            </w:pPr>
            <w:r>
              <w:rPr>
                <w:sz w:val="20"/>
                <w:szCs w:val="20"/>
              </w:rPr>
              <w:t xml:space="preserve">(0.0%) </w:t>
            </w:r>
          </w:p>
        </w:tc>
        <w:tc>
          <w:tcPr>
            <w:tcW w:w="1139" w:type="dxa"/>
            <w:tcBorders>
              <w:top w:val="single" w:sz="6" w:space="0" w:color="000000"/>
              <w:left w:val="single" w:sz="6" w:space="0" w:color="000000"/>
              <w:bottom w:val="single" w:sz="6" w:space="0" w:color="000000"/>
              <w:right w:val="single" w:sz="6" w:space="0" w:color="000000"/>
            </w:tcBorders>
          </w:tcPr>
          <w:p w14:paraId="7CB64409" w14:textId="77777777" w:rsidR="002D58E4" w:rsidRDefault="00F721D4">
            <w:pPr>
              <w:jc w:val="center"/>
              <w:rPr>
                <w:sz w:val="20"/>
                <w:szCs w:val="20"/>
              </w:rPr>
            </w:pPr>
            <w:r>
              <w:rPr>
                <w:sz w:val="20"/>
                <w:szCs w:val="20"/>
              </w:rPr>
              <w:t>0/100</w:t>
            </w:r>
          </w:p>
          <w:p w14:paraId="775D1111" w14:textId="77777777" w:rsidR="002D58E4" w:rsidRDefault="00F721D4">
            <w:pPr>
              <w:jc w:val="center"/>
              <w:rPr>
                <w:sz w:val="20"/>
                <w:szCs w:val="20"/>
              </w:rPr>
            </w:pPr>
            <w:r>
              <w:rPr>
                <w:sz w:val="20"/>
                <w:szCs w:val="20"/>
              </w:rPr>
              <w:t xml:space="preserve"> (0.0%) </w:t>
            </w:r>
          </w:p>
        </w:tc>
        <w:tc>
          <w:tcPr>
            <w:tcW w:w="1276" w:type="dxa"/>
            <w:tcBorders>
              <w:top w:val="single" w:sz="6" w:space="0" w:color="000000"/>
              <w:left w:val="single" w:sz="6" w:space="0" w:color="000000"/>
              <w:bottom w:val="single" w:sz="6" w:space="0" w:color="000000"/>
              <w:right w:val="single" w:sz="6" w:space="0" w:color="000000"/>
            </w:tcBorders>
          </w:tcPr>
          <w:p w14:paraId="4864A67F" w14:textId="77777777" w:rsidR="002D58E4" w:rsidRDefault="00F721D4">
            <w:pPr>
              <w:jc w:val="center"/>
              <w:rPr>
                <w:sz w:val="20"/>
                <w:szCs w:val="20"/>
                <w:vertAlign w:val="superscript"/>
              </w:rPr>
            </w:pPr>
            <w:r>
              <w:rPr>
                <w:sz w:val="20"/>
                <w:szCs w:val="20"/>
              </w:rPr>
              <w:t>NA</w:t>
            </w:r>
            <w:r>
              <w:rPr>
                <w:sz w:val="20"/>
                <w:szCs w:val="20"/>
                <w:vertAlign w:val="superscript"/>
              </w:rPr>
              <w:t xml:space="preserve"> f</w:t>
            </w:r>
          </w:p>
          <w:p w14:paraId="58543093" w14:textId="77777777" w:rsidR="002D58E4" w:rsidRDefault="002D58E4">
            <w:pPr>
              <w:jc w:val="center"/>
              <w:rPr>
                <w:sz w:val="20"/>
                <w:szCs w:val="20"/>
              </w:rPr>
            </w:pPr>
          </w:p>
        </w:tc>
        <w:tc>
          <w:tcPr>
            <w:tcW w:w="1843" w:type="dxa"/>
            <w:gridSpan w:val="2"/>
            <w:tcBorders>
              <w:top w:val="single" w:sz="6" w:space="0" w:color="000000"/>
              <w:left w:val="single" w:sz="6" w:space="0" w:color="000000"/>
              <w:bottom w:val="single" w:sz="6" w:space="0" w:color="000000"/>
              <w:right w:val="single" w:sz="6" w:space="0" w:color="000000"/>
            </w:tcBorders>
          </w:tcPr>
          <w:p w14:paraId="30D85A75" w14:textId="77777777" w:rsidR="002D58E4" w:rsidRDefault="00F721D4">
            <w:pPr>
              <w:jc w:val="center"/>
              <w:rPr>
                <w:sz w:val="20"/>
                <w:szCs w:val="20"/>
              </w:rPr>
            </w:pPr>
            <w:r>
              <w:rPr>
                <w:sz w:val="20"/>
                <w:szCs w:val="20"/>
              </w:rPr>
              <w:t>0 per 1,000</w:t>
            </w:r>
          </w:p>
        </w:tc>
        <w:tc>
          <w:tcPr>
            <w:tcW w:w="1086" w:type="dxa"/>
            <w:tcBorders>
              <w:top w:val="single" w:sz="6" w:space="0" w:color="000000"/>
              <w:left w:val="single" w:sz="6" w:space="0" w:color="000000"/>
              <w:bottom w:val="single" w:sz="6" w:space="0" w:color="000000"/>
              <w:right w:val="single" w:sz="6" w:space="0" w:color="000000"/>
            </w:tcBorders>
          </w:tcPr>
          <w:p w14:paraId="7713194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41" w:type="dxa"/>
            <w:tcBorders>
              <w:top w:val="single" w:sz="6" w:space="0" w:color="000000"/>
              <w:left w:val="single" w:sz="6" w:space="0" w:color="000000"/>
              <w:bottom w:val="single" w:sz="6" w:space="0" w:color="000000"/>
              <w:right w:val="single" w:sz="6" w:space="0" w:color="000000"/>
            </w:tcBorders>
          </w:tcPr>
          <w:p w14:paraId="32BDFD1B" w14:textId="77777777" w:rsidR="002D58E4" w:rsidRDefault="00F721D4">
            <w:pPr>
              <w:rPr>
                <w:sz w:val="20"/>
                <w:szCs w:val="20"/>
              </w:rPr>
            </w:pPr>
            <w:r>
              <w:rPr>
                <w:sz w:val="20"/>
                <w:szCs w:val="20"/>
              </w:rPr>
              <w:t xml:space="preserve">CRITICAL </w:t>
            </w:r>
          </w:p>
        </w:tc>
      </w:tr>
      <w:tr w:rsidR="002D58E4" w14:paraId="308ED8E6"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FA60EB3" w14:textId="77777777" w:rsidR="002D58E4" w:rsidRDefault="00F721D4">
            <w:pPr>
              <w:rPr>
                <w:sz w:val="20"/>
                <w:szCs w:val="20"/>
              </w:rPr>
            </w:pPr>
            <w:r>
              <w:rPr>
                <w:b/>
                <w:sz w:val="20"/>
                <w:szCs w:val="20"/>
              </w:rPr>
              <w:t xml:space="preserve">Patients Withdrawing due to Adverse Events </w:t>
            </w:r>
          </w:p>
        </w:tc>
      </w:tr>
      <w:tr w:rsidR="002D58E4" w14:paraId="7E9C556D" w14:textId="77777777" w:rsidTr="00E70FE5">
        <w:tc>
          <w:tcPr>
            <w:tcW w:w="724" w:type="dxa"/>
            <w:tcBorders>
              <w:top w:val="single" w:sz="6" w:space="0" w:color="000000"/>
              <w:left w:val="single" w:sz="6" w:space="0" w:color="000000"/>
              <w:bottom w:val="single" w:sz="6" w:space="0" w:color="000000"/>
              <w:right w:val="single" w:sz="6" w:space="0" w:color="000000"/>
            </w:tcBorders>
          </w:tcPr>
          <w:p w14:paraId="7323AA4C"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3A490F09" w14:textId="77777777" w:rsidR="002D58E4" w:rsidRDefault="00F721D4">
            <w:pPr>
              <w:rPr>
                <w:sz w:val="20"/>
                <w:szCs w:val="20"/>
              </w:rPr>
            </w:pPr>
            <w:r>
              <w:rPr>
                <w:sz w:val="20"/>
                <w:szCs w:val="20"/>
              </w:rPr>
              <w:t xml:space="preserve">RCT </w:t>
            </w:r>
            <w:r>
              <w:rPr>
                <w:sz w:val="20"/>
                <w:szCs w:val="20"/>
                <w:vertAlign w:val="superscript"/>
              </w:rPr>
              <w:t>2,3</w:t>
            </w:r>
          </w:p>
        </w:tc>
        <w:tc>
          <w:tcPr>
            <w:tcW w:w="986" w:type="dxa"/>
            <w:tcBorders>
              <w:top w:val="single" w:sz="6" w:space="0" w:color="000000"/>
              <w:left w:val="single" w:sz="6" w:space="0" w:color="000000"/>
              <w:bottom w:val="single" w:sz="6" w:space="0" w:color="000000"/>
              <w:right w:val="single" w:sz="6" w:space="0" w:color="000000"/>
            </w:tcBorders>
          </w:tcPr>
          <w:p w14:paraId="1FD295A0" w14:textId="77777777" w:rsidR="002D58E4" w:rsidRDefault="00F721D4">
            <w:pPr>
              <w:rPr>
                <w:sz w:val="20"/>
                <w:szCs w:val="20"/>
              </w:rPr>
            </w:pPr>
            <w:r>
              <w:rPr>
                <w:sz w:val="20"/>
                <w:szCs w:val="20"/>
              </w:rPr>
              <w:t xml:space="preserve">serious </w:t>
            </w:r>
            <w:r>
              <w:rPr>
                <w:sz w:val="20"/>
                <w:szCs w:val="20"/>
                <w:vertAlign w:val="superscript"/>
              </w:rPr>
              <w:t>a, g</w:t>
            </w:r>
          </w:p>
        </w:tc>
        <w:tc>
          <w:tcPr>
            <w:tcW w:w="991" w:type="dxa"/>
            <w:tcBorders>
              <w:top w:val="single" w:sz="6" w:space="0" w:color="000000"/>
              <w:left w:val="single" w:sz="6" w:space="0" w:color="000000"/>
              <w:bottom w:val="single" w:sz="6" w:space="0" w:color="000000"/>
              <w:right w:val="single" w:sz="6" w:space="0" w:color="000000"/>
            </w:tcBorders>
          </w:tcPr>
          <w:p w14:paraId="6CC2EE4B" w14:textId="77777777" w:rsidR="002D58E4" w:rsidRDefault="00F721D4">
            <w:pPr>
              <w:rPr>
                <w:sz w:val="20"/>
                <w:szCs w:val="20"/>
              </w:rPr>
            </w:pPr>
            <w:r>
              <w:rPr>
                <w:sz w:val="20"/>
                <w:szCs w:val="20"/>
              </w:rPr>
              <w:t xml:space="preserve">serious </w:t>
            </w:r>
            <w:r>
              <w:rPr>
                <w:sz w:val="20"/>
                <w:szCs w:val="20"/>
                <w:vertAlign w:val="superscript"/>
              </w:rPr>
              <w:t>h</w:t>
            </w:r>
          </w:p>
        </w:tc>
        <w:tc>
          <w:tcPr>
            <w:tcW w:w="1140" w:type="dxa"/>
            <w:tcBorders>
              <w:top w:val="single" w:sz="6" w:space="0" w:color="000000"/>
              <w:left w:val="single" w:sz="6" w:space="0" w:color="000000"/>
              <w:bottom w:val="single" w:sz="6" w:space="0" w:color="000000"/>
              <w:right w:val="single" w:sz="6" w:space="0" w:color="000000"/>
            </w:tcBorders>
          </w:tcPr>
          <w:p w14:paraId="0D3CA4EA"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6A8F6D9C" w14:textId="77777777" w:rsidR="002D58E4" w:rsidRDefault="00F721D4">
            <w:pPr>
              <w:rPr>
                <w:sz w:val="20"/>
                <w:szCs w:val="20"/>
              </w:rPr>
            </w:pPr>
            <w:r>
              <w:rPr>
                <w:sz w:val="20"/>
                <w:szCs w:val="20"/>
              </w:rPr>
              <w:t xml:space="preserve">serious </w:t>
            </w:r>
            <w:r>
              <w:rPr>
                <w:sz w:val="20"/>
                <w:szCs w:val="20"/>
                <w:vertAlign w:val="superscript"/>
              </w:rPr>
              <w:t>e</w:t>
            </w:r>
          </w:p>
        </w:tc>
        <w:tc>
          <w:tcPr>
            <w:tcW w:w="923" w:type="dxa"/>
            <w:tcBorders>
              <w:top w:val="single" w:sz="6" w:space="0" w:color="000000"/>
              <w:left w:val="single" w:sz="6" w:space="0" w:color="000000"/>
              <w:bottom w:val="single" w:sz="6" w:space="0" w:color="000000"/>
              <w:right w:val="single" w:sz="6" w:space="0" w:color="000000"/>
            </w:tcBorders>
          </w:tcPr>
          <w:p w14:paraId="1B6CFA40"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3EC93767" w14:textId="77777777" w:rsidR="002D58E4" w:rsidRDefault="00F721D4">
            <w:pPr>
              <w:jc w:val="center"/>
              <w:rPr>
                <w:sz w:val="20"/>
                <w:szCs w:val="20"/>
              </w:rPr>
            </w:pPr>
            <w:r>
              <w:rPr>
                <w:sz w:val="20"/>
                <w:szCs w:val="20"/>
              </w:rPr>
              <w:t xml:space="preserve">2/59 </w:t>
            </w:r>
          </w:p>
          <w:p w14:paraId="485F2F34" w14:textId="77777777" w:rsidR="002D58E4" w:rsidRDefault="00F721D4">
            <w:pPr>
              <w:jc w:val="center"/>
              <w:rPr>
                <w:sz w:val="20"/>
                <w:szCs w:val="20"/>
              </w:rPr>
            </w:pPr>
            <w:r>
              <w:rPr>
                <w:sz w:val="20"/>
                <w:szCs w:val="20"/>
              </w:rPr>
              <w:t xml:space="preserve">(3.4%) </w:t>
            </w:r>
          </w:p>
        </w:tc>
        <w:tc>
          <w:tcPr>
            <w:tcW w:w="1139" w:type="dxa"/>
            <w:tcBorders>
              <w:top w:val="single" w:sz="6" w:space="0" w:color="000000"/>
              <w:left w:val="single" w:sz="6" w:space="0" w:color="000000"/>
              <w:bottom w:val="single" w:sz="6" w:space="0" w:color="000000"/>
              <w:right w:val="single" w:sz="6" w:space="0" w:color="000000"/>
            </w:tcBorders>
          </w:tcPr>
          <w:p w14:paraId="06A2ADFE" w14:textId="77777777" w:rsidR="002D58E4" w:rsidRDefault="00F721D4">
            <w:pPr>
              <w:jc w:val="center"/>
              <w:rPr>
                <w:sz w:val="20"/>
                <w:szCs w:val="20"/>
              </w:rPr>
            </w:pPr>
            <w:r>
              <w:rPr>
                <w:sz w:val="20"/>
                <w:szCs w:val="20"/>
              </w:rPr>
              <w:t xml:space="preserve">5/57 </w:t>
            </w:r>
          </w:p>
          <w:p w14:paraId="29F9A36B" w14:textId="77777777" w:rsidR="002D58E4" w:rsidRDefault="00F721D4">
            <w:pPr>
              <w:jc w:val="center"/>
              <w:rPr>
                <w:sz w:val="20"/>
                <w:szCs w:val="20"/>
              </w:rPr>
            </w:pPr>
            <w:r>
              <w:rPr>
                <w:sz w:val="20"/>
                <w:szCs w:val="20"/>
              </w:rPr>
              <w:t xml:space="preserve">(8.8%) </w:t>
            </w:r>
          </w:p>
        </w:tc>
        <w:tc>
          <w:tcPr>
            <w:tcW w:w="1276" w:type="dxa"/>
            <w:tcBorders>
              <w:top w:val="single" w:sz="6" w:space="0" w:color="000000"/>
              <w:left w:val="single" w:sz="6" w:space="0" w:color="000000"/>
              <w:bottom w:val="single" w:sz="6" w:space="0" w:color="000000"/>
              <w:right w:val="single" w:sz="6" w:space="0" w:color="000000"/>
            </w:tcBorders>
          </w:tcPr>
          <w:p w14:paraId="68FF17E9" w14:textId="77777777" w:rsidR="002D58E4" w:rsidRDefault="00F721D4">
            <w:pPr>
              <w:jc w:val="center"/>
              <w:rPr>
                <w:sz w:val="20"/>
                <w:szCs w:val="20"/>
              </w:rPr>
            </w:pPr>
            <w:r>
              <w:rPr>
                <w:sz w:val="20"/>
                <w:szCs w:val="20"/>
              </w:rPr>
              <w:t>RR 0.50</w:t>
            </w:r>
            <w:r>
              <w:rPr>
                <w:sz w:val="20"/>
                <w:szCs w:val="20"/>
              </w:rPr>
              <w:br/>
              <w:t xml:space="preserve">(0.02 to 10.56) </w:t>
            </w:r>
          </w:p>
        </w:tc>
        <w:tc>
          <w:tcPr>
            <w:tcW w:w="1843" w:type="dxa"/>
            <w:gridSpan w:val="2"/>
            <w:tcBorders>
              <w:top w:val="single" w:sz="6" w:space="0" w:color="000000"/>
              <w:left w:val="single" w:sz="6" w:space="0" w:color="000000"/>
              <w:bottom w:val="single" w:sz="6" w:space="0" w:color="000000"/>
              <w:right w:val="single" w:sz="6" w:space="0" w:color="000000"/>
            </w:tcBorders>
          </w:tcPr>
          <w:p w14:paraId="1D452FE5" w14:textId="77777777" w:rsidR="002D58E4" w:rsidRDefault="00F721D4">
            <w:pPr>
              <w:jc w:val="center"/>
              <w:rPr>
                <w:sz w:val="20"/>
                <w:szCs w:val="20"/>
              </w:rPr>
            </w:pPr>
            <w:r>
              <w:rPr>
                <w:sz w:val="20"/>
                <w:szCs w:val="20"/>
              </w:rPr>
              <w:t>44 fewer per 1,000</w:t>
            </w:r>
            <w:r>
              <w:rPr>
                <w:sz w:val="20"/>
                <w:szCs w:val="20"/>
              </w:rPr>
              <w:br/>
              <w:t xml:space="preserve">(from 86 fewer to 839 more) </w:t>
            </w:r>
          </w:p>
        </w:tc>
        <w:tc>
          <w:tcPr>
            <w:tcW w:w="1086" w:type="dxa"/>
            <w:tcBorders>
              <w:top w:val="single" w:sz="6" w:space="0" w:color="000000"/>
              <w:left w:val="single" w:sz="6" w:space="0" w:color="000000"/>
              <w:bottom w:val="single" w:sz="6" w:space="0" w:color="000000"/>
              <w:right w:val="single" w:sz="6" w:space="0" w:color="000000"/>
            </w:tcBorders>
          </w:tcPr>
          <w:p w14:paraId="024B2D6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041" w:type="dxa"/>
            <w:tcBorders>
              <w:top w:val="single" w:sz="6" w:space="0" w:color="000000"/>
              <w:left w:val="single" w:sz="6" w:space="0" w:color="000000"/>
              <w:bottom w:val="single" w:sz="6" w:space="0" w:color="000000"/>
              <w:right w:val="single" w:sz="6" w:space="0" w:color="000000"/>
            </w:tcBorders>
          </w:tcPr>
          <w:p w14:paraId="1919674B" w14:textId="77777777" w:rsidR="002D58E4" w:rsidRDefault="00F721D4">
            <w:pPr>
              <w:rPr>
                <w:sz w:val="20"/>
                <w:szCs w:val="20"/>
              </w:rPr>
            </w:pPr>
            <w:r>
              <w:rPr>
                <w:sz w:val="20"/>
                <w:szCs w:val="20"/>
              </w:rPr>
              <w:t xml:space="preserve">CRITICAL </w:t>
            </w:r>
          </w:p>
        </w:tc>
      </w:tr>
      <w:tr w:rsidR="002D58E4" w14:paraId="0EAEDFB0"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E863BBF" w14:textId="77777777" w:rsidR="002D58E4" w:rsidRDefault="00F721D4">
            <w:pPr>
              <w:rPr>
                <w:b/>
                <w:sz w:val="20"/>
                <w:szCs w:val="20"/>
              </w:rPr>
            </w:pPr>
            <w:r>
              <w:rPr>
                <w:b/>
                <w:sz w:val="20"/>
                <w:szCs w:val="20"/>
              </w:rPr>
              <w:lastRenderedPageBreak/>
              <w:t xml:space="preserve">Gastrointestinal Adverse Events </w:t>
            </w:r>
          </w:p>
        </w:tc>
      </w:tr>
      <w:tr w:rsidR="002D58E4" w14:paraId="65E34190" w14:textId="77777777" w:rsidTr="00E70FE5">
        <w:tc>
          <w:tcPr>
            <w:tcW w:w="724" w:type="dxa"/>
            <w:tcBorders>
              <w:top w:val="single" w:sz="6" w:space="0" w:color="000000"/>
              <w:left w:val="single" w:sz="6" w:space="0" w:color="000000"/>
              <w:bottom w:val="single" w:sz="6" w:space="0" w:color="000000"/>
              <w:right w:val="single" w:sz="6" w:space="0" w:color="000000"/>
            </w:tcBorders>
          </w:tcPr>
          <w:p w14:paraId="65C8197C"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48868CE1" w14:textId="77777777" w:rsidR="002D58E4" w:rsidRDefault="00F721D4">
            <w:pPr>
              <w:rPr>
                <w:sz w:val="20"/>
                <w:szCs w:val="20"/>
              </w:rPr>
            </w:pPr>
            <w:r>
              <w:rPr>
                <w:sz w:val="20"/>
                <w:szCs w:val="20"/>
              </w:rPr>
              <w:t xml:space="preserve">RCT </w:t>
            </w:r>
            <w:r>
              <w:rPr>
                <w:sz w:val="20"/>
                <w:szCs w:val="20"/>
                <w:vertAlign w:val="superscript"/>
              </w:rPr>
              <w:t>1,3</w:t>
            </w:r>
          </w:p>
        </w:tc>
        <w:tc>
          <w:tcPr>
            <w:tcW w:w="986" w:type="dxa"/>
            <w:tcBorders>
              <w:top w:val="single" w:sz="6" w:space="0" w:color="000000"/>
              <w:left w:val="single" w:sz="6" w:space="0" w:color="000000"/>
              <w:bottom w:val="single" w:sz="6" w:space="0" w:color="000000"/>
              <w:right w:val="single" w:sz="6" w:space="0" w:color="000000"/>
            </w:tcBorders>
          </w:tcPr>
          <w:p w14:paraId="6CD75D9D" w14:textId="77777777" w:rsidR="002D58E4" w:rsidRDefault="00F721D4">
            <w:pPr>
              <w:rPr>
                <w:sz w:val="20"/>
                <w:szCs w:val="20"/>
              </w:rPr>
            </w:pPr>
            <w:r>
              <w:rPr>
                <w:sz w:val="20"/>
                <w:szCs w:val="20"/>
              </w:rPr>
              <w:t xml:space="preserve">serious </w:t>
            </w:r>
            <w:r>
              <w:rPr>
                <w:sz w:val="20"/>
                <w:szCs w:val="20"/>
                <w:vertAlign w:val="superscript"/>
              </w:rPr>
              <w:t>a, g</w:t>
            </w:r>
          </w:p>
        </w:tc>
        <w:tc>
          <w:tcPr>
            <w:tcW w:w="991" w:type="dxa"/>
            <w:tcBorders>
              <w:top w:val="single" w:sz="6" w:space="0" w:color="000000"/>
              <w:left w:val="single" w:sz="6" w:space="0" w:color="000000"/>
              <w:bottom w:val="single" w:sz="6" w:space="0" w:color="000000"/>
              <w:right w:val="single" w:sz="6" w:space="0" w:color="000000"/>
            </w:tcBorders>
          </w:tcPr>
          <w:p w14:paraId="1D2F53FD" w14:textId="77777777" w:rsidR="002D58E4" w:rsidRDefault="00F721D4">
            <w:pPr>
              <w:rPr>
                <w:sz w:val="20"/>
                <w:szCs w:val="20"/>
              </w:rPr>
            </w:pPr>
            <w:r>
              <w:rPr>
                <w:sz w:val="20"/>
                <w:szCs w:val="20"/>
              </w:rPr>
              <w:t xml:space="preserve">not serious </w:t>
            </w:r>
          </w:p>
        </w:tc>
        <w:tc>
          <w:tcPr>
            <w:tcW w:w="1140" w:type="dxa"/>
            <w:tcBorders>
              <w:top w:val="single" w:sz="6" w:space="0" w:color="000000"/>
              <w:left w:val="single" w:sz="6" w:space="0" w:color="000000"/>
              <w:bottom w:val="single" w:sz="6" w:space="0" w:color="000000"/>
              <w:right w:val="single" w:sz="6" w:space="0" w:color="000000"/>
            </w:tcBorders>
          </w:tcPr>
          <w:p w14:paraId="3BB5BF71"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467E242C" w14:textId="77777777" w:rsidR="002D58E4" w:rsidRDefault="00F721D4">
            <w:pPr>
              <w:rPr>
                <w:sz w:val="20"/>
                <w:szCs w:val="20"/>
              </w:rPr>
            </w:pPr>
            <w:r>
              <w:rPr>
                <w:sz w:val="20"/>
                <w:szCs w:val="20"/>
              </w:rPr>
              <w:t xml:space="preserve">serious </w:t>
            </w:r>
            <w:r>
              <w:rPr>
                <w:sz w:val="20"/>
                <w:szCs w:val="20"/>
                <w:vertAlign w:val="superscript"/>
              </w:rPr>
              <w:t xml:space="preserve">i </w:t>
            </w:r>
          </w:p>
        </w:tc>
        <w:tc>
          <w:tcPr>
            <w:tcW w:w="923" w:type="dxa"/>
            <w:tcBorders>
              <w:top w:val="single" w:sz="6" w:space="0" w:color="000000"/>
              <w:left w:val="single" w:sz="6" w:space="0" w:color="000000"/>
              <w:bottom w:val="single" w:sz="6" w:space="0" w:color="000000"/>
              <w:right w:val="single" w:sz="6" w:space="0" w:color="000000"/>
            </w:tcBorders>
          </w:tcPr>
          <w:p w14:paraId="703E88D1"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2A13BC27" w14:textId="77777777" w:rsidR="002D58E4" w:rsidRDefault="00F721D4">
            <w:pPr>
              <w:jc w:val="center"/>
              <w:rPr>
                <w:sz w:val="20"/>
                <w:szCs w:val="20"/>
              </w:rPr>
            </w:pPr>
            <w:r>
              <w:rPr>
                <w:sz w:val="20"/>
                <w:szCs w:val="20"/>
              </w:rPr>
              <w:t xml:space="preserve">22/89 </w:t>
            </w:r>
          </w:p>
          <w:p w14:paraId="5225F251" w14:textId="77777777" w:rsidR="002D58E4" w:rsidRDefault="00F721D4">
            <w:pPr>
              <w:jc w:val="center"/>
              <w:rPr>
                <w:sz w:val="20"/>
                <w:szCs w:val="20"/>
              </w:rPr>
            </w:pPr>
            <w:r>
              <w:rPr>
                <w:sz w:val="20"/>
                <w:szCs w:val="20"/>
              </w:rPr>
              <w:t xml:space="preserve">(24.7%) </w:t>
            </w:r>
          </w:p>
        </w:tc>
        <w:tc>
          <w:tcPr>
            <w:tcW w:w="1139" w:type="dxa"/>
            <w:tcBorders>
              <w:top w:val="single" w:sz="6" w:space="0" w:color="000000"/>
              <w:left w:val="single" w:sz="6" w:space="0" w:color="000000"/>
              <w:bottom w:val="single" w:sz="6" w:space="0" w:color="000000"/>
              <w:right w:val="single" w:sz="6" w:space="0" w:color="000000"/>
            </w:tcBorders>
          </w:tcPr>
          <w:p w14:paraId="14CDF894" w14:textId="77777777" w:rsidR="002D58E4" w:rsidRDefault="00F721D4">
            <w:pPr>
              <w:jc w:val="center"/>
              <w:rPr>
                <w:sz w:val="20"/>
                <w:szCs w:val="20"/>
              </w:rPr>
            </w:pPr>
            <w:r>
              <w:rPr>
                <w:sz w:val="20"/>
                <w:szCs w:val="20"/>
              </w:rPr>
              <w:t xml:space="preserve">21/83 </w:t>
            </w:r>
          </w:p>
          <w:p w14:paraId="3CC5EF80" w14:textId="77777777" w:rsidR="002D58E4" w:rsidRDefault="00F721D4">
            <w:pPr>
              <w:jc w:val="center"/>
              <w:rPr>
                <w:sz w:val="20"/>
                <w:szCs w:val="20"/>
              </w:rPr>
            </w:pPr>
            <w:r>
              <w:rPr>
                <w:sz w:val="20"/>
                <w:szCs w:val="20"/>
              </w:rPr>
              <w:t xml:space="preserve">(25.3%) </w:t>
            </w:r>
          </w:p>
        </w:tc>
        <w:tc>
          <w:tcPr>
            <w:tcW w:w="1276" w:type="dxa"/>
            <w:tcBorders>
              <w:top w:val="single" w:sz="6" w:space="0" w:color="000000"/>
              <w:left w:val="single" w:sz="6" w:space="0" w:color="000000"/>
              <w:bottom w:val="single" w:sz="6" w:space="0" w:color="000000"/>
              <w:right w:val="single" w:sz="6" w:space="0" w:color="000000"/>
            </w:tcBorders>
          </w:tcPr>
          <w:p w14:paraId="1081E203" w14:textId="77777777" w:rsidR="002D58E4" w:rsidRDefault="00F721D4">
            <w:pPr>
              <w:jc w:val="center"/>
              <w:rPr>
                <w:sz w:val="20"/>
                <w:szCs w:val="20"/>
              </w:rPr>
            </w:pPr>
            <w:r>
              <w:rPr>
                <w:sz w:val="20"/>
                <w:szCs w:val="20"/>
              </w:rPr>
              <w:t>RR 1.01</w:t>
            </w:r>
            <w:r>
              <w:rPr>
                <w:sz w:val="20"/>
                <w:szCs w:val="20"/>
              </w:rPr>
              <w:br/>
              <w:t xml:space="preserve">(0.61 to 1.68) </w:t>
            </w:r>
          </w:p>
        </w:tc>
        <w:tc>
          <w:tcPr>
            <w:tcW w:w="1843" w:type="dxa"/>
            <w:gridSpan w:val="2"/>
            <w:tcBorders>
              <w:top w:val="single" w:sz="6" w:space="0" w:color="000000"/>
              <w:left w:val="single" w:sz="6" w:space="0" w:color="000000"/>
              <w:bottom w:val="single" w:sz="6" w:space="0" w:color="000000"/>
              <w:right w:val="single" w:sz="6" w:space="0" w:color="000000"/>
            </w:tcBorders>
          </w:tcPr>
          <w:p w14:paraId="61C83EC4" w14:textId="77777777" w:rsidR="002D58E4" w:rsidRDefault="00F721D4">
            <w:pPr>
              <w:jc w:val="center"/>
              <w:rPr>
                <w:sz w:val="20"/>
                <w:szCs w:val="20"/>
              </w:rPr>
            </w:pPr>
            <w:r>
              <w:rPr>
                <w:sz w:val="20"/>
                <w:szCs w:val="20"/>
              </w:rPr>
              <w:t>3 more per 1,000</w:t>
            </w:r>
            <w:r>
              <w:rPr>
                <w:sz w:val="20"/>
                <w:szCs w:val="20"/>
              </w:rPr>
              <w:br/>
              <w:t xml:space="preserve">(from 99 fewer to 172 more) </w:t>
            </w:r>
          </w:p>
        </w:tc>
        <w:tc>
          <w:tcPr>
            <w:tcW w:w="1086" w:type="dxa"/>
            <w:tcBorders>
              <w:top w:val="single" w:sz="6" w:space="0" w:color="000000"/>
              <w:left w:val="single" w:sz="6" w:space="0" w:color="000000"/>
              <w:bottom w:val="single" w:sz="6" w:space="0" w:color="000000"/>
              <w:right w:val="single" w:sz="6" w:space="0" w:color="000000"/>
            </w:tcBorders>
          </w:tcPr>
          <w:p w14:paraId="5A1CCF7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41" w:type="dxa"/>
            <w:tcBorders>
              <w:top w:val="single" w:sz="6" w:space="0" w:color="000000"/>
              <w:left w:val="single" w:sz="6" w:space="0" w:color="000000"/>
              <w:bottom w:val="single" w:sz="6" w:space="0" w:color="000000"/>
              <w:right w:val="single" w:sz="6" w:space="0" w:color="000000"/>
            </w:tcBorders>
          </w:tcPr>
          <w:p w14:paraId="1E4F5E59" w14:textId="77777777" w:rsidR="002D58E4" w:rsidRDefault="00F721D4">
            <w:pPr>
              <w:rPr>
                <w:sz w:val="20"/>
                <w:szCs w:val="20"/>
              </w:rPr>
            </w:pPr>
            <w:r>
              <w:rPr>
                <w:sz w:val="20"/>
                <w:szCs w:val="20"/>
              </w:rPr>
              <w:t xml:space="preserve">IMPORTANT </w:t>
            </w:r>
          </w:p>
        </w:tc>
      </w:tr>
      <w:tr w:rsidR="002D58E4" w14:paraId="5D21F17D"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5A572B38" w14:textId="77777777" w:rsidR="002D58E4" w:rsidRDefault="00F721D4">
            <w:pPr>
              <w:rPr>
                <w:b/>
                <w:sz w:val="20"/>
                <w:szCs w:val="20"/>
              </w:rPr>
            </w:pPr>
            <w:r>
              <w:rPr>
                <w:b/>
                <w:sz w:val="20"/>
                <w:szCs w:val="20"/>
              </w:rPr>
              <w:t xml:space="preserve">Allergic Reaction </w:t>
            </w:r>
          </w:p>
        </w:tc>
      </w:tr>
      <w:tr w:rsidR="002D58E4" w14:paraId="3FDB668A" w14:textId="77777777" w:rsidTr="00E70FE5">
        <w:tc>
          <w:tcPr>
            <w:tcW w:w="724" w:type="dxa"/>
            <w:tcBorders>
              <w:top w:val="single" w:sz="6" w:space="0" w:color="000000"/>
              <w:left w:val="single" w:sz="6" w:space="0" w:color="000000"/>
              <w:bottom w:val="single" w:sz="6" w:space="0" w:color="000000"/>
              <w:right w:val="single" w:sz="6" w:space="0" w:color="000000"/>
            </w:tcBorders>
          </w:tcPr>
          <w:p w14:paraId="7A3A22B2"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23520226" w14:textId="77777777" w:rsidR="002D58E4" w:rsidRDefault="00F721D4">
            <w:pPr>
              <w:rPr>
                <w:sz w:val="20"/>
                <w:szCs w:val="20"/>
              </w:rPr>
            </w:pPr>
            <w:r>
              <w:rPr>
                <w:sz w:val="20"/>
                <w:szCs w:val="20"/>
              </w:rPr>
              <w:t xml:space="preserve">RCT </w:t>
            </w:r>
            <w:r>
              <w:rPr>
                <w:sz w:val="20"/>
                <w:szCs w:val="20"/>
                <w:vertAlign w:val="superscript"/>
              </w:rPr>
              <w:t>1,3</w:t>
            </w:r>
          </w:p>
        </w:tc>
        <w:tc>
          <w:tcPr>
            <w:tcW w:w="986" w:type="dxa"/>
            <w:tcBorders>
              <w:top w:val="single" w:sz="6" w:space="0" w:color="000000"/>
              <w:left w:val="single" w:sz="6" w:space="0" w:color="000000"/>
              <w:bottom w:val="single" w:sz="6" w:space="0" w:color="000000"/>
              <w:right w:val="single" w:sz="6" w:space="0" w:color="000000"/>
            </w:tcBorders>
          </w:tcPr>
          <w:p w14:paraId="1C292C78" w14:textId="77777777" w:rsidR="002D58E4" w:rsidRDefault="00F721D4">
            <w:pPr>
              <w:rPr>
                <w:sz w:val="20"/>
                <w:szCs w:val="20"/>
              </w:rPr>
            </w:pPr>
            <w:r>
              <w:rPr>
                <w:sz w:val="20"/>
                <w:szCs w:val="20"/>
              </w:rPr>
              <w:t xml:space="preserve">serious </w:t>
            </w:r>
            <w:r>
              <w:rPr>
                <w:sz w:val="20"/>
                <w:szCs w:val="20"/>
                <w:vertAlign w:val="superscript"/>
              </w:rPr>
              <w:t>a, g</w:t>
            </w:r>
          </w:p>
        </w:tc>
        <w:tc>
          <w:tcPr>
            <w:tcW w:w="991" w:type="dxa"/>
            <w:tcBorders>
              <w:top w:val="single" w:sz="6" w:space="0" w:color="000000"/>
              <w:left w:val="single" w:sz="6" w:space="0" w:color="000000"/>
              <w:bottom w:val="single" w:sz="6" w:space="0" w:color="000000"/>
              <w:right w:val="single" w:sz="6" w:space="0" w:color="000000"/>
            </w:tcBorders>
          </w:tcPr>
          <w:p w14:paraId="729BC810" w14:textId="77777777" w:rsidR="002D58E4" w:rsidRDefault="00F721D4">
            <w:pPr>
              <w:rPr>
                <w:sz w:val="20"/>
                <w:szCs w:val="20"/>
              </w:rPr>
            </w:pPr>
            <w:r>
              <w:rPr>
                <w:sz w:val="20"/>
                <w:szCs w:val="20"/>
              </w:rPr>
              <w:t xml:space="preserve">not serious </w:t>
            </w:r>
          </w:p>
        </w:tc>
        <w:tc>
          <w:tcPr>
            <w:tcW w:w="1140" w:type="dxa"/>
            <w:tcBorders>
              <w:top w:val="single" w:sz="6" w:space="0" w:color="000000"/>
              <w:left w:val="single" w:sz="6" w:space="0" w:color="000000"/>
              <w:bottom w:val="single" w:sz="6" w:space="0" w:color="000000"/>
              <w:right w:val="single" w:sz="6" w:space="0" w:color="000000"/>
            </w:tcBorders>
          </w:tcPr>
          <w:p w14:paraId="5D571129"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703A3BC4" w14:textId="77777777" w:rsidR="002D58E4" w:rsidRDefault="00F721D4">
            <w:pPr>
              <w:rPr>
                <w:sz w:val="20"/>
                <w:szCs w:val="20"/>
              </w:rPr>
            </w:pPr>
            <w:r>
              <w:rPr>
                <w:sz w:val="20"/>
                <w:szCs w:val="20"/>
              </w:rPr>
              <w:t>serious</w:t>
            </w:r>
            <w:r>
              <w:rPr>
                <w:sz w:val="20"/>
                <w:szCs w:val="20"/>
                <w:vertAlign w:val="superscript"/>
              </w:rPr>
              <w:t xml:space="preserve"> j</w:t>
            </w:r>
          </w:p>
        </w:tc>
        <w:tc>
          <w:tcPr>
            <w:tcW w:w="923" w:type="dxa"/>
            <w:tcBorders>
              <w:top w:val="single" w:sz="6" w:space="0" w:color="000000"/>
              <w:left w:val="single" w:sz="6" w:space="0" w:color="000000"/>
              <w:bottom w:val="single" w:sz="6" w:space="0" w:color="000000"/>
              <w:right w:val="single" w:sz="6" w:space="0" w:color="000000"/>
            </w:tcBorders>
          </w:tcPr>
          <w:p w14:paraId="0513C14C"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61EB3415" w14:textId="77777777" w:rsidR="002D58E4" w:rsidRDefault="00F721D4">
            <w:pPr>
              <w:jc w:val="center"/>
              <w:rPr>
                <w:sz w:val="20"/>
                <w:szCs w:val="20"/>
              </w:rPr>
            </w:pPr>
            <w:r>
              <w:rPr>
                <w:sz w:val="20"/>
                <w:szCs w:val="20"/>
              </w:rPr>
              <w:t xml:space="preserve">1/89 </w:t>
            </w:r>
          </w:p>
          <w:p w14:paraId="173A01AB" w14:textId="77777777" w:rsidR="002D58E4" w:rsidRDefault="00F721D4">
            <w:pPr>
              <w:jc w:val="center"/>
              <w:rPr>
                <w:sz w:val="20"/>
                <w:szCs w:val="20"/>
              </w:rPr>
            </w:pPr>
            <w:r>
              <w:rPr>
                <w:sz w:val="20"/>
                <w:szCs w:val="20"/>
              </w:rPr>
              <w:t xml:space="preserve">(1.1%) </w:t>
            </w:r>
          </w:p>
        </w:tc>
        <w:tc>
          <w:tcPr>
            <w:tcW w:w="1139" w:type="dxa"/>
            <w:tcBorders>
              <w:top w:val="single" w:sz="6" w:space="0" w:color="000000"/>
              <w:left w:val="single" w:sz="6" w:space="0" w:color="000000"/>
              <w:bottom w:val="single" w:sz="6" w:space="0" w:color="000000"/>
              <w:right w:val="single" w:sz="6" w:space="0" w:color="000000"/>
            </w:tcBorders>
          </w:tcPr>
          <w:p w14:paraId="275EB026" w14:textId="77777777" w:rsidR="002D58E4" w:rsidRDefault="00F721D4">
            <w:pPr>
              <w:jc w:val="center"/>
              <w:rPr>
                <w:sz w:val="20"/>
                <w:szCs w:val="20"/>
              </w:rPr>
            </w:pPr>
            <w:r>
              <w:rPr>
                <w:sz w:val="20"/>
                <w:szCs w:val="20"/>
              </w:rPr>
              <w:t xml:space="preserve">8/83 </w:t>
            </w:r>
          </w:p>
          <w:p w14:paraId="76987007" w14:textId="77777777" w:rsidR="002D58E4" w:rsidRDefault="00F721D4">
            <w:pPr>
              <w:jc w:val="center"/>
              <w:rPr>
                <w:sz w:val="20"/>
                <w:szCs w:val="20"/>
              </w:rPr>
            </w:pPr>
            <w:r>
              <w:rPr>
                <w:sz w:val="20"/>
                <w:szCs w:val="20"/>
              </w:rPr>
              <w:t xml:space="preserve">(9.6%) </w:t>
            </w:r>
          </w:p>
        </w:tc>
        <w:tc>
          <w:tcPr>
            <w:tcW w:w="1276" w:type="dxa"/>
            <w:tcBorders>
              <w:top w:val="single" w:sz="6" w:space="0" w:color="000000"/>
              <w:left w:val="single" w:sz="6" w:space="0" w:color="000000"/>
              <w:bottom w:val="single" w:sz="6" w:space="0" w:color="000000"/>
              <w:right w:val="single" w:sz="6" w:space="0" w:color="000000"/>
            </w:tcBorders>
          </w:tcPr>
          <w:p w14:paraId="510EAEA8" w14:textId="77777777" w:rsidR="002D58E4" w:rsidRDefault="00F721D4">
            <w:pPr>
              <w:jc w:val="center"/>
              <w:rPr>
                <w:b/>
                <w:sz w:val="20"/>
                <w:szCs w:val="20"/>
              </w:rPr>
            </w:pPr>
            <w:r>
              <w:rPr>
                <w:b/>
                <w:sz w:val="20"/>
                <w:szCs w:val="20"/>
              </w:rPr>
              <w:t>RR 0.16</w:t>
            </w:r>
            <w:r>
              <w:rPr>
                <w:b/>
                <w:sz w:val="20"/>
                <w:szCs w:val="20"/>
              </w:rPr>
              <w:br/>
              <w:t xml:space="preserve">(0.03 to 0.85) </w:t>
            </w:r>
          </w:p>
        </w:tc>
        <w:tc>
          <w:tcPr>
            <w:tcW w:w="1843" w:type="dxa"/>
            <w:gridSpan w:val="2"/>
            <w:tcBorders>
              <w:top w:val="single" w:sz="6" w:space="0" w:color="000000"/>
              <w:left w:val="single" w:sz="6" w:space="0" w:color="000000"/>
              <w:bottom w:val="single" w:sz="6" w:space="0" w:color="000000"/>
              <w:right w:val="single" w:sz="6" w:space="0" w:color="000000"/>
            </w:tcBorders>
          </w:tcPr>
          <w:p w14:paraId="3B4F5573" w14:textId="77777777" w:rsidR="002D58E4" w:rsidRDefault="00F721D4">
            <w:pPr>
              <w:jc w:val="center"/>
              <w:rPr>
                <w:b/>
                <w:sz w:val="20"/>
                <w:szCs w:val="20"/>
              </w:rPr>
            </w:pPr>
            <w:r>
              <w:rPr>
                <w:b/>
                <w:sz w:val="20"/>
                <w:szCs w:val="20"/>
              </w:rPr>
              <w:t>81 fewer per 1,000</w:t>
            </w:r>
            <w:r>
              <w:rPr>
                <w:b/>
                <w:sz w:val="20"/>
                <w:szCs w:val="20"/>
              </w:rPr>
              <w:br/>
              <w:t xml:space="preserve">(from 14 fewer to 93 fewer) </w:t>
            </w:r>
          </w:p>
        </w:tc>
        <w:tc>
          <w:tcPr>
            <w:tcW w:w="1086" w:type="dxa"/>
            <w:tcBorders>
              <w:top w:val="single" w:sz="6" w:space="0" w:color="000000"/>
              <w:left w:val="single" w:sz="6" w:space="0" w:color="000000"/>
              <w:bottom w:val="single" w:sz="6" w:space="0" w:color="000000"/>
              <w:right w:val="single" w:sz="6" w:space="0" w:color="000000"/>
            </w:tcBorders>
          </w:tcPr>
          <w:p w14:paraId="6D8DDE4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41" w:type="dxa"/>
            <w:tcBorders>
              <w:top w:val="single" w:sz="6" w:space="0" w:color="000000"/>
              <w:left w:val="single" w:sz="6" w:space="0" w:color="000000"/>
              <w:bottom w:val="single" w:sz="6" w:space="0" w:color="000000"/>
              <w:right w:val="single" w:sz="6" w:space="0" w:color="000000"/>
            </w:tcBorders>
          </w:tcPr>
          <w:p w14:paraId="7694A719" w14:textId="77777777" w:rsidR="002D58E4" w:rsidRDefault="00F721D4">
            <w:pPr>
              <w:rPr>
                <w:sz w:val="20"/>
                <w:szCs w:val="20"/>
              </w:rPr>
            </w:pPr>
            <w:r>
              <w:rPr>
                <w:sz w:val="20"/>
                <w:szCs w:val="20"/>
              </w:rPr>
              <w:t xml:space="preserve">IMPORTANT </w:t>
            </w:r>
          </w:p>
        </w:tc>
      </w:tr>
      <w:tr w:rsidR="002D58E4" w14:paraId="264C1688" w14:textId="77777777" w:rsidTr="00E70FE5">
        <w:tc>
          <w:tcPr>
            <w:tcW w:w="14320"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5EF98ABB" w14:textId="77777777" w:rsidR="002D58E4" w:rsidRDefault="00F721D4">
            <w:pPr>
              <w:rPr>
                <w:sz w:val="20"/>
                <w:szCs w:val="20"/>
              </w:rPr>
            </w:pPr>
            <w:r>
              <w:rPr>
                <w:b/>
                <w:sz w:val="20"/>
                <w:szCs w:val="20"/>
              </w:rPr>
              <w:t>Jarisch-Herxheimer Reaction</w:t>
            </w:r>
          </w:p>
        </w:tc>
      </w:tr>
      <w:tr w:rsidR="002D58E4" w14:paraId="290D7FA8" w14:textId="77777777" w:rsidTr="00E70FE5">
        <w:tc>
          <w:tcPr>
            <w:tcW w:w="724" w:type="dxa"/>
            <w:tcBorders>
              <w:top w:val="single" w:sz="6" w:space="0" w:color="000000"/>
              <w:left w:val="single" w:sz="6" w:space="0" w:color="000000"/>
              <w:bottom w:val="single" w:sz="6" w:space="0" w:color="000000"/>
              <w:right w:val="single" w:sz="6" w:space="0" w:color="000000"/>
            </w:tcBorders>
          </w:tcPr>
          <w:p w14:paraId="500916C7" w14:textId="77777777" w:rsidR="002D58E4" w:rsidRDefault="00F721D4">
            <w:pPr>
              <w:rPr>
                <w:sz w:val="20"/>
                <w:szCs w:val="20"/>
              </w:rPr>
            </w:pPr>
            <w:r>
              <w:rPr>
                <w:sz w:val="20"/>
                <w:szCs w:val="20"/>
              </w:rPr>
              <w:t xml:space="preserve">1 </w:t>
            </w:r>
          </w:p>
        </w:tc>
        <w:tc>
          <w:tcPr>
            <w:tcW w:w="828" w:type="dxa"/>
            <w:tcBorders>
              <w:top w:val="single" w:sz="6" w:space="0" w:color="000000"/>
              <w:left w:val="single" w:sz="6" w:space="0" w:color="000000"/>
              <w:bottom w:val="single" w:sz="6" w:space="0" w:color="000000"/>
              <w:right w:val="single" w:sz="6" w:space="0" w:color="000000"/>
            </w:tcBorders>
          </w:tcPr>
          <w:p w14:paraId="07BBB30D" w14:textId="77777777" w:rsidR="002D58E4" w:rsidRDefault="00F721D4">
            <w:pPr>
              <w:rPr>
                <w:sz w:val="20"/>
                <w:szCs w:val="20"/>
              </w:rPr>
            </w:pPr>
            <w:r>
              <w:rPr>
                <w:sz w:val="20"/>
                <w:szCs w:val="20"/>
              </w:rPr>
              <w:t xml:space="preserve">RCT </w:t>
            </w:r>
            <w:r>
              <w:rPr>
                <w:sz w:val="20"/>
                <w:szCs w:val="20"/>
                <w:vertAlign w:val="superscript"/>
              </w:rPr>
              <w:t>2</w:t>
            </w:r>
          </w:p>
        </w:tc>
        <w:tc>
          <w:tcPr>
            <w:tcW w:w="986" w:type="dxa"/>
            <w:tcBorders>
              <w:top w:val="single" w:sz="6" w:space="0" w:color="000000"/>
              <w:left w:val="single" w:sz="6" w:space="0" w:color="000000"/>
              <w:bottom w:val="single" w:sz="6" w:space="0" w:color="000000"/>
              <w:right w:val="single" w:sz="6" w:space="0" w:color="000000"/>
            </w:tcBorders>
          </w:tcPr>
          <w:p w14:paraId="46D0BCA2" w14:textId="77777777" w:rsidR="002D58E4" w:rsidRDefault="00F721D4">
            <w:pPr>
              <w:rPr>
                <w:sz w:val="20"/>
                <w:szCs w:val="20"/>
              </w:rPr>
            </w:pPr>
            <w:r>
              <w:rPr>
                <w:sz w:val="20"/>
                <w:szCs w:val="20"/>
              </w:rPr>
              <w:t xml:space="preserve">serious </w:t>
            </w:r>
            <w:r>
              <w:rPr>
                <w:sz w:val="20"/>
                <w:szCs w:val="20"/>
                <w:vertAlign w:val="superscript"/>
              </w:rPr>
              <w:t>g</w:t>
            </w:r>
          </w:p>
        </w:tc>
        <w:tc>
          <w:tcPr>
            <w:tcW w:w="991" w:type="dxa"/>
            <w:tcBorders>
              <w:top w:val="single" w:sz="6" w:space="0" w:color="000000"/>
              <w:left w:val="single" w:sz="6" w:space="0" w:color="000000"/>
              <w:bottom w:val="single" w:sz="6" w:space="0" w:color="000000"/>
              <w:right w:val="single" w:sz="6" w:space="0" w:color="000000"/>
            </w:tcBorders>
          </w:tcPr>
          <w:p w14:paraId="50E1748F" w14:textId="77777777" w:rsidR="002D58E4" w:rsidRDefault="00F721D4">
            <w:pPr>
              <w:rPr>
                <w:sz w:val="20"/>
                <w:szCs w:val="20"/>
              </w:rPr>
            </w:pPr>
            <w:r>
              <w:rPr>
                <w:sz w:val="20"/>
                <w:szCs w:val="20"/>
              </w:rPr>
              <w:t xml:space="preserve">not serious </w:t>
            </w:r>
          </w:p>
        </w:tc>
        <w:tc>
          <w:tcPr>
            <w:tcW w:w="1140" w:type="dxa"/>
            <w:tcBorders>
              <w:top w:val="single" w:sz="6" w:space="0" w:color="000000"/>
              <w:left w:val="single" w:sz="6" w:space="0" w:color="000000"/>
              <w:bottom w:val="single" w:sz="6" w:space="0" w:color="000000"/>
              <w:right w:val="single" w:sz="6" w:space="0" w:color="000000"/>
            </w:tcBorders>
          </w:tcPr>
          <w:p w14:paraId="74416664" w14:textId="77777777" w:rsidR="002D58E4" w:rsidRDefault="00F721D4">
            <w:pPr>
              <w:rPr>
                <w:sz w:val="20"/>
                <w:szCs w:val="20"/>
              </w:rPr>
            </w:pPr>
            <w:r>
              <w:rPr>
                <w:sz w:val="20"/>
                <w:szCs w:val="20"/>
              </w:rPr>
              <w:t xml:space="preserve">not serious </w:t>
            </w:r>
          </w:p>
        </w:tc>
        <w:tc>
          <w:tcPr>
            <w:tcW w:w="1065" w:type="dxa"/>
            <w:tcBorders>
              <w:top w:val="single" w:sz="6" w:space="0" w:color="000000"/>
              <w:left w:val="single" w:sz="6" w:space="0" w:color="000000"/>
              <w:bottom w:val="single" w:sz="6" w:space="0" w:color="000000"/>
              <w:right w:val="single" w:sz="6" w:space="0" w:color="000000"/>
            </w:tcBorders>
          </w:tcPr>
          <w:p w14:paraId="0C01FF5F" w14:textId="77777777" w:rsidR="002D58E4" w:rsidRDefault="00F721D4">
            <w:pPr>
              <w:rPr>
                <w:sz w:val="20"/>
                <w:szCs w:val="20"/>
              </w:rPr>
            </w:pPr>
            <w:r>
              <w:rPr>
                <w:sz w:val="20"/>
                <w:szCs w:val="20"/>
              </w:rPr>
              <w:t xml:space="preserve">serious </w:t>
            </w:r>
            <w:r>
              <w:rPr>
                <w:sz w:val="20"/>
                <w:szCs w:val="20"/>
                <w:vertAlign w:val="superscript"/>
              </w:rPr>
              <w:t>e, i</w:t>
            </w:r>
          </w:p>
        </w:tc>
        <w:tc>
          <w:tcPr>
            <w:tcW w:w="923" w:type="dxa"/>
            <w:tcBorders>
              <w:top w:val="single" w:sz="6" w:space="0" w:color="000000"/>
              <w:left w:val="single" w:sz="6" w:space="0" w:color="000000"/>
              <w:bottom w:val="single" w:sz="6" w:space="0" w:color="000000"/>
              <w:right w:val="single" w:sz="6" w:space="0" w:color="000000"/>
            </w:tcBorders>
          </w:tcPr>
          <w:p w14:paraId="43AE887F" w14:textId="77777777" w:rsidR="002D58E4" w:rsidRDefault="00F721D4">
            <w:pPr>
              <w:rPr>
                <w:sz w:val="20"/>
                <w:szCs w:val="20"/>
              </w:rPr>
            </w:pPr>
            <w:r>
              <w:rPr>
                <w:sz w:val="20"/>
                <w:szCs w:val="20"/>
              </w:rPr>
              <w:t xml:space="preserve">none </w:t>
            </w:r>
          </w:p>
        </w:tc>
        <w:tc>
          <w:tcPr>
            <w:tcW w:w="1276" w:type="dxa"/>
            <w:tcBorders>
              <w:top w:val="single" w:sz="6" w:space="0" w:color="000000"/>
              <w:left w:val="single" w:sz="6" w:space="0" w:color="000000"/>
              <w:bottom w:val="single" w:sz="6" w:space="0" w:color="000000"/>
              <w:right w:val="single" w:sz="6" w:space="0" w:color="000000"/>
            </w:tcBorders>
          </w:tcPr>
          <w:p w14:paraId="19B757B1" w14:textId="77777777" w:rsidR="002D58E4" w:rsidRDefault="00F721D4">
            <w:pPr>
              <w:jc w:val="center"/>
              <w:rPr>
                <w:sz w:val="20"/>
                <w:szCs w:val="20"/>
              </w:rPr>
            </w:pPr>
            <w:r>
              <w:rPr>
                <w:sz w:val="20"/>
                <w:szCs w:val="20"/>
              </w:rPr>
              <w:t xml:space="preserve">3/35 </w:t>
            </w:r>
          </w:p>
          <w:p w14:paraId="29ABD5D4" w14:textId="77777777" w:rsidR="002D58E4" w:rsidRDefault="00F721D4">
            <w:pPr>
              <w:jc w:val="center"/>
              <w:rPr>
                <w:sz w:val="20"/>
                <w:szCs w:val="20"/>
              </w:rPr>
            </w:pPr>
            <w:r>
              <w:rPr>
                <w:sz w:val="20"/>
                <w:szCs w:val="20"/>
              </w:rPr>
              <w:t xml:space="preserve">(8.6%) </w:t>
            </w:r>
          </w:p>
        </w:tc>
        <w:tc>
          <w:tcPr>
            <w:tcW w:w="1139" w:type="dxa"/>
            <w:tcBorders>
              <w:top w:val="single" w:sz="6" w:space="0" w:color="000000"/>
              <w:left w:val="single" w:sz="6" w:space="0" w:color="000000"/>
              <w:bottom w:val="single" w:sz="6" w:space="0" w:color="000000"/>
              <w:right w:val="single" w:sz="6" w:space="0" w:color="000000"/>
            </w:tcBorders>
          </w:tcPr>
          <w:p w14:paraId="4036E628" w14:textId="77777777" w:rsidR="002D58E4" w:rsidRDefault="00F721D4">
            <w:pPr>
              <w:jc w:val="center"/>
              <w:rPr>
                <w:sz w:val="20"/>
                <w:szCs w:val="20"/>
              </w:rPr>
            </w:pPr>
            <w:r>
              <w:rPr>
                <w:sz w:val="20"/>
                <w:szCs w:val="20"/>
              </w:rPr>
              <w:t xml:space="preserve">7/37 </w:t>
            </w:r>
          </w:p>
          <w:p w14:paraId="15285298" w14:textId="77777777" w:rsidR="002D58E4" w:rsidRDefault="00F721D4">
            <w:pPr>
              <w:jc w:val="center"/>
              <w:rPr>
                <w:sz w:val="20"/>
                <w:szCs w:val="20"/>
              </w:rPr>
            </w:pPr>
            <w:r>
              <w:rPr>
                <w:sz w:val="20"/>
                <w:szCs w:val="20"/>
              </w:rPr>
              <w:t xml:space="preserve">(18.9%) </w:t>
            </w:r>
          </w:p>
        </w:tc>
        <w:tc>
          <w:tcPr>
            <w:tcW w:w="1276" w:type="dxa"/>
            <w:tcBorders>
              <w:top w:val="single" w:sz="6" w:space="0" w:color="000000"/>
              <w:left w:val="single" w:sz="6" w:space="0" w:color="000000"/>
              <w:bottom w:val="single" w:sz="6" w:space="0" w:color="000000"/>
              <w:right w:val="single" w:sz="6" w:space="0" w:color="000000"/>
            </w:tcBorders>
          </w:tcPr>
          <w:p w14:paraId="46F53E53" w14:textId="77777777" w:rsidR="002D58E4" w:rsidRDefault="00F721D4">
            <w:pPr>
              <w:jc w:val="center"/>
              <w:rPr>
                <w:sz w:val="20"/>
                <w:szCs w:val="20"/>
              </w:rPr>
            </w:pPr>
            <w:r>
              <w:rPr>
                <w:sz w:val="20"/>
                <w:szCs w:val="20"/>
              </w:rPr>
              <w:t>RR 0.45</w:t>
            </w:r>
            <w:r>
              <w:rPr>
                <w:sz w:val="20"/>
                <w:szCs w:val="20"/>
              </w:rPr>
              <w:br/>
              <w:t xml:space="preserve">(0.13 to 1.62) </w:t>
            </w:r>
          </w:p>
        </w:tc>
        <w:tc>
          <w:tcPr>
            <w:tcW w:w="1843" w:type="dxa"/>
            <w:gridSpan w:val="2"/>
            <w:tcBorders>
              <w:top w:val="single" w:sz="6" w:space="0" w:color="000000"/>
              <w:left w:val="single" w:sz="6" w:space="0" w:color="000000"/>
              <w:bottom w:val="single" w:sz="6" w:space="0" w:color="000000"/>
              <w:right w:val="single" w:sz="6" w:space="0" w:color="000000"/>
            </w:tcBorders>
          </w:tcPr>
          <w:p w14:paraId="4964DD54" w14:textId="77777777" w:rsidR="002D58E4" w:rsidRDefault="00F721D4">
            <w:pPr>
              <w:jc w:val="center"/>
              <w:rPr>
                <w:sz w:val="20"/>
                <w:szCs w:val="20"/>
              </w:rPr>
            </w:pPr>
            <w:r>
              <w:rPr>
                <w:sz w:val="20"/>
                <w:szCs w:val="20"/>
              </w:rPr>
              <w:t>104 fewer per 1,000</w:t>
            </w:r>
            <w:r>
              <w:rPr>
                <w:sz w:val="20"/>
                <w:szCs w:val="20"/>
              </w:rPr>
              <w:br/>
              <w:t xml:space="preserve">(from 117 more to 165 fewer) </w:t>
            </w:r>
          </w:p>
        </w:tc>
        <w:tc>
          <w:tcPr>
            <w:tcW w:w="1086" w:type="dxa"/>
            <w:tcBorders>
              <w:top w:val="single" w:sz="6" w:space="0" w:color="000000"/>
              <w:left w:val="single" w:sz="6" w:space="0" w:color="000000"/>
              <w:bottom w:val="single" w:sz="6" w:space="0" w:color="000000"/>
              <w:right w:val="single" w:sz="6" w:space="0" w:color="000000"/>
            </w:tcBorders>
          </w:tcPr>
          <w:p w14:paraId="3D8BBDE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041" w:type="dxa"/>
            <w:tcBorders>
              <w:top w:val="single" w:sz="6" w:space="0" w:color="000000"/>
              <w:left w:val="single" w:sz="6" w:space="0" w:color="000000"/>
              <w:bottom w:val="single" w:sz="6" w:space="0" w:color="000000"/>
              <w:right w:val="single" w:sz="6" w:space="0" w:color="000000"/>
            </w:tcBorders>
          </w:tcPr>
          <w:p w14:paraId="350201D8" w14:textId="77777777" w:rsidR="002D58E4" w:rsidRDefault="00F721D4">
            <w:pPr>
              <w:rPr>
                <w:sz w:val="20"/>
                <w:szCs w:val="20"/>
              </w:rPr>
            </w:pPr>
            <w:r>
              <w:rPr>
                <w:sz w:val="20"/>
                <w:szCs w:val="20"/>
              </w:rPr>
              <w:t xml:space="preserve">IMPORTANT </w:t>
            </w:r>
          </w:p>
        </w:tc>
      </w:tr>
    </w:tbl>
    <w:p w14:paraId="05E70EC0" w14:textId="77777777" w:rsidR="002D58E4" w:rsidRDefault="00F721D4">
      <w:pPr>
        <w:spacing w:after="0"/>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 </w:t>
      </w:r>
      <w:r>
        <w:rPr>
          <w:b/>
          <w:color w:val="000000"/>
          <w:sz w:val="18"/>
          <w:szCs w:val="18"/>
        </w:rPr>
        <w:t>MD:</w:t>
      </w:r>
      <w:r>
        <w:rPr>
          <w:color w:val="000000"/>
          <w:sz w:val="18"/>
          <w:szCs w:val="18"/>
        </w:rPr>
        <w:t xml:space="preserve"> Mean difference</w:t>
      </w:r>
    </w:p>
    <w:p w14:paraId="0C2D9081" w14:textId="77777777" w:rsidR="002D58E4" w:rsidRDefault="00F721D4">
      <w:pPr>
        <w:spacing w:before="280" w:after="0"/>
        <w:rPr>
          <w:b/>
          <w:sz w:val="24"/>
          <w:szCs w:val="24"/>
        </w:rPr>
      </w:pPr>
      <w:r>
        <w:rPr>
          <w:b/>
          <w:sz w:val="24"/>
          <w:szCs w:val="24"/>
        </w:rPr>
        <w:t>Explanations</w:t>
      </w:r>
    </w:p>
    <w:p w14:paraId="4B0D538B" w14:textId="0AE46B33" w:rsidR="002D58E4" w:rsidRDefault="00F721D4">
      <w:pPr>
        <w:spacing w:after="0" w:line="240" w:lineRule="auto"/>
        <w:rPr>
          <w:sz w:val="18"/>
          <w:szCs w:val="18"/>
        </w:rPr>
      </w:pPr>
      <w:r>
        <w:rPr>
          <w:sz w:val="18"/>
          <w:szCs w:val="18"/>
        </w:rPr>
        <w:t xml:space="preserve">a. Massarotti 1992 received </w:t>
      </w:r>
      <w:r w:rsidR="00FF641A">
        <w:rPr>
          <w:sz w:val="18"/>
          <w:szCs w:val="18"/>
        </w:rPr>
        <w:t xml:space="preserve">a </w:t>
      </w:r>
      <w:r>
        <w:rPr>
          <w:sz w:val="18"/>
          <w:szCs w:val="18"/>
        </w:rPr>
        <w:t>high risk of bias due to the high number of participants excluded from final analysis due to negative serology (14 out of 55 randomized patients).</w:t>
      </w:r>
    </w:p>
    <w:p w14:paraId="594ADB8E" w14:textId="77777777" w:rsidR="002D58E4" w:rsidRDefault="00F721D4">
      <w:pPr>
        <w:spacing w:after="0" w:line="240" w:lineRule="auto"/>
        <w:rPr>
          <w:sz w:val="18"/>
          <w:szCs w:val="18"/>
        </w:rPr>
      </w:pPr>
      <w:r>
        <w:rPr>
          <w:sz w:val="18"/>
          <w:szCs w:val="18"/>
        </w:rPr>
        <w:t>b. I</w:t>
      </w:r>
      <w:r>
        <w:rPr>
          <w:sz w:val="18"/>
          <w:szCs w:val="18"/>
          <w:vertAlign w:val="superscript"/>
        </w:rPr>
        <w:t>2</w:t>
      </w:r>
      <w:r>
        <w:rPr>
          <w:sz w:val="18"/>
          <w:szCs w:val="18"/>
        </w:rPr>
        <w:t>= 80%</w:t>
      </w:r>
    </w:p>
    <w:p w14:paraId="27D5AB2F" w14:textId="77777777" w:rsidR="002D58E4" w:rsidRDefault="00F721D4">
      <w:pPr>
        <w:spacing w:after="0" w:line="240" w:lineRule="auto"/>
        <w:rPr>
          <w:sz w:val="18"/>
          <w:szCs w:val="18"/>
        </w:rPr>
      </w:pPr>
      <w:r>
        <w:rPr>
          <w:sz w:val="18"/>
          <w:szCs w:val="18"/>
        </w:rPr>
        <w:t xml:space="preserve">c. Based on an inferiority margin of 15%, not rated down for imprecision. </w:t>
      </w:r>
    </w:p>
    <w:p w14:paraId="4B14E052" w14:textId="77777777" w:rsidR="002D58E4" w:rsidRDefault="00F721D4">
      <w:pPr>
        <w:spacing w:after="0" w:line="240" w:lineRule="auto"/>
        <w:rPr>
          <w:sz w:val="18"/>
          <w:szCs w:val="18"/>
        </w:rPr>
      </w:pPr>
      <w:r>
        <w:rPr>
          <w:sz w:val="18"/>
          <w:szCs w:val="18"/>
        </w:rPr>
        <w:t>d. Eliassen 2018 reported duration of EM as median and range- Median for Doxy group was 14 days (range 3-293 days) and for Amoxicillin group was 13 days (range 4-179 days). These were converted to mean and SD using method by Hozo, et al. However, due to a wide range of EM duration in this study, the SDs are very large.</w:t>
      </w:r>
      <w:r>
        <w:rPr>
          <w:sz w:val="18"/>
          <w:szCs w:val="18"/>
          <w:u w:val="single"/>
        </w:rPr>
        <w:t xml:space="preserve"> </w:t>
      </w:r>
    </w:p>
    <w:p w14:paraId="7AEE971B" w14:textId="77777777" w:rsidR="002D58E4" w:rsidRDefault="00F721D4">
      <w:pPr>
        <w:spacing w:after="0" w:line="240" w:lineRule="auto"/>
        <w:rPr>
          <w:sz w:val="18"/>
          <w:szCs w:val="18"/>
        </w:rPr>
      </w:pPr>
      <w:r>
        <w:rPr>
          <w:sz w:val="18"/>
          <w:szCs w:val="18"/>
        </w:rPr>
        <w:t>e. Due to low event rate.</w:t>
      </w:r>
    </w:p>
    <w:p w14:paraId="2E27E789" w14:textId="77777777" w:rsidR="002D58E4" w:rsidRDefault="00F721D4">
      <w:pPr>
        <w:spacing w:after="0" w:line="240" w:lineRule="auto"/>
        <w:rPr>
          <w:sz w:val="18"/>
          <w:szCs w:val="18"/>
        </w:rPr>
      </w:pPr>
      <w:r>
        <w:rPr>
          <w:sz w:val="18"/>
          <w:szCs w:val="18"/>
        </w:rPr>
        <w:t>f. Due to zero event in both arms, unable to estimate the relative risk.</w:t>
      </w:r>
    </w:p>
    <w:p w14:paraId="4BEA4F01" w14:textId="538D1221" w:rsidR="002D58E4" w:rsidRDefault="00F721D4">
      <w:pPr>
        <w:spacing w:after="0"/>
        <w:rPr>
          <w:sz w:val="18"/>
          <w:szCs w:val="18"/>
        </w:rPr>
      </w:pPr>
      <w:r>
        <w:rPr>
          <w:sz w:val="18"/>
          <w:szCs w:val="18"/>
        </w:rPr>
        <w:t>g. All studies received high risk of bias ratings due to potentially inadequate blinding (for self-reported outcomes)</w:t>
      </w:r>
      <w:r w:rsidR="00FF641A">
        <w:rPr>
          <w:sz w:val="18"/>
          <w:szCs w:val="18"/>
        </w:rPr>
        <w:t>.</w:t>
      </w:r>
    </w:p>
    <w:p w14:paraId="76E5CA34" w14:textId="77777777" w:rsidR="002D58E4" w:rsidRDefault="00F721D4">
      <w:pPr>
        <w:spacing w:after="0"/>
        <w:rPr>
          <w:sz w:val="18"/>
          <w:szCs w:val="18"/>
        </w:rPr>
      </w:pPr>
      <w:r>
        <w:rPr>
          <w:sz w:val="18"/>
          <w:szCs w:val="18"/>
        </w:rPr>
        <w:t>h. I</w:t>
      </w:r>
      <w:r>
        <w:rPr>
          <w:sz w:val="18"/>
          <w:szCs w:val="18"/>
          <w:vertAlign w:val="superscript"/>
        </w:rPr>
        <w:t>2</w:t>
      </w:r>
      <w:r>
        <w:rPr>
          <w:sz w:val="18"/>
          <w:szCs w:val="18"/>
        </w:rPr>
        <w:t xml:space="preserve">= 63% </w:t>
      </w:r>
    </w:p>
    <w:p w14:paraId="688B1BDB" w14:textId="77777777" w:rsidR="002D58E4" w:rsidRDefault="00F721D4">
      <w:pPr>
        <w:spacing w:after="0"/>
        <w:rPr>
          <w:sz w:val="18"/>
          <w:szCs w:val="18"/>
        </w:rPr>
      </w:pPr>
      <w:r>
        <w:rPr>
          <w:sz w:val="18"/>
          <w:szCs w:val="18"/>
        </w:rPr>
        <w:t>i. 95% CI crossing the null value.</w:t>
      </w:r>
    </w:p>
    <w:p w14:paraId="3BB8A136" w14:textId="77777777" w:rsidR="002D58E4" w:rsidRDefault="00F721D4">
      <w:pPr>
        <w:spacing w:after="0"/>
        <w:rPr>
          <w:sz w:val="18"/>
          <w:szCs w:val="18"/>
        </w:rPr>
      </w:pPr>
      <w:r>
        <w:rPr>
          <w:sz w:val="18"/>
          <w:szCs w:val="18"/>
        </w:rPr>
        <w:t>j. Fragility due to low event rate.</w:t>
      </w:r>
    </w:p>
    <w:p w14:paraId="350D69BD" w14:textId="77777777" w:rsidR="002D58E4" w:rsidRDefault="00F721D4">
      <w:pPr>
        <w:widowControl w:val="0"/>
        <w:pBdr>
          <w:top w:val="nil"/>
          <w:left w:val="nil"/>
          <w:bottom w:val="nil"/>
          <w:right w:val="nil"/>
          <w:between w:val="nil"/>
        </w:pBdr>
        <w:spacing w:after="0"/>
        <w:rPr>
          <w:b/>
          <w:color w:val="000000"/>
          <w:sz w:val="24"/>
          <w:szCs w:val="24"/>
          <w:u w:val="single"/>
        </w:rPr>
        <w:sectPr w:rsidR="002D58E4" w:rsidSect="00FF641A">
          <w:type w:val="continuous"/>
          <w:pgSz w:w="15840" w:h="12240"/>
          <w:pgMar w:top="720" w:right="531" w:bottom="720" w:left="720" w:header="720" w:footer="720" w:gutter="0"/>
          <w:cols w:space="720" w:equalWidth="0">
            <w:col w:w="14589"/>
          </w:cols>
        </w:sectPr>
      </w:pPr>
      <w:r>
        <w:br w:type="page"/>
      </w:r>
    </w:p>
    <w:p w14:paraId="5E9E3852" w14:textId="77777777" w:rsidR="002D58E4" w:rsidRDefault="00F721D4">
      <w:pPr>
        <w:spacing w:after="0"/>
        <w:rPr>
          <w:b/>
          <w:color w:val="000000"/>
          <w:sz w:val="24"/>
          <w:szCs w:val="24"/>
          <w:u w:val="single"/>
        </w:rPr>
      </w:pPr>
      <w:r>
        <w:rPr>
          <w:b/>
          <w:color w:val="000000"/>
          <w:sz w:val="24"/>
          <w:szCs w:val="24"/>
          <w:u w:val="single"/>
        </w:rPr>
        <w:lastRenderedPageBreak/>
        <w:t xml:space="preserve">CEFUROXIME vs. PENICILLIN V </w:t>
      </w:r>
    </w:p>
    <w:p w14:paraId="76E3989F" w14:textId="77777777" w:rsidR="002D58E4" w:rsidRDefault="00F721D4">
      <w:pPr>
        <w:spacing w:after="0"/>
        <w:rPr>
          <w:b/>
        </w:rPr>
      </w:pPr>
      <w:r>
        <w:rPr>
          <w:b/>
        </w:rPr>
        <w:t>In patients with erythema migrans, should Cefuroxime be used over Penicillins V?</w:t>
      </w:r>
    </w:p>
    <w:p w14:paraId="14630F1D" w14:textId="77777777" w:rsidR="002D58E4" w:rsidRDefault="00F721D4">
      <w:pPr>
        <w:spacing w:after="0"/>
      </w:pPr>
      <w:r>
        <w:t>P: In patients with erythema migrans</w:t>
      </w:r>
    </w:p>
    <w:p w14:paraId="37478F0C" w14:textId="77777777" w:rsidR="002D58E4" w:rsidRPr="00F721D4" w:rsidRDefault="00F721D4">
      <w:pPr>
        <w:spacing w:after="0"/>
        <w:rPr>
          <w:lang w:val="fr-CA"/>
        </w:rPr>
      </w:pPr>
      <w:r w:rsidRPr="00F721D4">
        <w:rPr>
          <w:lang w:val="fr-CA"/>
        </w:rPr>
        <w:t>I: Cefuroxime</w:t>
      </w:r>
    </w:p>
    <w:p w14:paraId="4F478C16" w14:textId="77777777" w:rsidR="002D58E4" w:rsidRPr="00F721D4" w:rsidRDefault="00F721D4">
      <w:pPr>
        <w:spacing w:after="0"/>
        <w:rPr>
          <w:lang w:val="fr-CA"/>
        </w:rPr>
      </w:pPr>
      <w:r w:rsidRPr="00F721D4">
        <w:rPr>
          <w:lang w:val="fr-CA"/>
        </w:rPr>
        <w:t>C: Penicillin V</w:t>
      </w:r>
    </w:p>
    <w:p w14:paraId="06D601D6" w14:textId="77777777" w:rsidR="002D58E4" w:rsidRPr="00F721D4" w:rsidRDefault="002D58E4">
      <w:pPr>
        <w:spacing w:after="0"/>
        <w:rPr>
          <w:b/>
          <w:color w:val="000000"/>
          <w:sz w:val="18"/>
          <w:szCs w:val="18"/>
          <w:lang w:val="fr-CA"/>
        </w:rPr>
      </w:pPr>
    </w:p>
    <w:p w14:paraId="5B111A0D" w14:textId="77777777" w:rsidR="002D58E4" w:rsidRDefault="00F721D4" w:rsidP="00DE33EC">
      <w:pPr>
        <w:rPr>
          <w:color w:val="000000"/>
          <w:sz w:val="18"/>
          <w:szCs w:val="18"/>
        </w:rPr>
      </w:pPr>
      <w:r w:rsidRPr="00F721D4">
        <w:rPr>
          <w:b/>
          <w:color w:val="000000"/>
          <w:sz w:val="18"/>
          <w:szCs w:val="18"/>
          <w:lang w:val="fr-CA"/>
        </w:rPr>
        <w:t>Bibliography</w:t>
      </w:r>
      <w:r w:rsidRPr="00F721D4">
        <w:rPr>
          <w:color w:val="000000"/>
          <w:sz w:val="18"/>
          <w:szCs w:val="18"/>
          <w:lang w:val="fr-CA"/>
        </w:rPr>
        <w:t xml:space="preserve">: 1. Arnez, et al. </w:t>
      </w:r>
      <w:r>
        <w:rPr>
          <w:color w:val="000000"/>
          <w:sz w:val="18"/>
          <w:szCs w:val="18"/>
        </w:rPr>
        <w:t>(PEDIATRIC STUDY) Wien Klin Wochenschr. 1999 Dec 10;111(22-23):916-22.</w:t>
      </w:r>
    </w:p>
    <w:tbl>
      <w:tblPr>
        <w:tblStyle w:val="af1"/>
        <w:tblW w:w="14594"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5"/>
        <w:gridCol w:w="679"/>
        <w:gridCol w:w="830"/>
        <w:gridCol w:w="1244"/>
        <w:gridCol w:w="1117"/>
        <w:gridCol w:w="1071"/>
        <w:gridCol w:w="1317"/>
        <w:gridCol w:w="1056"/>
        <w:gridCol w:w="992"/>
        <w:gridCol w:w="1274"/>
        <w:gridCol w:w="47"/>
        <w:gridCol w:w="1981"/>
        <w:gridCol w:w="1140"/>
        <w:gridCol w:w="1121"/>
      </w:tblGrid>
      <w:tr w:rsidR="002D58E4" w14:paraId="7B94CE9E" w14:textId="77777777" w:rsidTr="00E70FE5">
        <w:tc>
          <w:tcPr>
            <w:tcW w:w="6983"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3A213E1D" w14:textId="77777777" w:rsidR="002D58E4" w:rsidRDefault="00F721D4">
            <w:pPr>
              <w:jc w:val="center"/>
              <w:rPr>
                <w:b/>
                <w:sz w:val="20"/>
                <w:szCs w:val="20"/>
              </w:rPr>
            </w:pPr>
            <w:r>
              <w:rPr>
                <w:b/>
                <w:sz w:val="20"/>
                <w:szCs w:val="20"/>
              </w:rPr>
              <w:t>Certainty assessment</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858ACC3" w14:textId="77777777" w:rsidR="002D58E4" w:rsidRDefault="00F721D4">
            <w:pPr>
              <w:jc w:val="center"/>
              <w:rPr>
                <w:b/>
                <w:sz w:val="20"/>
                <w:szCs w:val="20"/>
              </w:rPr>
            </w:pPr>
            <w:r>
              <w:rPr>
                <w:b/>
                <w:sz w:val="18"/>
                <w:szCs w:val="18"/>
              </w:rPr>
              <w:t>№ of Events/№ of patients</w:t>
            </w:r>
          </w:p>
        </w:tc>
        <w:tc>
          <w:tcPr>
            <w:tcW w:w="3302" w:type="dxa"/>
            <w:gridSpan w:val="3"/>
            <w:tcBorders>
              <w:top w:val="single" w:sz="6" w:space="0" w:color="000000"/>
              <w:left w:val="single" w:sz="6" w:space="0" w:color="000000"/>
              <w:bottom w:val="single" w:sz="6" w:space="0" w:color="000000"/>
              <w:right w:val="single" w:sz="6" w:space="0" w:color="000000"/>
            </w:tcBorders>
            <w:shd w:val="clear" w:color="auto" w:fill="DDDDDD"/>
            <w:vAlign w:val="center"/>
          </w:tcPr>
          <w:p w14:paraId="6CE88097" w14:textId="77777777" w:rsidR="002D58E4" w:rsidRDefault="00F721D4">
            <w:pPr>
              <w:jc w:val="center"/>
              <w:rPr>
                <w:b/>
                <w:sz w:val="20"/>
                <w:szCs w:val="20"/>
              </w:rPr>
            </w:pPr>
            <w:r>
              <w:rPr>
                <w:b/>
                <w:sz w:val="20"/>
                <w:szCs w:val="20"/>
              </w:rPr>
              <w:t>Effect</w:t>
            </w:r>
          </w:p>
        </w:tc>
        <w:tc>
          <w:tcPr>
            <w:tcW w:w="1140" w:type="dxa"/>
            <w:vMerge w:val="restart"/>
            <w:tcBorders>
              <w:top w:val="single" w:sz="6" w:space="0" w:color="000000"/>
              <w:left w:val="single" w:sz="6" w:space="0" w:color="000000"/>
              <w:right w:val="single" w:sz="6" w:space="0" w:color="000000"/>
            </w:tcBorders>
            <w:shd w:val="clear" w:color="auto" w:fill="DDDDDD"/>
            <w:vAlign w:val="center"/>
          </w:tcPr>
          <w:p w14:paraId="2E9A1333" w14:textId="77777777" w:rsidR="002D58E4" w:rsidRDefault="00F721D4">
            <w:pPr>
              <w:jc w:val="center"/>
              <w:rPr>
                <w:b/>
                <w:sz w:val="20"/>
                <w:szCs w:val="20"/>
              </w:rPr>
            </w:pPr>
            <w:r>
              <w:rPr>
                <w:b/>
                <w:sz w:val="20"/>
                <w:szCs w:val="20"/>
              </w:rPr>
              <w:t>Certainty</w:t>
            </w:r>
          </w:p>
        </w:tc>
        <w:tc>
          <w:tcPr>
            <w:tcW w:w="1120" w:type="dxa"/>
            <w:vMerge w:val="restart"/>
            <w:tcBorders>
              <w:top w:val="single" w:sz="6" w:space="0" w:color="000000"/>
              <w:left w:val="single" w:sz="6" w:space="0" w:color="000000"/>
              <w:right w:val="single" w:sz="6" w:space="0" w:color="000000"/>
            </w:tcBorders>
            <w:shd w:val="clear" w:color="auto" w:fill="DDDDDD"/>
            <w:vAlign w:val="center"/>
          </w:tcPr>
          <w:p w14:paraId="67DF4632" w14:textId="77777777" w:rsidR="002D58E4" w:rsidRDefault="00F721D4">
            <w:pPr>
              <w:jc w:val="center"/>
              <w:rPr>
                <w:b/>
                <w:sz w:val="20"/>
                <w:szCs w:val="20"/>
              </w:rPr>
            </w:pPr>
            <w:r>
              <w:rPr>
                <w:b/>
                <w:sz w:val="20"/>
                <w:szCs w:val="20"/>
              </w:rPr>
              <w:t>Importance</w:t>
            </w:r>
          </w:p>
        </w:tc>
      </w:tr>
      <w:tr w:rsidR="002D58E4" w14:paraId="2AA2EC1F" w14:textId="77777777" w:rsidTr="00E70FE5">
        <w:tc>
          <w:tcPr>
            <w:tcW w:w="72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6C7772A" w14:textId="77777777" w:rsidR="002D58E4" w:rsidRDefault="00F721D4">
            <w:pPr>
              <w:jc w:val="center"/>
              <w:rPr>
                <w:b/>
                <w:sz w:val="20"/>
                <w:szCs w:val="20"/>
              </w:rPr>
            </w:pPr>
            <w:r>
              <w:rPr>
                <w:b/>
                <w:sz w:val="20"/>
                <w:szCs w:val="20"/>
              </w:rPr>
              <w:t>№ of studies</w:t>
            </w:r>
          </w:p>
        </w:tc>
        <w:tc>
          <w:tcPr>
            <w:tcW w:w="67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D335228" w14:textId="77777777" w:rsidR="002D58E4" w:rsidRDefault="00F721D4">
            <w:pPr>
              <w:jc w:val="center"/>
              <w:rPr>
                <w:b/>
                <w:sz w:val="20"/>
                <w:szCs w:val="20"/>
              </w:rPr>
            </w:pPr>
            <w:r>
              <w:rPr>
                <w:b/>
                <w:sz w:val="20"/>
                <w:szCs w:val="20"/>
              </w:rPr>
              <w:t>Study design</w:t>
            </w:r>
          </w:p>
        </w:tc>
        <w:tc>
          <w:tcPr>
            <w:tcW w:w="830"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4E3C8CF" w14:textId="77777777" w:rsidR="002D58E4" w:rsidRDefault="00F721D4">
            <w:pPr>
              <w:jc w:val="center"/>
              <w:rPr>
                <w:b/>
                <w:sz w:val="20"/>
                <w:szCs w:val="20"/>
              </w:rPr>
            </w:pPr>
            <w:r>
              <w:rPr>
                <w:b/>
                <w:sz w:val="20"/>
                <w:szCs w:val="20"/>
              </w:rPr>
              <w:t>Risk of bias</w:t>
            </w:r>
          </w:p>
        </w:tc>
        <w:tc>
          <w:tcPr>
            <w:tcW w:w="124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19B85D7" w14:textId="77777777" w:rsidR="002D58E4" w:rsidRDefault="00F721D4">
            <w:pPr>
              <w:jc w:val="center"/>
              <w:rPr>
                <w:b/>
                <w:sz w:val="20"/>
                <w:szCs w:val="20"/>
              </w:rPr>
            </w:pPr>
            <w:r>
              <w:rPr>
                <w:b/>
                <w:sz w:val="20"/>
                <w:szCs w:val="20"/>
              </w:rPr>
              <w:t>Inconsistency</w:t>
            </w:r>
          </w:p>
        </w:tc>
        <w:tc>
          <w:tcPr>
            <w:tcW w:w="111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66A5E5F" w14:textId="77777777" w:rsidR="002D58E4" w:rsidRDefault="00F721D4">
            <w:pPr>
              <w:jc w:val="center"/>
              <w:rPr>
                <w:b/>
                <w:sz w:val="20"/>
                <w:szCs w:val="20"/>
              </w:rPr>
            </w:pPr>
            <w:r>
              <w:rPr>
                <w:b/>
                <w:sz w:val="20"/>
                <w:szCs w:val="20"/>
              </w:rPr>
              <w:t>Indirectness</w:t>
            </w:r>
          </w:p>
        </w:tc>
        <w:tc>
          <w:tcPr>
            <w:tcW w:w="107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9B3577A" w14:textId="77777777" w:rsidR="002D58E4" w:rsidRDefault="00F721D4">
            <w:pPr>
              <w:jc w:val="center"/>
              <w:rPr>
                <w:b/>
                <w:sz w:val="20"/>
                <w:szCs w:val="20"/>
              </w:rPr>
            </w:pPr>
            <w:r>
              <w:rPr>
                <w:b/>
                <w:sz w:val="20"/>
                <w:szCs w:val="20"/>
              </w:rPr>
              <w:t>Imprecision</w:t>
            </w:r>
          </w:p>
        </w:tc>
        <w:tc>
          <w:tcPr>
            <w:tcW w:w="131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02FAB8E" w14:textId="77777777" w:rsidR="002D58E4" w:rsidRDefault="00F721D4">
            <w:pPr>
              <w:jc w:val="center"/>
              <w:rPr>
                <w:b/>
                <w:sz w:val="20"/>
                <w:szCs w:val="20"/>
              </w:rPr>
            </w:pPr>
            <w:r>
              <w:rPr>
                <w:b/>
                <w:sz w:val="20"/>
                <w:szCs w:val="20"/>
              </w:rPr>
              <w:t>Other considerations</w:t>
            </w:r>
          </w:p>
        </w:tc>
        <w:tc>
          <w:tcPr>
            <w:tcW w:w="105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FD51DF6" w14:textId="77777777" w:rsidR="002D58E4" w:rsidRDefault="00F721D4">
            <w:pPr>
              <w:jc w:val="center"/>
              <w:rPr>
                <w:b/>
                <w:sz w:val="20"/>
                <w:szCs w:val="20"/>
              </w:rPr>
            </w:pPr>
            <w:r>
              <w:rPr>
                <w:b/>
                <w:sz w:val="20"/>
                <w:szCs w:val="20"/>
              </w:rPr>
              <w:t>Cefuroxime</w:t>
            </w:r>
          </w:p>
        </w:tc>
        <w:tc>
          <w:tcPr>
            <w:tcW w:w="992"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DEB22C2" w14:textId="77777777" w:rsidR="002D58E4" w:rsidRDefault="00F721D4">
            <w:pPr>
              <w:jc w:val="center"/>
              <w:rPr>
                <w:b/>
                <w:sz w:val="20"/>
                <w:szCs w:val="20"/>
              </w:rPr>
            </w:pPr>
            <w:r>
              <w:rPr>
                <w:b/>
                <w:sz w:val="20"/>
                <w:szCs w:val="20"/>
              </w:rPr>
              <w:t>Penicillin V</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40A155C0" w14:textId="77777777" w:rsidR="002D58E4" w:rsidRDefault="00F721D4">
            <w:pPr>
              <w:jc w:val="center"/>
              <w:rPr>
                <w:b/>
                <w:sz w:val="20"/>
                <w:szCs w:val="20"/>
              </w:rPr>
            </w:pPr>
            <w:r>
              <w:rPr>
                <w:b/>
                <w:sz w:val="20"/>
                <w:szCs w:val="20"/>
              </w:rPr>
              <w:t>Relative</w:t>
            </w:r>
            <w:r>
              <w:rPr>
                <w:b/>
                <w:sz w:val="20"/>
                <w:szCs w:val="20"/>
              </w:rPr>
              <w:br/>
              <w:t>(95% CI)</w:t>
            </w:r>
          </w:p>
        </w:tc>
        <w:tc>
          <w:tcPr>
            <w:tcW w:w="198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8638889" w14:textId="77777777" w:rsidR="002D58E4" w:rsidRDefault="00F721D4">
            <w:pPr>
              <w:jc w:val="center"/>
              <w:rPr>
                <w:b/>
                <w:sz w:val="20"/>
                <w:szCs w:val="20"/>
              </w:rPr>
            </w:pPr>
            <w:r>
              <w:rPr>
                <w:b/>
                <w:sz w:val="20"/>
                <w:szCs w:val="20"/>
              </w:rPr>
              <w:t>Absolute</w:t>
            </w:r>
            <w:r>
              <w:rPr>
                <w:b/>
                <w:sz w:val="20"/>
                <w:szCs w:val="20"/>
              </w:rPr>
              <w:br/>
              <w:t>(95% CI)</w:t>
            </w:r>
          </w:p>
        </w:tc>
        <w:tc>
          <w:tcPr>
            <w:tcW w:w="1140" w:type="dxa"/>
            <w:vMerge/>
            <w:tcBorders>
              <w:top w:val="single" w:sz="6" w:space="0" w:color="000000"/>
              <w:left w:val="single" w:sz="6" w:space="0" w:color="000000"/>
              <w:right w:val="single" w:sz="6" w:space="0" w:color="000000"/>
            </w:tcBorders>
            <w:shd w:val="clear" w:color="auto" w:fill="DDDDDD"/>
            <w:vAlign w:val="center"/>
          </w:tcPr>
          <w:p w14:paraId="6D79A4D1" w14:textId="77777777" w:rsidR="002D58E4" w:rsidRDefault="002D58E4">
            <w:pPr>
              <w:widowControl w:val="0"/>
              <w:pBdr>
                <w:top w:val="nil"/>
                <w:left w:val="nil"/>
                <w:bottom w:val="nil"/>
                <w:right w:val="nil"/>
                <w:between w:val="nil"/>
              </w:pBdr>
              <w:spacing w:line="276" w:lineRule="auto"/>
              <w:rPr>
                <w:b/>
                <w:sz w:val="20"/>
                <w:szCs w:val="20"/>
              </w:rPr>
            </w:pPr>
          </w:p>
        </w:tc>
        <w:tc>
          <w:tcPr>
            <w:tcW w:w="1120" w:type="dxa"/>
            <w:vMerge/>
            <w:tcBorders>
              <w:top w:val="single" w:sz="6" w:space="0" w:color="000000"/>
              <w:left w:val="single" w:sz="6" w:space="0" w:color="000000"/>
              <w:right w:val="single" w:sz="6" w:space="0" w:color="000000"/>
            </w:tcBorders>
            <w:shd w:val="clear" w:color="auto" w:fill="DDDDDD"/>
            <w:vAlign w:val="center"/>
          </w:tcPr>
          <w:p w14:paraId="6EB4D6D7" w14:textId="77777777" w:rsidR="002D58E4" w:rsidRDefault="002D58E4">
            <w:pPr>
              <w:widowControl w:val="0"/>
              <w:pBdr>
                <w:top w:val="nil"/>
                <w:left w:val="nil"/>
                <w:bottom w:val="nil"/>
                <w:right w:val="nil"/>
                <w:between w:val="nil"/>
              </w:pBdr>
              <w:spacing w:line="276" w:lineRule="auto"/>
              <w:rPr>
                <w:b/>
                <w:sz w:val="20"/>
                <w:szCs w:val="20"/>
              </w:rPr>
            </w:pPr>
          </w:p>
        </w:tc>
      </w:tr>
      <w:tr w:rsidR="002D58E4" w14:paraId="5A2BE2A4" w14:textId="77777777" w:rsidTr="00E70FE5">
        <w:tc>
          <w:tcPr>
            <w:tcW w:w="14594"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7491809" w14:textId="77777777" w:rsidR="002D58E4" w:rsidRDefault="00F721D4">
            <w:pPr>
              <w:rPr>
                <w:sz w:val="20"/>
                <w:szCs w:val="20"/>
              </w:rPr>
            </w:pPr>
            <w:r>
              <w:rPr>
                <w:b/>
                <w:sz w:val="20"/>
                <w:szCs w:val="20"/>
              </w:rPr>
              <w:t>R</w:t>
            </w:r>
            <w:r>
              <w:rPr>
                <w:b/>
              </w:rPr>
              <w:t>esolution</w:t>
            </w:r>
            <w:r>
              <w:rPr>
                <w:b/>
                <w:sz w:val="20"/>
                <w:szCs w:val="20"/>
              </w:rPr>
              <w:t xml:space="preserve"> of Erythema Migrans </w:t>
            </w:r>
            <w:r>
              <w:rPr>
                <w:sz w:val="20"/>
                <w:szCs w:val="20"/>
              </w:rPr>
              <w:t xml:space="preserve">(after 1 month) </w:t>
            </w:r>
          </w:p>
        </w:tc>
      </w:tr>
      <w:tr w:rsidR="002D58E4" w14:paraId="35603199" w14:textId="77777777" w:rsidTr="00E70FE5">
        <w:tc>
          <w:tcPr>
            <w:tcW w:w="725" w:type="dxa"/>
            <w:tcBorders>
              <w:top w:val="single" w:sz="6" w:space="0" w:color="000000"/>
              <w:left w:val="single" w:sz="6" w:space="0" w:color="000000"/>
              <w:bottom w:val="single" w:sz="6" w:space="0" w:color="000000"/>
              <w:right w:val="single" w:sz="6" w:space="0" w:color="000000"/>
            </w:tcBorders>
          </w:tcPr>
          <w:p w14:paraId="60A29175"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57B31436" w14:textId="77777777" w:rsidR="002D58E4" w:rsidRDefault="00F721D4">
            <w:pPr>
              <w:rPr>
                <w:sz w:val="20"/>
                <w:szCs w:val="20"/>
              </w:rPr>
            </w:pPr>
            <w:r>
              <w:rPr>
                <w:sz w:val="20"/>
                <w:szCs w:val="20"/>
              </w:rPr>
              <w:t xml:space="preserve">RCT </w:t>
            </w:r>
            <w:r>
              <w:rPr>
                <w:sz w:val="20"/>
                <w:szCs w:val="20"/>
                <w:vertAlign w:val="superscript"/>
              </w:rPr>
              <w:t>1</w:t>
            </w:r>
          </w:p>
        </w:tc>
        <w:tc>
          <w:tcPr>
            <w:tcW w:w="830" w:type="dxa"/>
            <w:tcBorders>
              <w:top w:val="single" w:sz="6" w:space="0" w:color="000000"/>
              <w:left w:val="single" w:sz="6" w:space="0" w:color="000000"/>
              <w:bottom w:val="single" w:sz="6" w:space="0" w:color="000000"/>
              <w:right w:val="single" w:sz="6" w:space="0" w:color="000000"/>
            </w:tcBorders>
          </w:tcPr>
          <w:p w14:paraId="0C1B4C3D"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0E4873DD"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0C91A581"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4A86EC87" w14:textId="77777777" w:rsidR="002D58E4" w:rsidRDefault="00F721D4">
            <w:pPr>
              <w:rPr>
                <w:sz w:val="20"/>
                <w:szCs w:val="20"/>
              </w:rPr>
            </w:pPr>
            <w:r>
              <w:rPr>
                <w:sz w:val="20"/>
                <w:szCs w:val="20"/>
              </w:rPr>
              <w:t xml:space="preserve">not serious </w:t>
            </w:r>
            <w:r>
              <w:rPr>
                <w:sz w:val="20"/>
                <w:szCs w:val="20"/>
                <w:vertAlign w:val="superscript"/>
              </w:rPr>
              <w:t>b</w:t>
            </w:r>
          </w:p>
        </w:tc>
        <w:tc>
          <w:tcPr>
            <w:tcW w:w="1317" w:type="dxa"/>
            <w:tcBorders>
              <w:top w:val="single" w:sz="6" w:space="0" w:color="000000"/>
              <w:left w:val="single" w:sz="6" w:space="0" w:color="000000"/>
              <w:bottom w:val="single" w:sz="6" w:space="0" w:color="000000"/>
              <w:right w:val="single" w:sz="6" w:space="0" w:color="000000"/>
            </w:tcBorders>
          </w:tcPr>
          <w:p w14:paraId="352CC665" w14:textId="77777777" w:rsidR="002D58E4" w:rsidRDefault="00F721D4">
            <w:pPr>
              <w:rPr>
                <w:sz w:val="20"/>
                <w:szCs w:val="20"/>
              </w:rPr>
            </w:pPr>
            <w:r>
              <w:rPr>
                <w:sz w:val="20"/>
                <w:szCs w:val="20"/>
              </w:rPr>
              <w:t xml:space="preserve">none </w:t>
            </w:r>
          </w:p>
        </w:tc>
        <w:tc>
          <w:tcPr>
            <w:tcW w:w="1056" w:type="dxa"/>
            <w:tcBorders>
              <w:top w:val="single" w:sz="6" w:space="0" w:color="000000"/>
              <w:left w:val="single" w:sz="6" w:space="0" w:color="000000"/>
              <w:bottom w:val="single" w:sz="6" w:space="0" w:color="000000"/>
              <w:right w:val="single" w:sz="6" w:space="0" w:color="000000"/>
            </w:tcBorders>
          </w:tcPr>
          <w:p w14:paraId="11C3D1E2" w14:textId="77777777" w:rsidR="002D58E4" w:rsidRDefault="00F721D4">
            <w:pPr>
              <w:jc w:val="center"/>
              <w:rPr>
                <w:sz w:val="20"/>
                <w:szCs w:val="20"/>
              </w:rPr>
            </w:pPr>
            <w:r>
              <w:rPr>
                <w:sz w:val="20"/>
                <w:szCs w:val="20"/>
              </w:rPr>
              <w:t>44/46</w:t>
            </w:r>
          </w:p>
          <w:p w14:paraId="20577FA1" w14:textId="77777777" w:rsidR="002D58E4" w:rsidRDefault="00F721D4">
            <w:pPr>
              <w:jc w:val="center"/>
              <w:rPr>
                <w:sz w:val="20"/>
                <w:szCs w:val="20"/>
              </w:rPr>
            </w:pPr>
            <w:r>
              <w:rPr>
                <w:sz w:val="20"/>
                <w:szCs w:val="20"/>
              </w:rPr>
              <w:t>(95.7%)</w:t>
            </w:r>
          </w:p>
        </w:tc>
        <w:tc>
          <w:tcPr>
            <w:tcW w:w="992" w:type="dxa"/>
            <w:tcBorders>
              <w:top w:val="single" w:sz="6" w:space="0" w:color="000000"/>
              <w:left w:val="single" w:sz="6" w:space="0" w:color="000000"/>
              <w:bottom w:val="single" w:sz="6" w:space="0" w:color="000000"/>
              <w:right w:val="single" w:sz="6" w:space="0" w:color="000000"/>
            </w:tcBorders>
          </w:tcPr>
          <w:p w14:paraId="57C803A0" w14:textId="77777777" w:rsidR="002D58E4" w:rsidRDefault="00F721D4">
            <w:pPr>
              <w:jc w:val="center"/>
              <w:rPr>
                <w:sz w:val="20"/>
                <w:szCs w:val="20"/>
              </w:rPr>
            </w:pPr>
            <w:r>
              <w:rPr>
                <w:sz w:val="20"/>
                <w:szCs w:val="20"/>
              </w:rPr>
              <w:t>40/44</w:t>
            </w:r>
          </w:p>
          <w:p w14:paraId="2F3FFD8C" w14:textId="77777777" w:rsidR="002D58E4" w:rsidRDefault="00F721D4">
            <w:pPr>
              <w:jc w:val="center"/>
              <w:rPr>
                <w:sz w:val="20"/>
                <w:szCs w:val="20"/>
              </w:rPr>
            </w:pPr>
            <w:r>
              <w:rPr>
                <w:sz w:val="20"/>
                <w:szCs w:val="20"/>
              </w:rPr>
              <w:t>(90.9%)</w:t>
            </w:r>
          </w:p>
        </w:tc>
        <w:tc>
          <w:tcPr>
            <w:tcW w:w="1321" w:type="dxa"/>
            <w:gridSpan w:val="2"/>
            <w:tcBorders>
              <w:top w:val="single" w:sz="6" w:space="0" w:color="000000"/>
              <w:left w:val="single" w:sz="6" w:space="0" w:color="000000"/>
              <w:bottom w:val="single" w:sz="6" w:space="0" w:color="000000"/>
              <w:right w:val="single" w:sz="6" w:space="0" w:color="000000"/>
            </w:tcBorders>
          </w:tcPr>
          <w:p w14:paraId="44EEB754" w14:textId="77777777" w:rsidR="002D58E4" w:rsidRDefault="00F721D4">
            <w:pPr>
              <w:jc w:val="center"/>
              <w:rPr>
                <w:sz w:val="20"/>
                <w:szCs w:val="20"/>
              </w:rPr>
            </w:pPr>
            <w:r>
              <w:rPr>
                <w:sz w:val="20"/>
                <w:szCs w:val="20"/>
              </w:rPr>
              <w:t xml:space="preserve">1.05 </w:t>
            </w:r>
          </w:p>
          <w:p w14:paraId="14FBF8B2" w14:textId="77777777" w:rsidR="002D58E4" w:rsidRDefault="00F721D4">
            <w:pPr>
              <w:jc w:val="center"/>
              <w:rPr>
                <w:sz w:val="20"/>
                <w:szCs w:val="20"/>
              </w:rPr>
            </w:pPr>
            <w:r>
              <w:rPr>
                <w:sz w:val="20"/>
                <w:szCs w:val="20"/>
              </w:rPr>
              <w:t>(0.94 to 1.18)</w:t>
            </w:r>
          </w:p>
        </w:tc>
        <w:tc>
          <w:tcPr>
            <w:tcW w:w="1981" w:type="dxa"/>
            <w:tcBorders>
              <w:top w:val="single" w:sz="6" w:space="0" w:color="000000"/>
              <w:left w:val="single" w:sz="6" w:space="0" w:color="000000"/>
              <w:bottom w:val="single" w:sz="6" w:space="0" w:color="000000"/>
              <w:right w:val="single" w:sz="6" w:space="0" w:color="000000"/>
            </w:tcBorders>
          </w:tcPr>
          <w:p w14:paraId="21807CB6" w14:textId="77777777" w:rsidR="002D58E4" w:rsidRDefault="00F721D4">
            <w:pPr>
              <w:jc w:val="center"/>
              <w:rPr>
                <w:sz w:val="20"/>
                <w:szCs w:val="20"/>
              </w:rPr>
            </w:pPr>
            <w:r>
              <w:rPr>
                <w:sz w:val="20"/>
                <w:szCs w:val="20"/>
              </w:rPr>
              <w:t>47 more per 1,000</w:t>
            </w:r>
          </w:p>
          <w:p w14:paraId="593D26DC" w14:textId="77777777" w:rsidR="002D58E4" w:rsidRDefault="00F721D4">
            <w:pPr>
              <w:jc w:val="center"/>
              <w:rPr>
                <w:sz w:val="20"/>
                <w:szCs w:val="20"/>
              </w:rPr>
            </w:pPr>
            <w:r>
              <w:rPr>
                <w:sz w:val="20"/>
                <w:szCs w:val="20"/>
              </w:rPr>
              <w:t>(60 fewer to 151 more)</w:t>
            </w:r>
          </w:p>
        </w:tc>
        <w:tc>
          <w:tcPr>
            <w:tcW w:w="1140" w:type="dxa"/>
            <w:tcBorders>
              <w:top w:val="single" w:sz="6" w:space="0" w:color="000000"/>
              <w:left w:val="single" w:sz="6" w:space="0" w:color="000000"/>
              <w:bottom w:val="single" w:sz="6" w:space="0" w:color="000000"/>
              <w:right w:val="single" w:sz="6" w:space="0" w:color="000000"/>
            </w:tcBorders>
          </w:tcPr>
          <w:p w14:paraId="1A08B07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20" w:type="dxa"/>
            <w:tcBorders>
              <w:top w:val="single" w:sz="6" w:space="0" w:color="000000"/>
              <w:left w:val="single" w:sz="6" w:space="0" w:color="000000"/>
              <w:bottom w:val="single" w:sz="6" w:space="0" w:color="000000"/>
              <w:right w:val="single" w:sz="6" w:space="0" w:color="000000"/>
            </w:tcBorders>
          </w:tcPr>
          <w:p w14:paraId="5A66D0AC" w14:textId="77777777" w:rsidR="002D58E4" w:rsidRDefault="00F721D4">
            <w:pPr>
              <w:rPr>
                <w:sz w:val="20"/>
                <w:szCs w:val="20"/>
              </w:rPr>
            </w:pPr>
            <w:r>
              <w:rPr>
                <w:sz w:val="20"/>
                <w:szCs w:val="20"/>
              </w:rPr>
              <w:t>CRITICAL</w:t>
            </w:r>
          </w:p>
        </w:tc>
      </w:tr>
      <w:tr w:rsidR="002D58E4" w14:paraId="41A1CD2F" w14:textId="77777777" w:rsidTr="00E70FE5">
        <w:tc>
          <w:tcPr>
            <w:tcW w:w="14594"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65B8FA0" w14:textId="77777777" w:rsidR="002D58E4" w:rsidRDefault="00F721D4">
            <w:pPr>
              <w:rPr>
                <w:sz w:val="20"/>
                <w:szCs w:val="20"/>
              </w:rPr>
            </w:pPr>
            <w:r>
              <w:rPr>
                <w:b/>
                <w:sz w:val="20"/>
                <w:szCs w:val="20"/>
              </w:rPr>
              <w:t xml:space="preserve">Time to Resolution of Erythema Migrans </w:t>
            </w:r>
            <w:r>
              <w:rPr>
                <w:sz w:val="20"/>
                <w:szCs w:val="20"/>
              </w:rPr>
              <w:t>(Days since treatment initiation)</w:t>
            </w:r>
          </w:p>
        </w:tc>
      </w:tr>
      <w:tr w:rsidR="002D58E4" w14:paraId="28A9DB92" w14:textId="77777777" w:rsidTr="00E70FE5">
        <w:tc>
          <w:tcPr>
            <w:tcW w:w="725" w:type="dxa"/>
            <w:tcBorders>
              <w:top w:val="single" w:sz="6" w:space="0" w:color="000000"/>
              <w:left w:val="single" w:sz="6" w:space="0" w:color="000000"/>
              <w:bottom w:val="single" w:sz="6" w:space="0" w:color="000000"/>
              <w:right w:val="single" w:sz="6" w:space="0" w:color="000000"/>
            </w:tcBorders>
          </w:tcPr>
          <w:p w14:paraId="774958AA"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53DB74BB" w14:textId="77777777" w:rsidR="002D58E4" w:rsidRDefault="00F721D4">
            <w:pPr>
              <w:rPr>
                <w:sz w:val="20"/>
                <w:szCs w:val="20"/>
              </w:rPr>
            </w:pPr>
            <w:r>
              <w:rPr>
                <w:sz w:val="20"/>
                <w:szCs w:val="20"/>
              </w:rPr>
              <w:t xml:space="preserve">RCT </w:t>
            </w:r>
            <w:r>
              <w:rPr>
                <w:sz w:val="20"/>
                <w:szCs w:val="20"/>
                <w:vertAlign w:val="superscript"/>
              </w:rPr>
              <w:t>1</w:t>
            </w:r>
          </w:p>
        </w:tc>
        <w:tc>
          <w:tcPr>
            <w:tcW w:w="830" w:type="dxa"/>
            <w:tcBorders>
              <w:top w:val="single" w:sz="6" w:space="0" w:color="000000"/>
              <w:left w:val="single" w:sz="6" w:space="0" w:color="000000"/>
              <w:bottom w:val="single" w:sz="6" w:space="0" w:color="000000"/>
              <w:right w:val="single" w:sz="6" w:space="0" w:color="000000"/>
            </w:tcBorders>
          </w:tcPr>
          <w:p w14:paraId="251A1742"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74FAF2F9"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5A483CE8"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20557344" w14:textId="77777777" w:rsidR="002D58E4" w:rsidRDefault="00F721D4">
            <w:pPr>
              <w:rPr>
                <w:sz w:val="20"/>
                <w:szCs w:val="20"/>
              </w:rPr>
            </w:pPr>
            <w:r>
              <w:rPr>
                <w:sz w:val="20"/>
                <w:szCs w:val="20"/>
              </w:rPr>
              <w:t xml:space="preserve">serious </w:t>
            </w:r>
            <w:r>
              <w:rPr>
                <w:sz w:val="20"/>
                <w:szCs w:val="20"/>
                <w:vertAlign w:val="superscript"/>
              </w:rPr>
              <w:t>c</w:t>
            </w:r>
          </w:p>
        </w:tc>
        <w:tc>
          <w:tcPr>
            <w:tcW w:w="1317" w:type="dxa"/>
            <w:tcBorders>
              <w:top w:val="single" w:sz="6" w:space="0" w:color="000000"/>
              <w:left w:val="single" w:sz="6" w:space="0" w:color="000000"/>
              <w:bottom w:val="single" w:sz="6" w:space="0" w:color="000000"/>
              <w:right w:val="single" w:sz="6" w:space="0" w:color="000000"/>
            </w:tcBorders>
          </w:tcPr>
          <w:p w14:paraId="0933A929" w14:textId="77777777" w:rsidR="002D58E4" w:rsidRDefault="00F721D4">
            <w:pPr>
              <w:rPr>
                <w:sz w:val="20"/>
                <w:szCs w:val="20"/>
              </w:rPr>
            </w:pPr>
            <w:r>
              <w:rPr>
                <w:sz w:val="20"/>
                <w:szCs w:val="20"/>
              </w:rPr>
              <w:t xml:space="preserve">none </w:t>
            </w:r>
          </w:p>
        </w:tc>
        <w:tc>
          <w:tcPr>
            <w:tcW w:w="1056" w:type="dxa"/>
            <w:tcBorders>
              <w:top w:val="single" w:sz="6" w:space="0" w:color="000000"/>
              <w:left w:val="single" w:sz="6" w:space="0" w:color="000000"/>
              <w:bottom w:val="single" w:sz="6" w:space="0" w:color="000000"/>
              <w:right w:val="single" w:sz="6" w:space="0" w:color="000000"/>
            </w:tcBorders>
          </w:tcPr>
          <w:p w14:paraId="1DED38E1" w14:textId="77777777" w:rsidR="002D58E4" w:rsidRDefault="00F721D4">
            <w:pPr>
              <w:jc w:val="center"/>
              <w:rPr>
                <w:sz w:val="20"/>
                <w:szCs w:val="20"/>
              </w:rPr>
            </w:pPr>
            <w:r>
              <w:rPr>
                <w:sz w:val="20"/>
                <w:szCs w:val="20"/>
              </w:rPr>
              <w:t>Mean days: 7.1</w:t>
            </w:r>
          </w:p>
        </w:tc>
        <w:tc>
          <w:tcPr>
            <w:tcW w:w="992" w:type="dxa"/>
            <w:tcBorders>
              <w:top w:val="single" w:sz="6" w:space="0" w:color="000000"/>
              <w:left w:val="single" w:sz="6" w:space="0" w:color="000000"/>
              <w:bottom w:val="single" w:sz="6" w:space="0" w:color="000000"/>
              <w:right w:val="single" w:sz="6" w:space="0" w:color="000000"/>
            </w:tcBorders>
          </w:tcPr>
          <w:p w14:paraId="30ABBEF2" w14:textId="77777777" w:rsidR="002D58E4" w:rsidRDefault="00F721D4">
            <w:pPr>
              <w:jc w:val="center"/>
              <w:rPr>
                <w:sz w:val="20"/>
                <w:szCs w:val="20"/>
              </w:rPr>
            </w:pPr>
            <w:r>
              <w:rPr>
                <w:sz w:val="20"/>
                <w:szCs w:val="20"/>
              </w:rPr>
              <w:t>Mean days: 10.6</w:t>
            </w:r>
          </w:p>
        </w:tc>
        <w:tc>
          <w:tcPr>
            <w:tcW w:w="3302" w:type="dxa"/>
            <w:gridSpan w:val="3"/>
            <w:tcBorders>
              <w:top w:val="single" w:sz="6" w:space="0" w:color="000000"/>
              <w:left w:val="single" w:sz="6" w:space="0" w:color="000000"/>
              <w:bottom w:val="single" w:sz="6" w:space="0" w:color="000000"/>
              <w:right w:val="single" w:sz="6" w:space="0" w:color="000000"/>
            </w:tcBorders>
          </w:tcPr>
          <w:p w14:paraId="47C90E06" w14:textId="77777777" w:rsidR="002D58E4" w:rsidRDefault="00F721D4">
            <w:pPr>
              <w:jc w:val="center"/>
              <w:rPr>
                <w:sz w:val="20"/>
                <w:szCs w:val="20"/>
              </w:rPr>
            </w:pPr>
            <w:r>
              <w:rPr>
                <w:sz w:val="20"/>
                <w:szCs w:val="20"/>
              </w:rPr>
              <w:t>MD 3.5 lower</w:t>
            </w:r>
            <w:r>
              <w:rPr>
                <w:sz w:val="20"/>
                <w:szCs w:val="20"/>
              </w:rPr>
              <w:br/>
              <w:t xml:space="preserve">(9.6 lower to 2.6 higher) </w:t>
            </w:r>
          </w:p>
        </w:tc>
        <w:tc>
          <w:tcPr>
            <w:tcW w:w="1140" w:type="dxa"/>
            <w:tcBorders>
              <w:top w:val="single" w:sz="6" w:space="0" w:color="000000"/>
              <w:left w:val="single" w:sz="6" w:space="0" w:color="000000"/>
              <w:bottom w:val="single" w:sz="6" w:space="0" w:color="000000"/>
              <w:right w:val="single" w:sz="6" w:space="0" w:color="000000"/>
            </w:tcBorders>
          </w:tcPr>
          <w:p w14:paraId="072BDA4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20" w:type="dxa"/>
            <w:tcBorders>
              <w:top w:val="single" w:sz="6" w:space="0" w:color="000000"/>
              <w:left w:val="single" w:sz="6" w:space="0" w:color="000000"/>
              <w:bottom w:val="single" w:sz="6" w:space="0" w:color="000000"/>
              <w:right w:val="single" w:sz="6" w:space="0" w:color="000000"/>
            </w:tcBorders>
          </w:tcPr>
          <w:p w14:paraId="3862281E" w14:textId="77777777" w:rsidR="002D58E4" w:rsidRDefault="00F721D4">
            <w:pPr>
              <w:rPr>
                <w:sz w:val="20"/>
                <w:szCs w:val="20"/>
              </w:rPr>
            </w:pPr>
            <w:r>
              <w:rPr>
                <w:sz w:val="20"/>
                <w:szCs w:val="20"/>
              </w:rPr>
              <w:t>IMPORTANT</w:t>
            </w:r>
          </w:p>
        </w:tc>
      </w:tr>
      <w:tr w:rsidR="002D58E4" w14:paraId="5329FFD0" w14:textId="77777777" w:rsidTr="00E70FE5">
        <w:tc>
          <w:tcPr>
            <w:tcW w:w="14594"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17592D42" w14:textId="77777777" w:rsidR="002D58E4" w:rsidRDefault="00F721D4">
            <w:pPr>
              <w:rPr>
                <w:sz w:val="20"/>
                <w:szCs w:val="20"/>
              </w:rPr>
            </w:pPr>
            <w:r>
              <w:rPr>
                <w:b/>
                <w:sz w:val="20"/>
                <w:szCs w:val="20"/>
              </w:rPr>
              <w:t xml:space="preserve">Patients Experiencing Objective Findings of Lyme </w:t>
            </w:r>
            <w:r>
              <w:rPr>
                <w:sz w:val="20"/>
                <w:szCs w:val="20"/>
              </w:rPr>
              <w:t>(at 6 months and beyond)</w:t>
            </w:r>
            <w:r>
              <w:rPr>
                <w:b/>
                <w:sz w:val="20"/>
                <w:szCs w:val="20"/>
              </w:rPr>
              <w:t xml:space="preserve"> </w:t>
            </w:r>
          </w:p>
        </w:tc>
      </w:tr>
      <w:tr w:rsidR="002D58E4" w14:paraId="78FFB551" w14:textId="77777777" w:rsidTr="00E70FE5">
        <w:tc>
          <w:tcPr>
            <w:tcW w:w="725" w:type="dxa"/>
            <w:tcBorders>
              <w:top w:val="single" w:sz="6" w:space="0" w:color="000000"/>
              <w:left w:val="single" w:sz="6" w:space="0" w:color="000000"/>
              <w:bottom w:val="single" w:sz="6" w:space="0" w:color="000000"/>
              <w:right w:val="single" w:sz="6" w:space="0" w:color="000000"/>
            </w:tcBorders>
          </w:tcPr>
          <w:p w14:paraId="0D47A94E"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1136C78B" w14:textId="77777777" w:rsidR="002D58E4" w:rsidRDefault="00F721D4">
            <w:pPr>
              <w:rPr>
                <w:sz w:val="20"/>
                <w:szCs w:val="20"/>
              </w:rPr>
            </w:pPr>
            <w:r>
              <w:rPr>
                <w:sz w:val="20"/>
                <w:szCs w:val="20"/>
              </w:rPr>
              <w:t xml:space="preserve">RCT </w:t>
            </w:r>
            <w:r>
              <w:rPr>
                <w:sz w:val="20"/>
                <w:szCs w:val="20"/>
                <w:vertAlign w:val="superscript"/>
              </w:rPr>
              <w:t>1</w:t>
            </w:r>
          </w:p>
        </w:tc>
        <w:tc>
          <w:tcPr>
            <w:tcW w:w="830" w:type="dxa"/>
            <w:tcBorders>
              <w:top w:val="single" w:sz="6" w:space="0" w:color="000000"/>
              <w:left w:val="single" w:sz="6" w:space="0" w:color="000000"/>
              <w:bottom w:val="single" w:sz="6" w:space="0" w:color="000000"/>
              <w:right w:val="single" w:sz="6" w:space="0" w:color="000000"/>
            </w:tcBorders>
          </w:tcPr>
          <w:p w14:paraId="7D91C76E"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5C9CC00B"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04805438"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4A2BA33D" w14:textId="77777777" w:rsidR="002D58E4" w:rsidRDefault="00F721D4">
            <w:pPr>
              <w:rPr>
                <w:sz w:val="20"/>
                <w:szCs w:val="20"/>
              </w:rPr>
            </w:pPr>
            <w:r>
              <w:rPr>
                <w:sz w:val="20"/>
                <w:szCs w:val="20"/>
              </w:rPr>
              <w:t xml:space="preserve">serious </w:t>
            </w:r>
            <w:r>
              <w:rPr>
                <w:sz w:val="20"/>
                <w:szCs w:val="20"/>
                <w:vertAlign w:val="superscript"/>
              </w:rPr>
              <w:t>c</w:t>
            </w:r>
          </w:p>
        </w:tc>
        <w:tc>
          <w:tcPr>
            <w:tcW w:w="1317" w:type="dxa"/>
            <w:tcBorders>
              <w:top w:val="single" w:sz="6" w:space="0" w:color="000000"/>
              <w:left w:val="single" w:sz="6" w:space="0" w:color="000000"/>
              <w:bottom w:val="single" w:sz="6" w:space="0" w:color="000000"/>
              <w:right w:val="single" w:sz="6" w:space="0" w:color="000000"/>
            </w:tcBorders>
          </w:tcPr>
          <w:p w14:paraId="07222C29" w14:textId="77777777" w:rsidR="002D58E4" w:rsidRDefault="00F721D4">
            <w:pPr>
              <w:rPr>
                <w:sz w:val="20"/>
                <w:szCs w:val="20"/>
              </w:rPr>
            </w:pPr>
            <w:r>
              <w:rPr>
                <w:sz w:val="20"/>
                <w:szCs w:val="20"/>
              </w:rPr>
              <w:t xml:space="preserve">none </w:t>
            </w:r>
          </w:p>
        </w:tc>
        <w:tc>
          <w:tcPr>
            <w:tcW w:w="1056" w:type="dxa"/>
            <w:tcBorders>
              <w:top w:val="single" w:sz="6" w:space="0" w:color="000000"/>
              <w:left w:val="single" w:sz="6" w:space="0" w:color="000000"/>
              <w:bottom w:val="single" w:sz="6" w:space="0" w:color="000000"/>
              <w:right w:val="single" w:sz="6" w:space="0" w:color="000000"/>
            </w:tcBorders>
          </w:tcPr>
          <w:p w14:paraId="4504E1EF" w14:textId="77777777" w:rsidR="002D58E4" w:rsidRDefault="00F721D4">
            <w:pPr>
              <w:jc w:val="center"/>
              <w:rPr>
                <w:sz w:val="20"/>
                <w:szCs w:val="20"/>
              </w:rPr>
            </w:pPr>
            <w:r>
              <w:rPr>
                <w:sz w:val="20"/>
                <w:szCs w:val="20"/>
              </w:rPr>
              <w:t xml:space="preserve">1/45 </w:t>
            </w:r>
          </w:p>
          <w:p w14:paraId="675C5AC6" w14:textId="77777777" w:rsidR="002D58E4" w:rsidRDefault="00F721D4">
            <w:pPr>
              <w:jc w:val="center"/>
              <w:rPr>
                <w:sz w:val="20"/>
                <w:szCs w:val="20"/>
              </w:rPr>
            </w:pPr>
            <w:r>
              <w:rPr>
                <w:sz w:val="20"/>
                <w:szCs w:val="20"/>
              </w:rPr>
              <w:t xml:space="preserve">(2.2%) </w:t>
            </w:r>
          </w:p>
        </w:tc>
        <w:tc>
          <w:tcPr>
            <w:tcW w:w="992" w:type="dxa"/>
            <w:tcBorders>
              <w:top w:val="single" w:sz="6" w:space="0" w:color="000000"/>
              <w:left w:val="single" w:sz="6" w:space="0" w:color="000000"/>
              <w:bottom w:val="single" w:sz="6" w:space="0" w:color="000000"/>
              <w:right w:val="single" w:sz="6" w:space="0" w:color="000000"/>
            </w:tcBorders>
          </w:tcPr>
          <w:p w14:paraId="5D134CAC" w14:textId="77777777" w:rsidR="002D58E4" w:rsidRDefault="00F721D4">
            <w:pPr>
              <w:jc w:val="center"/>
              <w:rPr>
                <w:sz w:val="20"/>
                <w:szCs w:val="20"/>
              </w:rPr>
            </w:pPr>
            <w:r>
              <w:rPr>
                <w:sz w:val="20"/>
                <w:szCs w:val="20"/>
              </w:rPr>
              <w:t xml:space="preserve">1/44 </w:t>
            </w:r>
          </w:p>
          <w:p w14:paraId="48714E28" w14:textId="77777777" w:rsidR="002D58E4" w:rsidRDefault="00F721D4">
            <w:pPr>
              <w:jc w:val="center"/>
              <w:rPr>
                <w:sz w:val="20"/>
                <w:szCs w:val="20"/>
              </w:rPr>
            </w:pPr>
            <w:r>
              <w:rPr>
                <w:sz w:val="20"/>
                <w:szCs w:val="20"/>
              </w:rPr>
              <w:t xml:space="preserve">(2.3%) </w:t>
            </w:r>
          </w:p>
        </w:tc>
        <w:tc>
          <w:tcPr>
            <w:tcW w:w="1321" w:type="dxa"/>
            <w:gridSpan w:val="2"/>
            <w:tcBorders>
              <w:top w:val="single" w:sz="6" w:space="0" w:color="000000"/>
              <w:left w:val="single" w:sz="6" w:space="0" w:color="000000"/>
              <w:bottom w:val="single" w:sz="6" w:space="0" w:color="000000"/>
              <w:right w:val="single" w:sz="6" w:space="0" w:color="000000"/>
            </w:tcBorders>
          </w:tcPr>
          <w:p w14:paraId="3DD02F0C" w14:textId="77777777" w:rsidR="002D58E4" w:rsidRDefault="00F721D4">
            <w:pPr>
              <w:jc w:val="center"/>
              <w:rPr>
                <w:sz w:val="20"/>
                <w:szCs w:val="20"/>
              </w:rPr>
            </w:pPr>
            <w:r>
              <w:rPr>
                <w:sz w:val="20"/>
                <w:szCs w:val="20"/>
              </w:rPr>
              <w:t>RR 0.98</w:t>
            </w:r>
            <w:r>
              <w:rPr>
                <w:sz w:val="20"/>
                <w:szCs w:val="20"/>
              </w:rPr>
              <w:br/>
              <w:t xml:space="preserve">(0.06 to 15.15) </w:t>
            </w:r>
          </w:p>
        </w:tc>
        <w:tc>
          <w:tcPr>
            <w:tcW w:w="1981" w:type="dxa"/>
            <w:tcBorders>
              <w:top w:val="single" w:sz="6" w:space="0" w:color="000000"/>
              <w:left w:val="single" w:sz="6" w:space="0" w:color="000000"/>
              <w:bottom w:val="single" w:sz="6" w:space="0" w:color="000000"/>
              <w:right w:val="single" w:sz="6" w:space="0" w:color="000000"/>
            </w:tcBorders>
          </w:tcPr>
          <w:p w14:paraId="76A9A304" w14:textId="77777777" w:rsidR="002D58E4" w:rsidRDefault="00F721D4">
            <w:pPr>
              <w:jc w:val="center"/>
              <w:rPr>
                <w:sz w:val="20"/>
                <w:szCs w:val="20"/>
              </w:rPr>
            </w:pPr>
            <w:r>
              <w:rPr>
                <w:sz w:val="20"/>
                <w:szCs w:val="20"/>
              </w:rPr>
              <w:t>0 fewer per 1,000</w:t>
            </w:r>
            <w:r>
              <w:rPr>
                <w:sz w:val="20"/>
                <w:szCs w:val="20"/>
              </w:rPr>
              <w:br/>
              <w:t xml:space="preserve">(from 21 fewer to 322 more) </w:t>
            </w:r>
          </w:p>
        </w:tc>
        <w:tc>
          <w:tcPr>
            <w:tcW w:w="1140" w:type="dxa"/>
            <w:tcBorders>
              <w:top w:val="single" w:sz="6" w:space="0" w:color="000000"/>
              <w:left w:val="single" w:sz="6" w:space="0" w:color="000000"/>
              <w:bottom w:val="single" w:sz="6" w:space="0" w:color="000000"/>
              <w:right w:val="single" w:sz="6" w:space="0" w:color="000000"/>
            </w:tcBorders>
          </w:tcPr>
          <w:p w14:paraId="64DFD17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20" w:type="dxa"/>
            <w:tcBorders>
              <w:top w:val="single" w:sz="6" w:space="0" w:color="000000"/>
              <w:left w:val="single" w:sz="6" w:space="0" w:color="000000"/>
              <w:bottom w:val="single" w:sz="6" w:space="0" w:color="000000"/>
              <w:right w:val="single" w:sz="6" w:space="0" w:color="000000"/>
            </w:tcBorders>
          </w:tcPr>
          <w:p w14:paraId="79742D6D" w14:textId="77777777" w:rsidR="002D58E4" w:rsidRDefault="00F721D4">
            <w:pPr>
              <w:rPr>
                <w:sz w:val="20"/>
                <w:szCs w:val="20"/>
              </w:rPr>
            </w:pPr>
            <w:r>
              <w:rPr>
                <w:sz w:val="20"/>
                <w:szCs w:val="20"/>
              </w:rPr>
              <w:t xml:space="preserve">CRITICAL </w:t>
            </w:r>
          </w:p>
        </w:tc>
      </w:tr>
      <w:tr w:rsidR="002D58E4" w14:paraId="0088E124" w14:textId="77777777" w:rsidTr="00E70FE5">
        <w:tc>
          <w:tcPr>
            <w:tcW w:w="14594"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04DBD50C" w14:textId="77777777" w:rsidR="002D58E4" w:rsidRDefault="00F721D4">
            <w:pPr>
              <w:rPr>
                <w:sz w:val="20"/>
                <w:szCs w:val="20"/>
              </w:rPr>
            </w:pPr>
            <w:r>
              <w:rPr>
                <w:b/>
                <w:sz w:val="20"/>
                <w:szCs w:val="20"/>
              </w:rPr>
              <w:t xml:space="preserve">Patients Withdrawing due to Adverse Events </w:t>
            </w:r>
          </w:p>
        </w:tc>
      </w:tr>
      <w:tr w:rsidR="002D58E4" w14:paraId="0BCF1D06" w14:textId="77777777" w:rsidTr="00E70FE5">
        <w:tc>
          <w:tcPr>
            <w:tcW w:w="725" w:type="dxa"/>
            <w:tcBorders>
              <w:top w:val="single" w:sz="6" w:space="0" w:color="000000"/>
              <w:left w:val="single" w:sz="6" w:space="0" w:color="000000"/>
              <w:bottom w:val="single" w:sz="6" w:space="0" w:color="000000"/>
              <w:right w:val="single" w:sz="6" w:space="0" w:color="000000"/>
            </w:tcBorders>
          </w:tcPr>
          <w:p w14:paraId="1E31C2E6"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760EBA75" w14:textId="77777777" w:rsidR="002D58E4" w:rsidRDefault="00F721D4">
            <w:pPr>
              <w:rPr>
                <w:sz w:val="20"/>
                <w:szCs w:val="20"/>
              </w:rPr>
            </w:pPr>
            <w:r>
              <w:rPr>
                <w:sz w:val="20"/>
                <w:szCs w:val="20"/>
              </w:rPr>
              <w:t xml:space="preserve">RCT </w:t>
            </w:r>
            <w:r>
              <w:rPr>
                <w:sz w:val="20"/>
                <w:szCs w:val="20"/>
                <w:vertAlign w:val="superscript"/>
              </w:rPr>
              <w:t>1</w:t>
            </w:r>
          </w:p>
        </w:tc>
        <w:tc>
          <w:tcPr>
            <w:tcW w:w="830" w:type="dxa"/>
            <w:tcBorders>
              <w:top w:val="single" w:sz="6" w:space="0" w:color="000000"/>
              <w:left w:val="single" w:sz="6" w:space="0" w:color="000000"/>
              <w:bottom w:val="single" w:sz="6" w:space="0" w:color="000000"/>
              <w:right w:val="single" w:sz="6" w:space="0" w:color="000000"/>
            </w:tcBorders>
          </w:tcPr>
          <w:p w14:paraId="2E141C18"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54869112"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49783CE6"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24C529D5" w14:textId="77777777" w:rsidR="002D58E4" w:rsidRDefault="00F721D4">
            <w:pPr>
              <w:rPr>
                <w:sz w:val="20"/>
                <w:szCs w:val="20"/>
              </w:rPr>
            </w:pPr>
            <w:r>
              <w:rPr>
                <w:sz w:val="20"/>
                <w:szCs w:val="20"/>
              </w:rPr>
              <w:t xml:space="preserve">serious </w:t>
            </w:r>
            <w:r>
              <w:rPr>
                <w:sz w:val="20"/>
                <w:szCs w:val="20"/>
                <w:vertAlign w:val="superscript"/>
              </w:rPr>
              <w:t>c</w:t>
            </w:r>
          </w:p>
        </w:tc>
        <w:tc>
          <w:tcPr>
            <w:tcW w:w="1317" w:type="dxa"/>
            <w:tcBorders>
              <w:top w:val="single" w:sz="6" w:space="0" w:color="000000"/>
              <w:left w:val="single" w:sz="6" w:space="0" w:color="000000"/>
              <w:bottom w:val="single" w:sz="6" w:space="0" w:color="000000"/>
              <w:right w:val="single" w:sz="6" w:space="0" w:color="000000"/>
            </w:tcBorders>
          </w:tcPr>
          <w:p w14:paraId="3AE2A7E5" w14:textId="77777777" w:rsidR="002D58E4" w:rsidRDefault="00F721D4">
            <w:pPr>
              <w:rPr>
                <w:sz w:val="20"/>
                <w:szCs w:val="20"/>
              </w:rPr>
            </w:pPr>
            <w:r>
              <w:rPr>
                <w:sz w:val="20"/>
                <w:szCs w:val="20"/>
              </w:rPr>
              <w:t xml:space="preserve">none </w:t>
            </w:r>
          </w:p>
        </w:tc>
        <w:tc>
          <w:tcPr>
            <w:tcW w:w="1056" w:type="dxa"/>
            <w:tcBorders>
              <w:top w:val="single" w:sz="6" w:space="0" w:color="000000"/>
              <w:left w:val="single" w:sz="6" w:space="0" w:color="000000"/>
              <w:bottom w:val="single" w:sz="6" w:space="0" w:color="000000"/>
              <w:right w:val="single" w:sz="6" w:space="0" w:color="000000"/>
            </w:tcBorders>
          </w:tcPr>
          <w:p w14:paraId="244FDC07" w14:textId="77777777" w:rsidR="002D58E4" w:rsidRDefault="00F721D4">
            <w:pPr>
              <w:jc w:val="center"/>
              <w:rPr>
                <w:sz w:val="20"/>
                <w:szCs w:val="20"/>
              </w:rPr>
            </w:pPr>
            <w:r>
              <w:rPr>
                <w:sz w:val="20"/>
                <w:szCs w:val="20"/>
              </w:rPr>
              <w:t xml:space="preserve">0/46 </w:t>
            </w:r>
          </w:p>
          <w:p w14:paraId="26B8B83C" w14:textId="77777777" w:rsidR="002D58E4" w:rsidRDefault="00F721D4">
            <w:pPr>
              <w:jc w:val="center"/>
              <w:rPr>
                <w:sz w:val="20"/>
                <w:szCs w:val="20"/>
              </w:rPr>
            </w:pPr>
            <w:r>
              <w:rPr>
                <w:sz w:val="20"/>
                <w:szCs w:val="20"/>
              </w:rPr>
              <w:t xml:space="preserve">(0.0%) </w:t>
            </w:r>
          </w:p>
        </w:tc>
        <w:tc>
          <w:tcPr>
            <w:tcW w:w="992" w:type="dxa"/>
            <w:tcBorders>
              <w:top w:val="single" w:sz="6" w:space="0" w:color="000000"/>
              <w:left w:val="single" w:sz="6" w:space="0" w:color="000000"/>
              <w:bottom w:val="single" w:sz="6" w:space="0" w:color="000000"/>
              <w:right w:val="single" w:sz="6" w:space="0" w:color="000000"/>
            </w:tcBorders>
          </w:tcPr>
          <w:p w14:paraId="17809869" w14:textId="77777777" w:rsidR="002D58E4" w:rsidRDefault="00F721D4">
            <w:pPr>
              <w:jc w:val="center"/>
              <w:rPr>
                <w:sz w:val="20"/>
                <w:szCs w:val="20"/>
              </w:rPr>
            </w:pPr>
            <w:r>
              <w:rPr>
                <w:sz w:val="20"/>
                <w:szCs w:val="20"/>
              </w:rPr>
              <w:t xml:space="preserve">0/44 </w:t>
            </w:r>
          </w:p>
          <w:p w14:paraId="3B63B9FA" w14:textId="77777777" w:rsidR="002D58E4" w:rsidRDefault="00F721D4">
            <w:pPr>
              <w:jc w:val="center"/>
              <w:rPr>
                <w:sz w:val="20"/>
                <w:szCs w:val="20"/>
              </w:rPr>
            </w:pPr>
            <w:r>
              <w:rPr>
                <w:sz w:val="20"/>
                <w:szCs w:val="20"/>
              </w:rPr>
              <w:t xml:space="preserve">(0.0%) </w:t>
            </w:r>
          </w:p>
        </w:tc>
        <w:tc>
          <w:tcPr>
            <w:tcW w:w="1274" w:type="dxa"/>
            <w:tcBorders>
              <w:top w:val="single" w:sz="6" w:space="0" w:color="000000"/>
              <w:left w:val="single" w:sz="6" w:space="0" w:color="000000"/>
              <w:bottom w:val="single" w:sz="6" w:space="0" w:color="000000"/>
              <w:right w:val="single" w:sz="6" w:space="0" w:color="000000"/>
            </w:tcBorders>
          </w:tcPr>
          <w:p w14:paraId="7BE290BF" w14:textId="77777777" w:rsidR="002D58E4" w:rsidRDefault="00F721D4">
            <w:pPr>
              <w:jc w:val="center"/>
              <w:rPr>
                <w:sz w:val="20"/>
                <w:szCs w:val="20"/>
              </w:rPr>
            </w:pPr>
            <w:r>
              <w:rPr>
                <w:sz w:val="20"/>
                <w:szCs w:val="20"/>
              </w:rPr>
              <w:t xml:space="preserve">NA </w:t>
            </w:r>
            <w:r>
              <w:rPr>
                <w:sz w:val="20"/>
                <w:szCs w:val="20"/>
                <w:vertAlign w:val="superscript"/>
              </w:rPr>
              <w:t>c</w:t>
            </w:r>
          </w:p>
          <w:p w14:paraId="3DD7E2ED" w14:textId="77777777" w:rsidR="002D58E4" w:rsidRDefault="002D58E4">
            <w:pPr>
              <w:jc w:val="center"/>
              <w:rPr>
                <w:sz w:val="20"/>
                <w:szCs w:val="20"/>
              </w:rPr>
            </w:pPr>
          </w:p>
        </w:tc>
        <w:tc>
          <w:tcPr>
            <w:tcW w:w="2028" w:type="dxa"/>
            <w:gridSpan w:val="2"/>
            <w:tcBorders>
              <w:top w:val="single" w:sz="6" w:space="0" w:color="000000"/>
              <w:left w:val="single" w:sz="6" w:space="0" w:color="000000"/>
              <w:bottom w:val="single" w:sz="6" w:space="0" w:color="000000"/>
              <w:right w:val="single" w:sz="6" w:space="0" w:color="000000"/>
            </w:tcBorders>
          </w:tcPr>
          <w:p w14:paraId="1E297B89" w14:textId="77777777" w:rsidR="002D58E4" w:rsidRDefault="00F721D4">
            <w:pPr>
              <w:jc w:val="center"/>
              <w:rPr>
                <w:sz w:val="20"/>
                <w:szCs w:val="20"/>
              </w:rPr>
            </w:pPr>
            <w:r>
              <w:rPr>
                <w:sz w:val="20"/>
                <w:szCs w:val="20"/>
              </w:rPr>
              <w:t>0 per 1,000</w:t>
            </w:r>
          </w:p>
        </w:tc>
        <w:tc>
          <w:tcPr>
            <w:tcW w:w="1140" w:type="dxa"/>
            <w:tcBorders>
              <w:top w:val="single" w:sz="6" w:space="0" w:color="000000"/>
              <w:left w:val="single" w:sz="6" w:space="0" w:color="000000"/>
              <w:bottom w:val="single" w:sz="6" w:space="0" w:color="000000"/>
              <w:right w:val="single" w:sz="6" w:space="0" w:color="000000"/>
            </w:tcBorders>
          </w:tcPr>
          <w:p w14:paraId="3874FDA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20" w:type="dxa"/>
            <w:tcBorders>
              <w:top w:val="single" w:sz="6" w:space="0" w:color="000000"/>
              <w:left w:val="single" w:sz="6" w:space="0" w:color="000000"/>
              <w:bottom w:val="single" w:sz="6" w:space="0" w:color="000000"/>
              <w:right w:val="single" w:sz="6" w:space="0" w:color="000000"/>
            </w:tcBorders>
          </w:tcPr>
          <w:p w14:paraId="7B33C30F" w14:textId="77777777" w:rsidR="002D58E4" w:rsidRDefault="00F721D4">
            <w:pPr>
              <w:rPr>
                <w:sz w:val="20"/>
                <w:szCs w:val="20"/>
              </w:rPr>
            </w:pPr>
            <w:r>
              <w:rPr>
                <w:sz w:val="20"/>
                <w:szCs w:val="20"/>
              </w:rPr>
              <w:t xml:space="preserve">CRITICAL </w:t>
            </w:r>
          </w:p>
        </w:tc>
      </w:tr>
      <w:tr w:rsidR="002D58E4" w14:paraId="4620C9B4" w14:textId="77777777" w:rsidTr="00E70FE5">
        <w:tc>
          <w:tcPr>
            <w:tcW w:w="14594"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23992B59" w14:textId="77777777" w:rsidR="002D58E4" w:rsidRDefault="00F721D4">
            <w:pPr>
              <w:rPr>
                <w:sz w:val="20"/>
                <w:szCs w:val="20"/>
              </w:rPr>
            </w:pPr>
            <w:r>
              <w:rPr>
                <w:b/>
                <w:sz w:val="20"/>
                <w:szCs w:val="20"/>
              </w:rPr>
              <w:t xml:space="preserve">Treatment-related Adverse Events </w:t>
            </w:r>
          </w:p>
        </w:tc>
      </w:tr>
      <w:tr w:rsidR="002D58E4" w14:paraId="3E9A4825" w14:textId="77777777" w:rsidTr="00E70FE5">
        <w:tc>
          <w:tcPr>
            <w:tcW w:w="725" w:type="dxa"/>
            <w:tcBorders>
              <w:top w:val="single" w:sz="6" w:space="0" w:color="000000"/>
              <w:left w:val="single" w:sz="6" w:space="0" w:color="000000"/>
              <w:bottom w:val="single" w:sz="6" w:space="0" w:color="000000"/>
              <w:right w:val="single" w:sz="6" w:space="0" w:color="000000"/>
            </w:tcBorders>
          </w:tcPr>
          <w:p w14:paraId="72E6C618"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1A4A8068" w14:textId="77777777" w:rsidR="002D58E4" w:rsidRDefault="00F721D4">
            <w:pPr>
              <w:rPr>
                <w:sz w:val="20"/>
                <w:szCs w:val="20"/>
              </w:rPr>
            </w:pPr>
            <w:r>
              <w:rPr>
                <w:sz w:val="20"/>
                <w:szCs w:val="20"/>
              </w:rPr>
              <w:t xml:space="preserve">RCT </w:t>
            </w:r>
            <w:r>
              <w:rPr>
                <w:sz w:val="20"/>
                <w:szCs w:val="20"/>
                <w:vertAlign w:val="superscript"/>
              </w:rPr>
              <w:t>1</w:t>
            </w:r>
          </w:p>
        </w:tc>
        <w:tc>
          <w:tcPr>
            <w:tcW w:w="830" w:type="dxa"/>
            <w:tcBorders>
              <w:top w:val="single" w:sz="6" w:space="0" w:color="000000"/>
              <w:left w:val="single" w:sz="6" w:space="0" w:color="000000"/>
              <w:bottom w:val="single" w:sz="6" w:space="0" w:color="000000"/>
              <w:right w:val="single" w:sz="6" w:space="0" w:color="000000"/>
            </w:tcBorders>
          </w:tcPr>
          <w:p w14:paraId="372CC8A9"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4C1ABBAF"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389EFC92"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464C3844" w14:textId="77777777" w:rsidR="002D58E4" w:rsidRDefault="00F721D4">
            <w:pPr>
              <w:rPr>
                <w:sz w:val="20"/>
                <w:szCs w:val="20"/>
              </w:rPr>
            </w:pPr>
            <w:r>
              <w:rPr>
                <w:sz w:val="20"/>
                <w:szCs w:val="20"/>
              </w:rPr>
              <w:t xml:space="preserve">serious </w:t>
            </w:r>
            <w:r>
              <w:rPr>
                <w:sz w:val="20"/>
                <w:szCs w:val="20"/>
                <w:vertAlign w:val="superscript"/>
              </w:rPr>
              <w:t>c</w:t>
            </w:r>
          </w:p>
        </w:tc>
        <w:tc>
          <w:tcPr>
            <w:tcW w:w="1317" w:type="dxa"/>
            <w:tcBorders>
              <w:top w:val="single" w:sz="6" w:space="0" w:color="000000"/>
              <w:left w:val="single" w:sz="6" w:space="0" w:color="000000"/>
              <w:bottom w:val="single" w:sz="6" w:space="0" w:color="000000"/>
              <w:right w:val="single" w:sz="6" w:space="0" w:color="000000"/>
            </w:tcBorders>
          </w:tcPr>
          <w:p w14:paraId="751770A0" w14:textId="77777777" w:rsidR="002D58E4" w:rsidRDefault="00F721D4">
            <w:pPr>
              <w:rPr>
                <w:sz w:val="20"/>
                <w:szCs w:val="20"/>
              </w:rPr>
            </w:pPr>
            <w:r>
              <w:rPr>
                <w:sz w:val="20"/>
                <w:szCs w:val="20"/>
              </w:rPr>
              <w:t xml:space="preserve">none </w:t>
            </w:r>
          </w:p>
        </w:tc>
        <w:tc>
          <w:tcPr>
            <w:tcW w:w="1056" w:type="dxa"/>
            <w:tcBorders>
              <w:top w:val="single" w:sz="6" w:space="0" w:color="000000"/>
              <w:left w:val="single" w:sz="6" w:space="0" w:color="000000"/>
              <w:bottom w:val="single" w:sz="6" w:space="0" w:color="000000"/>
              <w:right w:val="single" w:sz="6" w:space="0" w:color="000000"/>
            </w:tcBorders>
          </w:tcPr>
          <w:p w14:paraId="1F48A7DB" w14:textId="77777777" w:rsidR="002D58E4" w:rsidRDefault="00F721D4">
            <w:pPr>
              <w:jc w:val="center"/>
              <w:rPr>
                <w:sz w:val="20"/>
                <w:szCs w:val="20"/>
              </w:rPr>
            </w:pPr>
            <w:r>
              <w:rPr>
                <w:sz w:val="20"/>
                <w:szCs w:val="20"/>
              </w:rPr>
              <w:t xml:space="preserve">12/46 (26.1%) </w:t>
            </w:r>
          </w:p>
        </w:tc>
        <w:tc>
          <w:tcPr>
            <w:tcW w:w="992" w:type="dxa"/>
            <w:tcBorders>
              <w:top w:val="single" w:sz="6" w:space="0" w:color="000000"/>
              <w:left w:val="single" w:sz="6" w:space="0" w:color="000000"/>
              <w:bottom w:val="single" w:sz="6" w:space="0" w:color="000000"/>
              <w:right w:val="single" w:sz="6" w:space="0" w:color="000000"/>
            </w:tcBorders>
          </w:tcPr>
          <w:p w14:paraId="415C4E9B" w14:textId="77777777" w:rsidR="002D58E4" w:rsidRDefault="00F721D4">
            <w:pPr>
              <w:jc w:val="center"/>
              <w:rPr>
                <w:sz w:val="20"/>
                <w:szCs w:val="20"/>
              </w:rPr>
            </w:pPr>
            <w:r>
              <w:rPr>
                <w:sz w:val="20"/>
                <w:szCs w:val="20"/>
              </w:rPr>
              <w:t xml:space="preserve">3/44 </w:t>
            </w:r>
          </w:p>
          <w:p w14:paraId="0D40662E" w14:textId="77777777" w:rsidR="002D58E4" w:rsidRDefault="00F721D4">
            <w:pPr>
              <w:jc w:val="center"/>
              <w:rPr>
                <w:sz w:val="20"/>
                <w:szCs w:val="20"/>
              </w:rPr>
            </w:pPr>
            <w:r>
              <w:rPr>
                <w:sz w:val="20"/>
                <w:szCs w:val="20"/>
              </w:rPr>
              <w:t xml:space="preserve">(6.8%) </w:t>
            </w:r>
          </w:p>
        </w:tc>
        <w:tc>
          <w:tcPr>
            <w:tcW w:w="1321" w:type="dxa"/>
            <w:gridSpan w:val="2"/>
            <w:tcBorders>
              <w:top w:val="single" w:sz="6" w:space="0" w:color="000000"/>
              <w:left w:val="single" w:sz="6" w:space="0" w:color="000000"/>
              <w:bottom w:val="single" w:sz="6" w:space="0" w:color="000000"/>
              <w:right w:val="single" w:sz="6" w:space="0" w:color="000000"/>
            </w:tcBorders>
          </w:tcPr>
          <w:p w14:paraId="7A9CAC54" w14:textId="77777777" w:rsidR="002D58E4" w:rsidRDefault="00F721D4">
            <w:pPr>
              <w:jc w:val="center"/>
              <w:rPr>
                <w:sz w:val="20"/>
                <w:szCs w:val="20"/>
              </w:rPr>
            </w:pPr>
            <w:r>
              <w:rPr>
                <w:sz w:val="20"/>
                <w:szCs w:val="20"/>
              </w:rPr>
              <w:t>RR 3.83</w:t>
            </w:r>
            <w:r>
              <w:rPr>
                <w:sz w:val="20"/>
                <w:szCs w:val="20"/>
              </w:rPr>
              <w:br/>
              <w:t xml:space="preserve">(1.16 to 12.65) </w:t>
            </w:r>
          </w:p>
        </w:tc>
        <w:tc>
          <w:tcPr>
            <w:tcW w:w="1981" w:type="dxa"/>
            <w:tcBorders>
              <w:top w:val="single" w:sz="6" w:space="0" w:color="000000"/>
              <w:left w:val="single" w:sz="6" w:space="0" w:color="000000"/>
              <w:bottom w:val="single" w:sz="6" w:space="0" w:color="000000"/>
              <w:right w:val="single" w:sz="6" w:space="0" w:color="000000"/>
            </w:tcBorders>
          </w:tcPr>
          <w:p w14:paraId="678C0681" w14:textId="77777777" w:rsidR="002D58E4" w:rsidRDefault="00F721D4">
            <w:pPr>
              <w:jc w:val="center"/>
              <w:rPr>
                <w:sz w:val="20"/>
                <w:szCs w:val="20"/>
              </w:rPr>
            </w:pPr>
            <w:r>
              <w:rPr>
                <w:sz w:val="20"/>
                <w:szCs w:val="20"/>
              </w:rPr>
              <w:t>193 more per 1,000</w:t>
            </w:r>
            <w:r>
              <w:rPr>
                <w:sz w:val="20"/>
                <w:szCs w:val="20"/>
              </w:rPr>
              <w:br/>
              <w:t xml:space="preserve">(from 11 more to 794 more) </w:t>
            </w:r>
          </w:p>
        </w:tc>
        <w:tc>
          <w:tcPr>
            <w:tcW w:w="1140" w:type="dxa"/>
            <w:tcBorders>
              <w:top w:val="single" w:sz="6" w:space="0" w:color="000000"/>
              <w:left w:val="single" w:sz="6" w:space="0" w:color="000000"/>
              <w:bottom w:val="single" w:sz="6" w:space="0" w:color="000000"/>
              <w:right w:val="single" w:sz="6" w:space="0" w:color="000000"/>
            </w:tcBorders>
          </w:tcPr>
          <w:p w14:paraId="01E2639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20" w:type="dxa"/>
            <w:tcBorders>
              <w:top w:val="single" w:sz="6" w:space="0" w:color="000000"/>
              <w:left w:val="single" w:sz="6" w:space="0" w:color="000000"/>
              <w:bottom w:val="single" w:sz="6" w:space="0" w:color="000000"/>
              <w:right w:val="single" w:sz="6" w:space="0" w:color="000000"/>
            </w:tcBorders>
          </w:tcPr>
          <w:p w14:paraId="6513AB2A" w14:textId="77777777" w:rsidR="002D58E4" w:rsidRDefault="00F721D4">
            <w:pPr>
              <w:rPr>
                <w:sz w:val="20"/>
                <w:szCs w:val="20"/>
              </w:rPr>
            </w:pPr>
            <w:r>
              <w:rPr>
                <w:sz w:val="20"/>
                <w:szCs w:val="20"/>
              </w:rPr>
              <w:t>IMPORTANT</w:t>
            </w:r>
          </w:p>
        </w:tc>
      </w:tr>
      <w:tr w:rsidR="002D58E4" w14:paraId="732E47E5" w14:textId="77777777" w:rsidTr="00E70FE5">
        <w:tc>
          <w:tcPr>
            <w:tcW w:w="14594"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3FCE94C6" w14:textId="77777777" w:rsidR="002D58E4" w:rsidRDefault="00F721D4">
            <w:pPr>
              <w:rPr>
                <w:sz w:val="20"/>
                <w:szCs w:val="20"/>
              </w:rPr>
            </w:pPr>
            <w:r>
              <w:rPr>
                <w:b/>
                <w:sz w:val="20"/>
                <w:szCs w:val="20"/>
              </w:rPr>
              <w:t>Gastrointestinal Adverse Events</w:t>
            </w:r>
            <w:r>
              <w:rPr>
                <w:sz w:val="20"/>
                <w:szCs w:val="20"/>
              </w:rPr>
              <w:t xml:space="preserve"> </w:t>
            </w:r>
          </w:p>
        </w:tc>
      </w:tr>
      <w:tr w:rsidR="002D58E4" w14:paraId="69E5BF7D" w14:textId="77777777" w:rsidTr="00E70FE5">
        <w:tc>
          <w:tcPr>
            <w:tcW w:w="725" w:type="dxa"/>
            <w:tcBorders>
              <w:top w:val="single" w:sz="6" w:space="0" w:color="000000"/>
              <w:left w:val="single" w:sz="6" w:space="0" w:color="000000"/>
              <w:bottom w:val="single" w:sz="6" w:space="0" w:color="000000"/>
              <w:right w:val="single" w:sz="6" w:space="0" w:color="000000"/>
            </w:tcBorders>
          </w:tcPr>
          <w:p w14:paraId="5188FF78" w14:textId="77777777" w:rsidR="002D58E4" w:rsidRDefault="00F721D4">
            <w:pPr>
              <w:rPr>
                <w:sz w:val="20"/>
                <w:szCs w:val="20"/>
              </w:rPr>
            </w:pPr>
            <w:r>
              <w:rPr>
                <w:sz w:val="20"/>
                <w:szCs w:val="20"/>
              </w:rPr>
              <w:lastRenderedPageBreak/>
              <w:t xml:space="preserve">1 </w:t>
            </w:r>
          </w:p>
        </w:tc>
        <w:tc>
          <w:tcPr>
            <w:tcW w:w="679" w:type="dxa"/>
            <w:tcBorders>
              <w:top w:val="single" w:sz="6" w:space="0" w:color="000000"/>
              <w:left w:val="single" w:sz="6" w:space="0" w:color="000000"/>
              <w:bottom w:val="single" w:sz="6" w:space="0" w:color="000000"/>
              <w:right w:val="single" w:sz="6" w:space="0" w:color="000000"/>
            </w:tcBorders>
          </w:tcPr>
          <w:p w14:paraId="0FBD925C" w14:textId="77777777" w:rsidR="002D58E4" w:rsidRDefault="00F721D4">
            <w:pPr>
              <w:rPr>
                <w:sz w:val="20"/>
                <w:szCs w:val="20"/>
              </w:rPr>
            </w:pPr>
            <w:r>
              <w:rPr>
                <w:sz w:val="20"/>
                <w:szCs w:val="20"/>
              </w:rPr>
              <w:t xml:space="preserve">RCT </w:t>
            </w:r>
            <w:r>
              <w:rPr>
                <w:sz w:val="20"/>
                <w:szCs w:val="20"/>
                <w:vertAlign w:val="superscript"/>
              </w:rPr>
              <w:t>1</w:t>
            </w:r>
          </w:p>
        </w:tc>
        <w:tc>
          <w:tcPr>
            <w:tcW w:w="830" w:type="dxa"/>
            <w:tcBorders>
              <w:top w:val="single" w:sz="6" w:space="0" w:color="000000"/>
              <w:left w:val="single" w:sz="6" w:space="0" w:color="000000"/>
              <w:bottom w:val="single" w:sz="6" w:space="0" w:color="000000"/>
              <w:right w:val="single" w:sz="6" w:space="0" w:color="000000"/>
            </w:tcBorders>
          </w:tcPr>
          <w:p w14:paraId="76A49F3F"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247E2D33"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1798B401"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583E3FDC" w14:textId="77777777" w:rsidR="002D58E4" w:rsidRDefault="00F721D4">
            <w:pPr>
              <w:rPr>
                <w:sz w:val="20"/>
                <w:szCs w:val="20"/>
              </w:rPr>
            </w:pPr>
            <w:r>
              <w:rPr>
                <w:sz w:val="20"/>
                <w:szCs w:val="20"/>
              </w:rPr>
              <w:t xml:space="preserve">serious </w:t>
            </w:r>
            <w:r>
              <w:rPr>
                <w:sz w:val="20"/>
                <w:szCs w:val="20"/>
                <w:vertAlign w:val="superscript"/>
              </w:rPr>
              <w:t>c</w:t>
            </w:r>
          </w:p>
        </w:tc>
        <w:tc>
          <w:tcPr>
            <w:tcW w:w="1317" w:type="dxa"/>
            <w:tcBorders>
              <w:top w:val="single" w:sz="6" w:space="0" w:color="000000"/>
              <w:left w:val="single" w:sz="6" w:space="0" w:color="000000"/>
              <w:bottom w:val="single" w:sz="6" w:space="0" w:color="000000"/>
              <w:right w:val="single" w:sz="6" w:space="0" w:color="000000"/>
            </w:tcBorders>
          </w:tcPr>
          <w:p w14:paraId="6724CF49" w14:textId="77777777" w:rsidR="002D58E4" w:rsidRDefault="00F721D4">
            <w:pPr>
              <w:rPr>
                <w:sz w:val="20"/>
                <w:szCs w:val="20"/>
              </w:rPr>
            </w:pPr>
            <w:r>
              <w:rPr>
                <w:sz w:val="20"/>
                <w:szCs w:val="20"/>
              </w:rPr>
              <w:t xml:space="preserve">none </w:t>
            </w:r>
          </w:p>
        </w:tc>
        <w:tc>
          <w:tcPr>
            <w:tcW w:w="1056" w:type="dxa"/>
            <w:tcBorders>
              <w:top w:val="single" w:sz="6" w:space="0" w:color="000000"/>
              <w:left w:val="single" w:sz="6" w:space="0" w:color="000000"/>
              <w:bottom w:val="single" w:sz="6" w:space="0" w:color="000000"/>
              <w:right w:val="single" w:sz="6" w:space="0" w:color="000000"/>
            </w:tcBorders>
          </w:tcPr>
          <w:p w14:paraId="0A3100BC" w14:textId="77777777" w:rsidR="002D58E4" w:rsidRDefault="00F721D4">
            <w:pPr>
              <w:jc w:val="center"/>
              <w:rPr>
                <w:sz w:val="20"/>
                <w:szCs w:val="20"/>
              </w:rPr>
            </w:pPr>
            <w:r>
              <w:rPr>
                <w:sz w:val="20"/>
                <w:szCs w:val="20"/>
              </w:rPr>
              <w:t xml:space="preserve">5/46 (10.9%) </w:t>
            </w:r>
          </w:p>
        </w:tc>
        <w:tc>
          <w:tcPr>
            <w:tcW w:w="992" w:type="dxa"/>
            <w:tcBorders>
              <w:top w:val="single" w:sz="6" w:space="0" w:color="000000"/>
              <w:left w:val="single" w:sz="6" w:space="0" w:color="000000"/>
              <w:bottom w:val="single" w:sz="6" w:space="0" w:color="000000"/>
              <w:right w:val="single" w:sz="6" w:space="0" w:color="000000"/>
            </w:tcBorders>
          </w:tcPr>
          <w:p w14:paraId="14F5DE47" w14:textId="77777777" w:rsidR="002D58E4" w:rsidRDefault="00F721D4">
            <w:pPr>
              <w:jc w:val="center"/>
              <w:rPr>
                <w:sz w:val="20"/>
                <w:szCs w:val="20"/>
              </w:rPr>
            </w:pPr>
            <w:r>
              <w:rPr>
                <w:sz w:val="20"/>
                <w:szCs w:val="20"/>
              </w:rPr>
              <w:t xml:space="preserve">1/44 </w:t>
            </w:r>
          </w:p>
          <w:p w14:paraId="375D0330" w14:textId="77777777" w:rsidR="002D58E4" w:rsidRDefault="00F721D4">
            <w:pPr>
              <w:jc w:val="center"/>
              <w:rPr>
                <w:sz w:val="20"/>
                <w:szCs w:val="20"/>
              </w:rPr>
            </w:pPr>
            <w:r>
              <w:rPr>
                <w:sz w:val="20"/>
                <w:szCs w:val="20"/>
              </w:rPr>
              <w:t xml:space="preserve">(2.3%) </w:t>
            </w:r>
          </w:p>
        </w:tc>
        <w:tc>
          <w:tcPr>
            <w:tcW w:w="1321" w:type="dxa"/>
            <w:gridSpan w:val="2"/>
            <w:tcBorders>
              <w:top w:val="single" w:sz="6" w:space="0" w:color="000000"/>
              <w:left w:val="single" w:sz="6" w:space="0" w:color="000000"/>
              <w:bottom w:val="single" w:sz="6" w:space="0" w:color="000000"/>
              <w:right w:val="single" w:sz="6" w:space="0" w:color="000000"/>
            </w:tcBorders>
          </w:tcPr>
          <w:p w14:paraId="06502786" w14:textId="77777777" w:rsidR="002D58E4" w:rsidRDefault="00F721D4">
            <w:pPr>
              <w:jc w:val="center"/>
              <w:rPr>
                <w:sz w:val="20"/>
                <w:szCs w:val="20"/>
              </w:rPr>
            </w:pPr>
            <w:r>
              <w:rPr>
                <w:sz w:val="20"/>
                <w:szCs w:val="20"/>
              </w:rPr>
              <w:t>RR 4.78</w:t>
            </w:r>
            <w:r>
              <w:rPr>
                <w:sz w:val="20"/>
                <w:szCs w:val="20"/>
              </w:rPr>
              <w:br/>
              <w:t xml:space="preserve">(0.58 to 39.33) </w:t>
            </w:r>
          </w:p>
        </w:tc>
        <w:tc>
          <w:tcPr>
            <w:tcW w:w="1981" w:type="dxa"/>
            <w:tcBorders>
              <w:top w:val="single" w:sz="6" w:space="0" w:color="000000"/>
              <w:left w:val="single" w:sz="6" w:space="0" w:color="000000"/>
              <w:bottom w:val="single" w:sz="6" w:space="0" w:color="000000"/>
              <w:right w:val="single" w:sz="6" w:space="0" w:color="000000"/>
            </w:tcBorders>
          </w:tcPr>
          <w:p w14:paraId="4C090669" w14:textId="77777777" w:rsidR="002D58E4" w:rsidRDefault="00F721D4">
            <w:pPr>
              <w:jc w:val="center"/>
              <w:rPr>
                <w:sz w:val="20"/>
                <w:szCs w:val="20"/>
              </w:rPr>
            </w:pPr>
            <w:r>
              <w:rPr>
                <w:sz w:val="20"/>
                <w:szCs w:val="20"/>
              </w:rPr>
              <w:t>86 more per 1,000</w:t>
            </w:r>
            <w:r>
              <w:rPr>
                <w:sz w:val="20"/>
                <w:szCs w:val="20"/>
              </w:rPr>
              <w:br/>
              <w:t xml:space="preserve">(from 10 fewer to 871 more) </w:t>
            </w:r>
          </w:p>
        </w:tc>
        <w:tc>
          <w:tcPr>
            <w:tcW w:w="1140" w:type="dxa"/>
            <w:tcBorders>
              <w:top w:val="single" w:sz="6" w:space="0" w:color="000000"/>
              <w:left w:val="single" w:sz="6" w:space="0" w:color="000000"/>
              <w:bottom w:val="single" w:sz="6" w:space="0" w:color="000000"/>
              <w:right w:val="single" w:sz="6" w:space="0" w:color="000000"/>
            </w:tcBorders>
          </w:tcPr>
          <w:p w14:paraId="1147D5F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20" w:type="dxa"/>
            <w:tcBorders>
              <w:top w:val="single" w:sz="6" w:space="0" w:color="000000"/>
              <w:left w:val="single" w:sz="6" w:space="0" w:color="000000"/>
              <w:bottom w:val="single" w:sz="6" w:space="0" w:color="000000"/>
              <w:right w:val="single" w:sz="6" w:space="0" w:color="000000"/>
            </w:tcBorders>
          </w:tcPr>
          <w:p w14:paraId="0BE84D2F" w14:textId="77777777" w:rsidR="002D58E4" w:rsidRDefault="00F721D4">
            <w:pPr>
              <w:rPr>
                <w:sz w:val="20"/>
                <w:szCs w:val="20"/>
              </w:rPr>
            </w:pPr>
            <w:r>
              <w:rPr>
                <w:sz w:val="20"/>
                <w:szCs w:val="20"/>
              </w:rPr>
              <w:t>IMPORTANT</w:t>
            </w:r>
          </w:p>
        </w:tc>
      </w:tr>
      <w:tr w:rsidR="002D58E4" w14:paraId="700F9BFD" w14:textId="77777777" w:rsidTr="00E70FE5">
        <w:tc>
          <w:tcPr>
            <w:tcW w:w="14594"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2DF02030" w14:textId="77777777" w:rsidR="002D58E4" w:rsidRDefault="00F721D4">
            <w:pPr>
              <w:rPr>
                <w:sz w:val="20"/>
                <w:szCs w:val="20"/>
              </w:rPr>
            </w:pPr>
            <w:r>
              <w:rPr>
                <w:b/>
                <w:sz w:val="20"/>
                <w:szCs w:val="20"/>
              </w:rPr>
              <w:t xml:space="preserve">Jarisch-Herxheimer Reaction </w:t>
            </w:r>
          </w:p>
        </w:tc>
      </w:tr>
      <w:tr w:rsidR="002D58E4" w14:paraId="195A41EB" w14:textId="77777777" w:rsidTr="00E70FE5">
        <w:tc>
          <w:tcPr>
            <w:tcW w:w="725" w:type="dxa"/>
            <w:tcBorders>
              <w:top w:val="single" w:sz="6" w:space="0" w:color="000000"/>
              <w:left w:val="single" w:sz="6" w:space="0" w:color="000000"/>
              <w:bottom w:val="single" w:sz="6" w:space="0" w:color="000000"/>
              <w:right w:val="single" w:sz="6" w:space="0" w:color="000000"/>
            </w:tcBorders>
          </w:tcPr>
          <w:p w14:paraId="21E02ED9"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30721113" w14:textId="77777777" w:rsidR="002D58E4" w:rsidRDefault="00F721D4">
            <w:pPr>
              <w:rPr>
                <w:sz w:val="20"/>
                <w:szCs w:val="20"/>
              </w:rPr>
            </w:pPr>
            <w:r>
              <w:rPr>
                <w:sz w:val="20"/>
                <w:szCs w:val="20"/>
              </w:rPr>
              <w:t xml:space="preserve">RCT </w:t>
            </w:r>
            <w:r>
              <w:rPr>
                <w:sz w:val="20"/>
                <w:szCs w:val="20"/>
                <w:vertAlign w:val="superscript"/>
              </w:rPr>
              <w:t>1</w:t>
            </w:r>
          </w:p>
        </w:tc>
        <w:tc>
          <w:tcPr>
            <w:tcW w:w="830" w:type="dxa"/>
            <w:tcBorders>
              <w:top w:val="single" w:sz="6" w:space="0" w:color="000000"/>
              <w:left w:val="single" w:sz="6" w:space="0" w:color="000000"/>
              <w:bottom w:val="single" w:sz="6" w:space="0" w:color="000000"/>
              <w:right w:val="single" w:sz="6" w:space="0" w:color="000000"/>
            </w:tcBorders>
          </w:tcPr>
          <w:p w14:paraId="2305E25E"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33C9E92C"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6402F93A"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1200168" w14:textId="77777777" w:rsidR="002D58E4" w:rsidRDefault="00F721D4">
            <w:pPr>
              <w:rPr>
                <w:sz w:val="20"/>
                <w:szCs w:val="20"/>
              </w:rPr>
            </w:pPr>
            <w:r>
              <w:rPr>
                <w:sz w:val="20"/>
                <w:szCs w:val="20"/>
              </w:rPr>
              <w:t xml:space="preserve">serious </w:t>
            </w:r>
            <w:r>
              <w:rPr>
                <w:sz w:val="20"/>
                <w:szCs w:val="20"/>
                <w:vertAlign w:val="superscript"/>
              </w:rPr>
              <w:t>c</w:t>
            </w:r>
          </w:p>
        </w:tc>
        <w:tc>
          <w:tcPr>
            <w:tcW w:w="1317" w:type="dxa"/>
            <w:tcBorders>
              <w:top w:val="single" w:sz="6" w:space="0" w:color="000000"/>
              <w:left w:val="single" w:sz="6" w:space="0" w:color="000000"/>
              <w:bottom w:val="single" w:sz="6" w:space="0" w:color="000000"/>
              <w:right w:val="single" w:sz="6" w:space="0" w:color="000000"/>
            </w:tcBorders>
          </w:tcPr>
          <w:p w14:paraId="23E2DCBB" w14:textId="77777777" w:rsidR="002D58E4" w:rsidRDefault="00F721D4">
            <w:pPr>
              <w:rPr>
                <w:sz w:val="20"/>
                <w:szCs w:val="20"/>
              </w:rPr>
            </w:pPr>
            <w:r>
              <w:rPr>
                <w:sz w:val="20"/>
                <w:szCs w:val="20"/>
              </w:rPr>
              <w:t xml:space="preserve">none </w:t>
            </w:r>
          </w:p>
        </w:tc>
        <w:tc>
          <w:tcPr>
            <w:tcW w:w="1056" w:type="dxa"/>
            <w:tcBorders>
              <w:top w:val="single" w:sz="6" w:space="0" w:color="000000"/>
              <w:left w:val="single" w:sz="6" w:space="0" w:color="000000"/>
              <w:bottom w:val="single" w:sz="6" w:space="0" w:color="000000"/>
              <w:right w:val="single" w:sz="6" w:space="0" w:color="000000"/>
            </w:tcBorders>
          </w:tcPr>
          <w:p w14:paraId="513AC5A1" w14:textId="77777777" w:rsidR="002D58E4" w:rsidRDefault="00F721D4">
            <w:pPr>
              <w:jc w:val="center"/>
              <w:rPr>
                <w:sz w:val="20"/>
                <w:szCs w:val="20"/>
              </w:rPr>
            </w:pPr>
            <w:r>
              <w:rPr>
                <w:sz w:val="20"/>
                <w:szCs w:val="20"/>
              </w:rPr>
              <w:t xml:space="preserve">11/46 (23.9%) </w:t>
            </w:r>
          </w:p>
        </w:tc>
        <w:tc>
          <w:tcPr>
            <w:tcW w:w="992" w:type="dxa"/>
            <w:tcBorders>
              <w:top w:val="single" w:sz="6" w:space="0" w:color="000000"/>
              <w:left w:val="single" w:sz="6" w:space="0" w:color="000000"/>
              <w:bottom w:val="single" w:sz="6" w:space="0" w:color="000000"/>
              <w:right w:val="single" w:sz="6" w:space="0" w:color="000000"/>
            </w:tcBorders>
          </w:tcPr>
          <w:p w14:paraId="56BC8735" w14:textId="77777777" w:rsidR="002D58E4" w:rsidRDefault="00F721D4">
            <w:pPr>
              <w:jc w:val="center"/>
              <w:rPr>
                <w:sz w:val="20"/>
                <w:szCs w:val="20"/>
              </w:rPr>
            </w:pPr>
            <w:r>
              <w:rPr>
                <w:sz w:val="20"/>
                <w:szCs w:val="20"/>
              </w:rPr>
              <w:t xml:space="preserve">5/44 (11.4%) </w:t>
            </w:r>
          </w:p>
        </w:tc>
        <w:tc>
          <w:tcPr>
            <w:tcW w:w="1321" w:type="dxa"/>
            <w:gridSpan w:val="2"/>
            <w:tcBorders>
              <w:top w:val="single" w:sz="6" w:space="0" w:color="000000"/>
              <w:left w:val="single" w:sz="6" w:space="0" w:color="000000"/>
              <w:bottom w:val="single" w:sz="6" w:space="0" w:color="000000"/>
              <w:right w:val="single" w:sz="6" w:space="0" w:color="000000"/>
            </w:tcBorders>
          </w:tcPr>
          <w:p w14:paraId="199BCE4E" w14:textId="77777777" w:rsidR="002D58E4" w:rsidRDefault="00F721D4">
            <w:pPr>
              <w:jc w:val="center"/>
              <w:rPr>
                <w:sz w:val="20"/>
                <w:szCs w:val="20"/>
              </w:rPr>
            </w:pPr>
            <w:r>
              <w:rPr>
                <w:sz w:val="20"/>
                <w:szCs w:val="20"/>
              </w:rPr>
              <w:t>RR 2.10</w:t>
            </w:r>
            <w:r>
              <w:rPr>
                <w:sz w:val="20"/>
                <w:szCs w:val="20"/>
              </w:rPr>
              <w:br/>
              <w:t xml:space="preserve">(0.80 to 5.57) </w:t>
            </w:r>
          </w:p>
        </w:tc>
        <w:tc>
          <w:tcPr>
            <w:tcW w:w="1981" w:type="dxa"/>
            <w:tcBorders>
              <w:top w:val="single" w:sz="6" w:space="0" w:color="000000"/>
              <w:left w:val="single" w:sz="6" w:space="0" w:color="000000"/>
              <w:bottom w:val="single" w:sz="6" w:space="0" w:color="000000"/>
              <w:right w:val="single" w:sz="6" w:space="0" w:color="000000"/>
            </w:tcBorders>
          </w:tcPr>
          <w:p w14:paraId="094635D8" w14:textId="77777777" w:rsidR="002D58E4" w:rsidRDefault="00F721D4">
            <w:pPr>
              <w:jc w:val="center"/>
              <w:rPr>
                <w:sz w:val="20"/>
                <w:szCs w:val="20"/>
              </w:rPr>
            </w:pPr>
            <w:r>
              <w:rPr>
                <w:sz w:val="20"/>
                <w:szCs w:val="20"/>
              </w:rPr>
              <w:t>125 more per 1,000</w:t>
            </w:r>
            <w:r>
              <w:rPr>
                <w:sz w:val="20"/>
                <w:szCs w:val="20"/>
              </w:rPr>
              <w:br/>
              <w:t xml:space="preserve">(from 23 fewer to 519 more) </w:t>
            </w:r>
          </w:p>
        </w:tc>
        <w:tc>
          <w:tcPr>
            <w:tcW w:w="1140" w:type="dxa"/>
            <w:tcBorders>
              <w:top w:val="single" w:sz="6" w:space="0" w:color="000000"/>
              <w:left w:val="single" w:sz="6" w:space="0" w:color="000000"/>
              <w:bottom w:val="single" w:sz="6" w:space="0" w:color="000000"/>
              <w:right w:val="single" w:sz="6" w:space="0" w:color="000000"/>
            </w:tcBorders>
          </w:tcPr>
          <w:p w14:paraId="658C591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20" w:type="dxa"/>
            <w:tcBorders>
              <w:top w:val="single" w:sz="6" w:space="0" w:color="000000"/>
              <w:left w:val="single" w:sz="6" w:space="0" w:color="000000"/>
              <w:bottom w:val="single" w:sz="6" w:space="0" w:color="000000"/>
              <w:right w:val="single" w:sz="6" w:space="0" w:color="000000"/>
            </w:tcBorders>
          </w:tcPr>
          <w:p w14:paraId="544294FB" w14:textId="77777777" w:rsidR="002D58E4" w:rsidRDefault="00F721D4">
            <w:pPr>
              <w:rPr>
                <w:sz w:val="20"/>
                <w:szCs w:val="20"/>
              </w:rPr>
            </w:pPr>
            <w:r>
              <w:rPr>
                <w:sz w:val="20"/>
                <w:szCs w:val="20"/>
              </w:rPr>
              <w:t>IMPORTANT</w:t>
            </w:r>
          </w:p>
        </w:tc>
      </w:tr>
    </w:tbl>
    <w:p w14:paraId="369F9AF4" w14:textId="77777777" w:rsidR="002D58E4" w:rsidRDefault="00F721D4">
      <w:pP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MD:</w:t>
      </w:r>
      <w:r>
        <w:rPr>
          <w:color w:val="000000"/>
          <w:sz w:val="18"/>
          <w:szCs w:val="18"/>
        </w:rPr>
        <w:t xml:space="preserve"> Mean difference; </w:t>
      </w:r>
      <w:r>
        <w:rPr>
          <w:b/>
          <w:color w:val="000000"/>
          <w:sz w:val="18"/>
          <w:szCs w:val="18"/>
        </w:rPr>
        <w:t>RR:</w:t>
      </w:r>
      <w:r>
        <w:rPr>
          <w:color w:val="000000"/>
          <w:sz w:val="18"/>
          <w:szCs w:val="18"/>
        </w:rPr>
        <w:t xml:space="preserve"> Risk ratio</w:t>
      </w:r>
    </w:p>
    <w:p w14:paraId="24086087" w14:textId="77777777" w:rsidR="002D58E4" w:rsidRDefault="00F721D4">
      <w:pPr>
        <w:spacing w:before="280" w:after="0"/>
        <w:rPr>
          <w:b/>
          <w:color w:val="000000"/>
          <w:sz w:val="24"/>
          <w:szCs w:val="24"/>
        </w:rPr>
      </w:pPr>
      <w:r>
        <w:rPr>
          <w:b/>
          <w:color w:val="000000"/>
          <w:sz w:val="24"/>
          <w:szCs w:val="24"/>
        </w:rPr>
        <w:t>Explanations</w:t>
      </w:r>
    </w:p>
    <w:p w14:paraId="706BE55F" w14:textId="4ED1339F" w:rsidR="002D58E4" w:rsidRDefault="00F721D4">
      <w:pPr>
        <w:spacing w:after="0" w:line="240" w:lineRule="auto"/>
        <w:rPr>
          <w:color w:val="000000"/>
          <w:sz w:val="18"/>
          <w:szCs w:val="18"/>
        </w:rPr>
      </w:pPr>
      <w:r>
        <w:rPr>
          <w:color w:val="000000"/>
          <w:sz w:val="18"/>
          <w:szCs w:val="18"/>
        </w:rPr>
        <w:t>a. Study received high risk of bias ratings due to inadequate randomization technique (sequence generation and allocation sequence concealment) and potentially inadequate blinding (for self-reported outcomes).</w:t>
      </w:r>
    </w:p>
    <w:p w14:paraId="764B4E8A" w14:textId="77777777" w:rsidR="002D58E4" w:rsidRDefault="00F721D4">
      <w:pPr>
        <w:spacing w:after="0" w:line="240" w:lineRule="auto"/>
        <w:rPr>
          <w:sz w:val="18"/>
          <w:szCs w:val="18"/>
        </w:rPr>
      </w:pPr>
      <w:r>
        <w:rPr>
          <w:color w:val="000000"/>
          <w:sz w:val="18"/>
          <w:szCs w:val="18"/>
        </w:rPr>
        <w:t xml:space="preserve">b. </w:t>
      </w:r>
      <w:r>
        <w:rPr>
          <w:sz w:val="18"/>
          <w:szCs w:val="18"/>
        </w:rPr>
        <w:t xml:space="preserve">Based on an inferiority margin of 15%, not rated down for imprecision. </w:t>
      </w:r>
    </w:p>
    <w:p w14:paraId="42110D07" w14:textId="77777777" w:rsidR="002D58E4" w:rsidRDefault="00F721D4">
      <w:pPr>
        <w:spacing w:after="0" w:line="240" w:lineRule="auto"/>
        <w:rPr>
          <w:color w:val="000000"/>
          <w:sz w:val="18"/>
          <w:szCs w:val="18"/>
        </w:rPr>
      </w:pPr>
      <w:r>
        <w:rPr>
          <w:color w:val="000000"/>
          <w:sz w:val="18"/>
          <w:szCs w:val="18"/>
        </w:rPr>
        <w:t xml:space="preserve">c. Low event rate. 95% CI are wide and crossing the null value. </w:t>
      </w:r>
    </w:p>
    <w:p w14:paraId="232D99FD" w14:textId="77777777" w:rsidR="002D58E4" w:rsidRDefault="00F721D4">
      <w:pPr>
        <w:spacing w:after="0" w:line="240" w:lineRule="auto"/>
        <w:rPr>
          <w:color w:val="000000"/>
          <w:sz w:val="18"/>
          <w:szCs w:val="18"/>
        </w:rPr>
      </w:pPr>
      <w:r>
        <w:rPr>
          <w:color w:val="000000"/>
          <w:sz w:val="18"/>
          <w:szCs w:val="18"/>
        </w:rPr>
        <w:t>c. Due to zero events in one study arm, unable to estimate relative risk</w:t>
      </w:r>
    </w:p>
    <w:p w14:paraId="27794D96" w14:textId="77777777" w:rsidR="002D58E4" w:rsidRDefault="00F721D4">
      <w:pPr>
        <w:widowControl w:val="0"/>
        <w:pBdr>
          <w:top w:val="nil"/>
          <w:left w:val="nil"/>
          <w:bottom w:val="nil"/>
          <w:right w:val="nil"/>
          <w:between w:val="nil"/>
        </w:pBdr>
        <w:spacing w:after="0"/>
        <w:rPr>
          <w:b/>
          <w:color w:val="000000"/>
          <w:sz w:val="24"/>
          <w:szCs w:val="24"/>
          <w:u w:val="single"/>
        </w:rPr>
        <w:sectPr w:rsidR="002D58E4" w:rsidSect="00FF641A">
          <w:type w:val="continuous"/>
          <w:pgSz w:w="15840" w:h="12240"/>
          <w:pgMar w:top="720" w:right="672" w:bottom="720" w:left="720" w:header="720" w:footer="720" w:gutter="0"/>
          <w:cols w:space="720" w:equalWidth="0">
            <w:col w:w="14448"/>
          </w:cols>
        </w:sectPr>
      </w:pPr>
      <w:r>
        <w:br w:type="page"/>
      </w:r>
    </w:p>
    <w:p w14:paraId="73A242B0" w14:textId="77777777" w:rsidR="002D58E4" w:rsidRDefault="00F721D4">
      <w:pPr>
        <w:spacing w:after="0"/>
        <w:rPr>
          <w:b/>
          <w:color w:val="000000"/>
          <w:sz w:val="24"/>
          <w:szCs w:val="24"/>
          <w:u w:val="single"/>
        </w:rPr>
      </w:pPr>
      <w:r>
        <w:rPr>
          <w:b/>
          <w:color w:val="000000"/>
          <w:sz w:val="24"/>
          <w:szCs w:val="24"/>
          <w:u w:val="single"/>
        </w:rPr>
        <w:lastRenderedPageBreak/>
        <w:t xml:space="preserve">CEFUROXIME vs. AMOXICILLIN </w:t>
      </w:r>
    </w:p>
    <w:p w14:paraId="32E559EB" w14:textId="77777777" w:rsidR="002D58E4" w:rsidRDefault="00F721D4">
      <w:pPr>
        <w:spacing w:after="0"/>
        <w:rPr>
          <w:b/>
        </w:rPr>
      </w:pPr>
      <w:r>
        <w:rPr>
          <w:b/>
        </w:rPr>
        <w:t>In patients with erythema migrans, should Cefuroxime be used over Amoxicillin?</w:t>
      </w:r>
    </w:p>
    <w:p w14:paraId="23B74924" w14:textId="77777777" w:rsidR="002D58E4" w:rsidRDefault="00F721D4">
      <w:pPr>
        <w:spacing w:after="0"/>
      </w:pPr>
      <w:r>
        <w:t>P: In patients with erythema migrans</w:t>
      </w:r>
    </w:p>
    <w:p w14:paraId="497DA978" w14:textId="77777777" w:rsidR="002D58E4" w:rsidRDefault="00F721D4">
      <w:pPr>
        <w:spacing w:after="0"/>
      </w:pPr>
      <w:r>
        <w:t>I: Cefuroxime</w:t>
      </w:r>
    </w:p>
    <w:p w14:paraId="74DB2DB1" w14:textId="77777777" w:rsidR="002D58E4" w:rsidRDefault="00F721D4">
      <w:pPr>
        <w:spacing w:after="0"/>
      </w:pPr>
      <w:r>
        <w:t>C: Amoxicillin</w:t>
      </w:r>
    </w:p>
    <w:p w14:paraId="1774DBFC" w14:textId="77777777" w:rsidR="002D58E4" w:rsidRDefault="002D58E4">
      <w:pPr>
        <w:spacing w:after="0"/>
        <w:rPr>
          <w:b/>
          <w:color w:val="000000"/>
          <w:sz w:val="18"/>
          <w:szCs w:val="18"/>
        </w:rPr>
      </w:pPr>
    </w:p>
    <w:p w14:paraId="79280F9C" w14:textId="77777777" w:rsidR="002D58E4" w:rsidRDefault="00F721D4" w:rsidP="00DE33EC">
      <w:pPr>
        <w:rPr>
          <w:color w:val="000000"/>
          <w:sz w:val="18"/>
          <w:szCs w:val="18"/>
        </w:rPr>
      </w:pPr>
      <w:r>
        <w:rPr>
          <w:b/>
          <w:color w:val="000000"/>
          <w:sz w:val="18"/>
          <w:szCs w:val="18"/>
        </w:rPr>
        <w:t>Bibliography</w:t>
      </w:r>
      <w:r>
        <w:rPr>
          <w:color w:val="000000"/>
          <w:sz w:val="18"/>
          <w:szCs w:val="18"/>
        </w:rPr>
        <w:t>: 1. Eppes, et al. (PEDIATRIC STUDY) Pediatrics. 2002 Jun;109(6):1173-7.</w:t>
      </w:r>
    </w:p>
    <w:tbl>
      <w:tblPr>
        <w:tblStyle w:val="af2"/>
        <w:tblW w:w="1460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1"/>
        <w:gridCol w:w="681"/>
        <w:gridCol w:w="885"/>
        <w:gridCol w:w="1253"/>
        <w:gridCol w:w="1145"/>
        <w:gridCol w:w="1166"/>
        <w:gridCol w:w="781"/>
        <w:gridCol w:w="9"/>
        <w:gridCol w:w="1148"/>
        <w:gridCol w:w="1106"/>
        <w:gridCol w:w="15"/>
        <w:gridCol w:w="1304"/>
        <w:gridCol w:w="2119"/>
        <w:gridCol w:w="1133"/>
        <w:gridCol w:w="1139"/>
      </w:tblGrid>
      <w:tr w:rsidR="002D58E4" w14:paraId="06604158" w14:textId="77777777" w:rsidTr="00E70FE5">
        <w:tc>
          <w:tcPr>
            <w:tcW w:w="6641" w:type="dxa"/>
            <w:gridSpan w:val="8"/>
            <w:tcBorders>
              <w:top w:val="single" w:sz="6" w:space="0" w:color="000000"/>
              <w:left w:val="single" w:sz="6" w:space="0" w:color="000000"/>
              <w:bottom w:val="single" w:sz="6" w:space="0" w:color="000000"/>
              <w:right w:val="single" w:sz="6" w:space="0" w:color="000000"/>
            </w:tcBorders>
            <w:shd w:val="clear" w:color="auto" w:fill="DDDDDD"/>
            <w:vAlign w:val="center"/>
          </w:tcPr>
          <w:p w14:paraId="10EBD54D" w14:textId="77777777" w:rsidR="002D58E4" w:rsidRDefault="00F721D4">
            <w:pPr>
              <w:jc w:val="center"/>
              <w:rPr>
                <w:b/>
                <w:sz w:val="20"/>
                <w:szCs w:val="20"/>
              </w:rPr>
            </w:pPr>
            <w:r>
              <w:rPr>
                <w:b/>
                <w:sz w:val="20"/>
                <w:szCs w:val="20"/>
              </w:rPr>
              <w:t>Certainty assessment</w:t>
            </w:r>
          </w:p>
        </w:tc>
        <w:tc>
          <w:tcPr>
            <w:tcW w:w="2269" w:type="dxa"/>
            <w:gridSpan w:val="3"/>
            <w:tcBorders>
              <w:top w:val="single" w:sz="6" w:space="0" w:color="000000"/>
              <w:left w:val="single" w:sz="6" w:space="0" w:color="000000"/>
              <w:bottom w:val="single" w:sz="6" w:space="0" w:color="000000"/>
              <w:right w:val="single" w:sz="6" w:space="0" w:color="000000"/>
            </w:tcBorders>
            <w:shd w:val="clear" w:color="auto" w:fill="DDDDDD"/>
            <w:vAlign w:val="center"/>
          </w:tcPr>
          <w:p w14:paraId="4262A7BD" w14:textId="77777777" w:rsidR="002D58E4" w:rsidRDefault="00F721D4">
            <w:pPr>
              <w:jc w:val="center"/>
              <w:rPr>
                <w:b/>
                <w:sz w:val="20"/>
                <w:szCs w:val="20"/>
              </w:rPr>
            </w:pPr>
            <w:r>
              <w:rPr>
                <w:b/>
                <w:sz w:val="18"/>
                <w:szCs w:val="18"/>
              </w:rPr>
              <w:t>№ of Events/№ of patients</w:t>
            </w:r>
          </w:p>
        </w:tc>
        <w:tc>
          <w:tcPr>
            <w:tcW w:w="3423"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5DC9E369" w14:textId="77777777" w:rsidR="002D58E4" w:rsidRDefault="00F721D4">
            <w:pPr>
              <w:jc w:val="center"/>
              <w:rPr>
                <w:b/>
                <w:sz w:val="20"/>
                <w:szCs w:val="20"/>
              </w:rPr>
            </w:pPr>
            <w:r>
              <w:rPr>
                <w:b/>
                <w:sz w:val="20"/>
                <w:szCs w:val="20"/>
              </w:rPr>
              <w:t>Effect</w:t>
            </w:r>
          </w:p>
        </w:tc>
        <w:tc>
          <w:tcPr>
            <w:tcW w:w="1133" w:type="dxa"/>
            <w:vMerge w:val="restart"/>
            <w:tcBorders>
              <w:top w:val="single" w:sz="6" w:space="0" w:color="000000"/>
              <w:left w:val="single" w:sz="6" w:space="0" w:color="000000"/>
              <w:right w:val="single" w:sz="6" w:space="0" w:color="000000"/>
            </w:tcBorders>
            <w:shd w:val="clear" w:color="auto" w:fill="DDDDDD"/>
            <w:vAlign w:val="center"/>
          </w:tcPr>
          <w:p w14:paraId="2526269C" w14:textId="77777777" w:rsidR="002D58E4" w:rsidRDefault="00F721D4">
            <w:pPr>
              <w:jc w:val="center"/>
              <w:rPr>
                <w:b/>
                <w:sz w:val="20"/>
                <w:szCs w:val="20"/>
              </w:rPr>
            </w:pPr>
            <w:r>
              <w:rPr>
                <w:b/>
                <w:sz w:val="20"/>
                <w:szCs w:val="20"/>
              </w:rPr>
              <w:t>Certainty</w:t>
            </w:r>
          </w:p>
        </w:tc>
        <w:tc>
          <w:tcPr>
            <w:tcW w:w="1139" w:type="dxa"/>
            <w:vMerge w:val="restart"/>
            <w:tcBorders>
              <w:top w:val="single" w:sz="6" w:space="0" w:color="000000"/>
              <w:left w:val="single" w:sz="6" w:space="0" w:color="000000"/>
              <w:right w:val="single" w:sz="6" w:space="0" w:color="000000"/>
            </w:tcBorders>
            <w:shd w:val="clear" w:color="auto" w:fill="DDDDDD"/>
            <w:vAlign w:val="center"/>
          </w:tcPr>
          <w:p w14:paraId="43A404FD" w14:textId="77777777" w:rsidR="002D58E4" w:rsidRDefault="00F721D4">
            <w:pPr>
              <w:jc w:val="center"/>
              <w:rPr>
                <w:b/>
                <w:sz w:val="20"/>
                <w:szCs w:val="20"/>
              </w:rPr>
            </w:pPr>
            <w:r>
              <w:rPr>
                <w:b/>
                <w:sz w:val="20"/>
                <w:szCs w:val="20"/>
              </w:rPr>
              <w:t>Importance</w:t>
            </w:r>
          </w:p>
        </w:tc>
      </w:tr>
      <w:tr w:rsidR="002D58E4" w14:paraId="04B51CAB" w14:textId="77777777" w:rsidTr="00E70FE5">
        <w:tc>
          <w:tcPr>
            <w:tcW w:w="72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5B781DE" w14:textId="77777777" w:rsidR="002D58E4" w:rsidRDefault="00F721D4">
            <w:pPr>
              <w:jc w:val="center"/>
              <w:rPr>
                <w:b/>
                <w:sz w:val="20"/>
                <w:szCs w:val="20"/>
              </w:rPr>
            </w:pPr>
            <w:r>
              <w:rPr>
                <w:b/>
                <w:sz w:val="20"/>
                <w:szCs w:val="20"/>
              </w:rPr>
              <w:t>№ of studies</w:t>
            </w:r>
          </w:p>
        </w:tc>
        <w:tc>
          <w:tcPr>
            <w:tcW w:w="68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5BFE04A1" w14:textId="77777777" w:rsidR="002D58E4" w:rsidRDefault="00F721D4">
            <w:pPr>
              <w:jc w:val="center"/>
              <w:rPr>
                <w:b/>
                <w:sz w:val="20"/>
                <w:szCs w:val="20"/>
              </w:rPr>
            </w:pPr>
            <w:r>
              <w:rPr>
                <w:b/>
                <w:sz w:val="20"/>
                <w:szCs w:val="20"/>
              </w:rPr>
              <w:t>Study design</w:t>
            </w:r>
          </w:p>
        </w:tc>
        <w:tc>
          <w:tcPr>
            <w:tcW w:w="88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B046C4E" w14:textId="77777777" w:rsidR="002D58E4" w:rsidRDefault="00F721D4">
            <w:pPr>
              <w:jc w:val="center"/>
              <w:rPr>
                <w:b/>
                <w:sz w:val="20"/>
                <w:szCs w:val="20"/>
              </w:rPr>
            </w:pPr>
            <w:r>
              <w:rPr>
                <w:b/>
                <w:sz w:val="20"/>
                <w:szCs w:val="20"/>
              </w:rPr>
              <w:t>Risk of bias</w:t>
            </w:r>
          </w:p>
        </w:tc>
        <w:tc>
          <w:tcPr>
            <w:tcW w:w="125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3BBC1AE" w14:textId="77777777" w:rsidR="002D58E4" w:rsidRDefault="00F721D4">
            <w:pPr>
              <w:jc w:val="center"/>
              <w:rPr>
                <w:b/>
                <w:sz w:val="20"/>
                <w:szCs w:val="20"/>
              </w:rPr>
            </w:pPr>
            <w:r>
              <w:rPr>
                <w:b/>
                <w:sz w:val="20"/>
                <w:szCs w:val="20"/>
              </w:rPr>
              <w:t>Inconsistency</w:t>
            </w:r>
          </w:p>
        </w:tc>
        <w:tc>
          <w:tcPr>
            <w:tcW w:w="114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50205C7" w14:textId="77777777" w:rsidR="002D58E4" w:rsidRDefault="00F721D4">
            <w:pPr>
              <w:jc w:val="center"/>
              <w:rPr>
                <w:b/>
                <w:sz w:val="20"/>
                <w:szCs w:val="20"/>
              </w:rPr>
            </w:pPr>
            <w:r>
              <w:rPr>
                <w:b/>
                <w:sz w:val="20"/>
                <w:szCs w:val="20"/>
              </w:rPr>
              <w:t>Indirectness</w:t>
            </w:r>
          </w:p>
        </w:tc>
        <w:tc>
          <w:tcPr>
            <w:tcW w:w="116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9A48DC3" w14:textId="77777777" w:rsidR="002D58E4" w:rsidRDefault="00F721D4">
            <w:pPr>
              <w:jc w:val="center"/>
              <w:rPr>
                <w:b/>
                <w:sz w:val="20"/>
                <w:szCs w:val="20"/>
              </w:rPr>
            </w:pPr>
            <w:r>
              <w:rPr>
                <w:b/>
                <w:sz w:val="20"/>
                <w:szCs w:val="20"/>
              </w:rPr>
              <w:t>Imprecision</w:t>
            </w:r>
          </w:p>
        </w:tc>
        <w:tc>
          <w:tcPr>
            <w:tcW w:w="78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8DF7650" w14:textId="77777777" w:rsidR="002D58E4" w:rsidRDefault="00F721D4">
            <w:pPr>
              <w:jc w:val="center"/>
              <w:rPr>
                <w:b/>
                <w:sz w:val="20"/>
                <w:szCs w:val="20"/>
              </w:rPr>
            </w:pPr>
            <w:r>
              <w:rPr>
                <w:b/>
                <w:sz w:val="20"/>
                <w:szCs w:val="20"/>
              </w:rPr>
              <w:t>Other considerations</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6FCABA4B" w14:textId="77777777" w:rsidR="002D58E4" w:rsidRDefault="00F721D4">
            <w:pPr>
              <w:jc w:val="center"/>
              <w:rPr>
                <w:b/>
                <w:sz w:val="20"/>
                <w:szCs w:val="20"/>
              </w:rPr>
            </w:pPr>
            <w:r>
              <w:rPr>
                <w:b/>
                <w:sz w:val="20"/>
                <w:szCs w:val="20"/>
              </w:rPr>
              <w:t>Cefuroxime</w:t>
            </w:r>
          </w:p>
        </w:tc>
        <w:tc>
          <w:tcPr>
            <w:tcW w:w="110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F59CA47" w14:textId="77777777" w:rsidR="002D58E4" w:rsidRDefault="00F721D4">
            <w:pPr>
              <w:jc w:val="center"/>
              <w:rPr>
                <w:b/>
                <w:sz w:val="20"/>
                <w:szCs w:val="20"/>
              </w:rPr>
            </w:pPr>
            <w:r>
              <w:rPr>
                <w:b/>
                <w:sz w:val="20"/>
                <w:szCs w:val="20"/>
              </w:rPr>
              <w:t>Amoxicillin</w:t>
            </w:r>
          </w:p>
        </w:tc>
        <w:tc>
          <w:tcPr>
            <w:tcW w:w="1319"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42B1E986" w14:textId="77777777" w:rsidR="002D58E4" w:rsidRDefault="00F721D4">
            <w:pPr>
              <w:jc w:val="center"/>
              <w:rPr>
                <w:b/>
                <w:sz w:val="20"/>
                <w:szCs w:val="20"/>
              </w:rPr>
            </w:pPr>
            <w:r>
              <w:rPr>
                <w:b/>
                <w:sz w:val="20"/>
                <w:szCs w:val="20"/>
              </w:rPr>
              <w:t>Relative</w:t>
            </w:r>
            <w:r>
              <w:rPr>
                <w:b/>
                <w:sz w:val="20"/>
                <w:szCs w:val="20"/>
              </w:rPr>
              <w:br/>
              <w:t>(95% CI)</w:t>
            </w:r>
          </w:p>
        </w:tc>
        <w:tc>
          <w:tcPr>
            <w:tcW w:w="211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E588A74" w14:textId="77777777" w:rsidR="002D58E4" w:rsidRDefault="00F721D4">
            <w:pPr>
              <w:jc w:val="center"/>
              <w:rPr>
                <w:b/>
                <w:sz w:val="20"/>
                <w:szCs w:val="20"/>
              </w:rPr>
            </w:pPr>
            <w:r>
              <w:rPr>
                <w:b/>
                <w:sz w:val="20"/>
                <w:szCs w:val="20"/>
              </w:rPr>
              <w:t>Absolute</w:t>
            </w:r>
            <w:r>
              <w:rPr>
                <w:b/>
                <w:sz w:val="20"/>
                <w:szCs w:val="20"/>
              </w:rPr>
              <w:br/>
              <w:t>(95% CI)</w:t>
            </w:r>
          </w:p>
        </w:tc>
        <w:tc>
          <w:tcPr>
            <w:tcW w:w="1133" w:type="dxa"/>
            <w:vMerge/>
            <w:tcBorders>
              <w:top w:val="single" w:sz="6" w:space="0" w:color="000000"/>
              <w:left w:val="single" w:sz="6" w:space="0" w:color="000000"/>
              <w:right w:val="single" w:sz="6" w:space="0" w:color="000000"/>
            </w:tcBorders>
            <w:shd w:val="clear" w:color="auto" w:fill="DDDDDD"/>
            <w:vAlign w:val="center"/>
          </w:tcPr>
          <w:p w14:paraId="65C456A2" w14:textId="77777777" w:rsidR="002D58E4" w:rsidRDefault="002D58E4">
            <w:pPr>
              <w:widowControl w:val="0"/>
              <w:pBdr>
                <w:top w:val="nil"/>
                <w:left w:val="nil"/>
                <w:bottom w:val="nil"/>
                <w:right w:val="nil"/>
                <w:between w:val="nil"/>
              </w:pBdr>
              <w:spacing w:line="276" w:lineRule="auto"/>
              <w:rPr>
                <w:b/>
                <w:sz w:val="20"/>
                <w:szCs w:val="20"/>
              </w:rPr>
            </w:pPr>
          </w:p>
        </w:tc>
        <w:tc>
          <w:tcPr>
            <w:tcW w:w="1139" w:type="dxa"/>
            <w:vMerge/>
            <w:tcBorders>
              <w:top w:val="single" w:sz="6" w:space="0" w:color="000000"/>
              <w:left w:val="single" w:sz="6" w:space="0" w:color="000000"/>
              <w:right w:val="single" w:sz="6" w:space="0" w:color="000000"/>
            </w:tcBorders>
            <w:shd w:val="clear" w:color="auto" w:fill="DDDDDD"/>
            <w:vAlign w:val="center"/>
          </w:tcPr>
          <w:p w14:paraId="383C8488" w14:textId="77777777" w:rsidR="002D58E4" w:rsidRDefault="002D58E4">
            <w:pPr>
              <w:widowControl w:val="0"/>
              <w:pBdr>
                <w:top w:val="nil"/>
                <w:left w:val="nil"/>
                <w:bottom w:val="nil"/>
                <w:right w:val="nil"/>
                <w:between w:val="nil"/>
              </w:pBdr>
              <w:spacing w:line="276" w:lineRule="auto"/>
              <w:rPr>
                <w:b/>
                <w:sz w:val="20"/>
                <w:szCs w:val="20"/>
              </w:rPr>
            </w:pPr>
          </w:p>
        </w:tc>
      </w:tr>
      <w:tr w:rsidR="002D58E4" w14:paraId="72C29374"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331975A2" w14:textId="77777777" w:rsidR="002D58E4" w:rsidRDefault="00F721D4">
            <w:pPr>
              <w:rPr>
                <w:sz w:val="20"/>
                <w:szCs w:val="20"/>
              </w:rPr>
            </w:pPr>
            <w:r>
              <w:rPr>
                <w:b/>
                <w:sz w:val="20"/>
                <w:szCs w:val="20"/>
              </w:rPr>
              <w:t xml:space="preserve">Resolution of Erythema Migrans </w:t>
            </w:r>
            <w:r>
              <w:rPr>
                <w:sz w:val="20"/>
                <w:szCs w:val="20"/>
              </w:rPr>
              <w:t>(at 21 days)</w:t>
            </w:r>
          </w:p>
        </w:tc>
      </w:tr>
      <w:tr w:rsidR="002D58E4" w14:paraId="7AF20796" w14:textId="77777777" w:rsidTr="00E70FE5">
        <w:tc>
          <w:tcPr>
            <w:tcW w:w="721" w:type="dxa"/>
            <w:tcBorders>
              <w:top w:val="single" w:sz="6" w:space="0" w:color="000000"/>
              <w:left w:val="single" w:sz="6" w:space="0" w:color="000000"/>
              <w:bottom w:val="single" w:sz="6" w:space="0" w:color="000000"/>
              <w:right w:val="single" w:sz="6" w:space="0" w:color="000000"/>
            </w:tcBorders>
          </w:tcPr>
          <w:p w14:paraId="2D9FAD8C"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61D1969E"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408C2588" w14:textId="77777777" w:rsidR="002D58E4" w:rsidRDefault="00F721D4">
            <w:pPr>
              <w:rPr>
                <w:sz w:val="20"/>
                <w:szCs w:val="20"/>
              </w:rPr>
            </w:pPr>
            <w:r>
              <w:rPr>
                <w:sz w:val="20"/>
                <w:szCs w:val="20"/>
              </w:rPr>
              <w:t xml:space="preserve">not serious </w:t>
            </w:r>
          </w:p>
        </w:tc>
        <w:tc>
          <w:tcPr>
            <w:tcW w:w="1253" w:type="dxa"/>
            <w:tcBorders>
              <w:top w:val="single" w:sz="6" w:space="0" w:color="000000"/>
              <w:left w:val="single" w:sz="6" w:space="0" w:color="000000"/>
              <w:bottom w:val="single" w:sz="6" w:space="0" w:color="000000"/>
              <w:right w:val="single" w:sz="6" w:space="0" w:color="000000"/>
            </w:tcBorders>
          </w:tcPr>
          <w:p w14:paraId="5B88AF17" w14:textId="77777777" w:rsidR="002D58E4" w:rsidRDefault="00F721D4">
            <w:pPr>
              <w:rPr>
                <w:sz w:val="20"/>
                <w:szCs w:val="20"/>
              </w:rPr>
            </w:pPr>
            <w:r>
              <w:rPr>
                <w:sz w:val="20"/>
                <w:szCs w:val="20"/>
              </w:rPr>
              <w:t xml:space="preserve">not serious </w:t>
            </w:r>
          </w:p>
        </w:tc>
        <w:tc>
          <w:tcPr>
            <w:tcW w:w="1145" w:type="dxa"/>
            <w:tcBorders>
              <w:top w:val="single" w:sz="6" w:space="0" w:color="000000"/>
              <w:left w:val="single" w:sz="6" w:space="0" w:color="000000"/>
              <w:bottom w:val="single" w:sz="6" w:space="0" w:color="000000"/>
              <w:right w:val="single" w:sz="6" w:space="0" w:color="000000"/>
            </w:tcBorders>
          </w:tcPr>
          <w:p w14:paraId="25B1F9A5"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37C3052F"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4FAAB889"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63763F27" w14:textId="77777777" w:rsidR="002D58E4" w:rsidRDefault="00F721D4">
            <w:pPr>
              <w:jc w:val="center"/>
              <w:rPr>
                <w:sz w:val="20"/>
                <w:szCs w:val="20"/>
              </w:rPr>
            </w:pPr>
            <w:r>
              <w:rPr>
                <w:sz w:val="20"/>
                <w:szCs w:val="20"/>
              </w:rPr>
              <w:t xml:space="preserve">13/15 (86.7%) </w:t>
            </w:r>
          </w:p>
        </w:tc>
        <w:tc>
          <w:tcPr>
            <w:tcW w:w="1106" w:type="dxa"/>
            <w:tcBorders>
              <w:top w:val="single" w:sz="6" w:space="0" w:color="000000"/>
              <w:left w:val="single" w:sz="6" w:space="0" w:color="000000"/>
              <w:bottom w:val="single" w:sz="6" w:space="0" w:color="000000"/>
              <w:right w:val="single" w:sz="6" w:space="0" w:color="000000"/>
            </w:tcBorders>
          </w:tcPr>
          <w:p w14:paraId="4A619DC6" w14:textId="77777777" w:rsidR="002D58E4" w:rsidRDefault="00F721D4">
            <w:pPr>
              <w:jc w:val="center"/>
              <w:rPr>
                <w:sz w:val="20"/>
                <w:szCs w:val="20"/>
              </w:rPr>
            </w:pPr>
            <w:r>
              <w:rPr>
                <w:sz w:val="20"/>
                <w:szCs w:val="20"/>
              </w:rPr>
              <w:t xml:space="preserve">8/12 </w:t>
            </w:r>
          </w:p>
          <w:p w14:paraId="1DEE9045" w14:textId="77777777" w:rsidR="002D58E4" w:rsidRDefault="00F721D4">
            <w:pPr>
              <w:jc w:val="center"/>
              <w:rPr>
                <w:sz w:val="20"/>
                <w:szCs w:val="20"/>
              </w:rPr>
            </w:pPr>
            <w:r>
              <w:rPr>
                <w:sz w:val="20"/>
                <w:szCs w:val="20"/>
              </w:rPr>
              <w:t xml:space="preserve">(66.7%) </w:t>
            </w:r>
          </w:p>
        </w:tc>
        <w:tc>
          <w:tcPr>
            <w:tcW w:w="1319" w:type="dxa"/>
            <w:gridSpan w:val="2"/>
            <w:tcBorders>
              <w:top w:val="single" w:sz="6" w:space="0" w:color="000000"/>
              <w:left w:val="single" w:sz="6" w:space="0" w:color="000000"/>
              <w:bottom w:val="single" w:sz="6" w:space="0" w:color="000000"/>
              <w:right w:val="single" w:sz="6" w:space="0" w:color="000000"/>
            </w:tcBorders>
          </w:tcPr>
          <w:p w14:paraId="64216AA6" w14:textId="77777777" w:rsidR="002D58E4" w:rsidRDefault="00F721D4">
            <w:pPr>
              <w:jc w:val="center"/>
              <w:rPr>
                <w:sz w:val="20"/>
                <w:szCs w:val="20"/>
              </w:rPr>
            </w:pPr>
            <w:r>
              <w:rPr>
                <w:sz w:val="20"/>
                <w:szCs w:val="20"/>
              </w:rPr>
              <w:t>RR 1.30</w:t>
            </w:r>
            <w:r>
              <w:rPr>
                <w:sz w:val="20"/>
                <w:szCs w:val="20"/>
              </w:rPr>
              <w:br/>
              <w:t xml:space="preserve">(0.83 to 2.03) </w:t>
            </w:r>
          </w:p>
        </w:tc>
        <w:tc>
          <w:tcPr>
            <w:tcW w:w="2119" w:type="dxa"/>
            <w:tcBorders>
              <w:top w:val="single" w:sz="6" w:space="0" w:color="000000"/>
              <w:left w:val="single" w:sz="6" w:space="0" w:color="000000"/>
              <w:bottom w:val="single" w:sz="6" w:space="0" w:color="000000"/>
              <w:right w:val="single" w:sz="6" w:space="0" w:color="000000"/>
            </w:tcBorders>
          </w:tcPr>
          <w:p w14:paraId="71055C5C" w14:textId="77777777" w:rsidR="002D58E4" w:rsidRDefault="00F721D4">
            <w:pPr>
              <w:jc w:val="center"/>
              <w:rPr>
                <w:sz w:val="20"/>
                <w:szCs w:val="20"/>
              </w:rPr>
            </w:pPr>
            <w:r>
              <w:rPr>
                <w:sz w:val="20"/>
                <w:szCs w:val="20"/>
              </w:rPr>
              <w:t>200 more per 1,000</w:t>
            </w:r>
            <w:r>
              <w:rPr>
                <w:sz w:val="20"/>
                <w:szCs w:val="20"/>
              </w:rPr>
              <w:br/>
              <w:t xml:space="preserve">(from 117 fewer to 517 more) </w:t>
            </w:r>
          </w:p>
        </w:tc>
        <w:tc>
          <w:tcPr>
            <w:tcW w:w="1133" w:type="dxa"/>
            <w:tcBorders>
              <w:top w:val="single" w:sz="6" w:space="0" w:color="000000"/>
              <w:left w:val="single" w:sz="6" w:space="0" w:color="000000"/>
              <w:bottom w:val="single" w:sz="6" w:space="0" w:color="000000"/>
              <w:right w:val="single" w:sz="6" w:space="0" w:color="000000"/>
            </w:tcBorders>
          </w:tcPr>
          <w:p w14:paraId="75B5318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9" w:type="dxa"/>
            <w:tcBorders>
              <w:top w:val="single" w:sz="6" w:space="0" w:color="000000"/>
              <w:left w:val="single" w:sz="6" w:space="0" w:color="000000"/>
              <w:bottom w:val="single" w:sz="6" w:space="0" w:color="000000"/>
              <w:right w:val="single" w:sz="6" w:space="0" w:color="000000"/>
            </w:tcBorders>
          </w:tcPr>
          <w:p w14:paraId="4338F3E9" w14:textId="77777777" w:rsidR="002D58E4" w:rsidRDefault="00F721D4">
            <w:pPr>
              <w:rPr>
                <w:sz w:val="20"/>
                <w:szCs w:val="20"/>
              </w:rPr>
            </w:pPr>
            <w:r>
              <w:rPr>
                <w:sz w:val="20"/>
                <w:szCs w:val="20"/>
              </w:rPr>
              <w:t xml:space="preserve">CRITICAL </w:t>
            </w:r>
          </w:p>
        </w:tc>
      </w:tr>
      <w:tr w:rsidR="002D58E4" w14:paraId="27909B12"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3219EC72" w14:textId="77777777" w:rsidR="002D58E4" w:rsidRDefault="00F721D4">
            <w:pPr>
              <w:rPr>
                <w:sz w:val="20"/>
                <w:szCs w:val="20"/>
              </w:rPr>
            </w:pPr>
            <w:r>
              <w:rPr>
                <w:b/>
                <w:sz w:val="20"/>
                <w:szCs w:val="20"/>
              </w:rPr>
              <w:t xml:space="preserve">Patients Experiencing Objective Findings of Lyme </w:t>
            </w:r>
            <w:r>
              <w:rPr>
                <w:sz w:val="20"/>
                <w:szCs w:val="20"/>
              </w:rPr>
              <w:t xml:space="preserve">(at 6 months and beyond) </w:t>
            </w:r>
          </w:p>
        </w:tc>
      </w:tr>
      <w:tr w:rsidR="002D58E4" w14:paraId="3DD972F1" w14:textId="77777777" w:rsidTr="00E70FE5">
        <w:tc>
          <w:tcPr>
            <w:tcW w:w="721" w:type="dxa"/>
            <w:tcBorders>
              <w:top w:val="single" w:sz="6" w:space="0" w:color="000000"/>
              <w:left w:val="single" w:sz="6" w:space="0" w:color="000000"/>
              <w:bottom w:val="single" w:sz="6" w:space="0" w:color="000000"/>
              <w:right w:val="single" w:sz="6" w:space="0" w:color="000000"/>
            </w:tcBorders>
          </w:tcPr>
          <w:p w14:paraId="7199CA38"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33EFA787"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0BFAB027" w14:textId="77777777" w:rsidR="002D58E4" w:rsidRDefault="00F721D4">
            <w:pPr>
              <w:rPr>
                <w:sz w:val="20"/>
                <w:szCs w:val="20"/>
              </w:rPr>
            </w:pPr>
            <w:r>
              <w:rPr>
                <w:sz w:val="20"/>
                <w:szCs w:val="20"/>
              </w:rPr>
              <w:t xml:space="preserve">not serious </w:t>
            </w:r>
          </w:p>
        </w:tc>
        <w:tc>
          <w:tcPr>
            <w:tcW w:w="1253" w:type="dxa"/>
            <w:tcBorders>
              <w:top w:val="single" w:sz="6" w:space="0" w:color="000000"/>
              <w:left w:val="single" w:sz="6" w:space="0" w:color="000000"/>
              <w:bottom w:val="single" w:sz="6" w:space="0" w:color="000000"/>
              <w:right w:val="single" w:sz="6" w:space="0" w:color="000000"/>
            </w:tcBorders>
          </w:tcPr>
          <w:p w14:paraId="2B446DEF" w14:textId="77777777" w:rsidR="002D58E4" w:rsidRDefault="00F721D4">
            <w:pPr>
              <w:rPr>
                <w:sz w:val="20"/>
                <w:szCs w:val="20"/>
              </w:rPr>
            </w:pPr>
            <w:r>
              <w:rPr>
                <w:sz w:val="20"/>
                <w:szCs w:val="20"/>
              </w:rPr>
              <w:t>not serious</w:t>
            </w:r>
          </w:p>
        </w:tc>
        <w:tc>
          <w:tcPr>
            <w:tcW w:w="1145" w:type="dxa"/>
            <w:tcBorders>
              <w:top w:val="single" w:sz="6" w:space="0" w:color="000000"/>
              <w:left w:val="single" w:sz="6" w:space="0" w:color="000000"/>
              <w:bottom w:val="single" w:sz="6" w:space="0" w:color="000000"/>
              <w:right w:val="single" w:sz="6" w:space="0" w:color="000000"/>
            </w:tcBorders>
          </w:tcPr>
          <w:p w14:paraId="7B3A3247"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02A7C070"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788E38DD"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03286EA0" w14:textId="77777777" w:rsidR="002D58E4" w:rsidRDefault="00F721D4">
            <w:pPr>
              <w:jc w:val="center"/>
              <w:rPr>
                <w:sz w:val="20"/>
                <w:szCs w:val="20"/>
              </w:rPr>
            </w:pPr>
            <w:r>
              <w:rPr>
                <w:sz w:val="20"/>
                <w:szCs w:val="20"/>
              </w:rPr>
              <w:t xml:space="preserve">0/15 </w:t>
            </w:r>
          </w:p>
          <w:p w14:paraId="4128AFBD" w14:textId="77777777" w:rsidR="002D58E4" w:rsidRDefault="00F721D4">
            <w:pPr>
              <w:jc w:val="center"/>
              <w:rPr>
                <w:sz w:val="20"/>
                <w:szCs w:val="20"/>
              </w:rPr>
            </w:pPr>
            <w:r>
              <w:rPr>
                <w:sz w:val="20"/>
                <w:szCs w:val="20"/>
              </w:rPr>
              <w:t xml:space="preserve">(0.0%) </w:t>
            </w:r>
          </w:p>
        </w:tc>
        <w:tc>
          <w:tcPr>
            <w:tcW w:w="1106" w:type="dxa"/>
            <w:tcBorders>
              <w:top w:val="single" w:sz="6" w:space="0" w:color="000000"/>
              <w:left w:val="single" w:sz="6" w:space="0" w:color="000000"/>
              <w:bottom w:val="single" w:sz="6" w:space="0" w:color="000000"/>
              <w:right w:val="single" w:sz="6" w:space="0" w:color="000000"/>
            </w:tcBorders>
          </w:tcPr>
          <w:p w14:paraId="50EAC7AB" w14:textId="77777777" w:rsidR="002D58E4" w:rsidRDefault="00F721D4">
            <w:pPr>
              <w:jc w:val="center"/>
              <w:rPr>
                <w:sz w:val="20"/>
                <w:szCs w:val="20"/>
              </w:rPr>
            </w:pPr>
            <w:r>
              <w:rPr>
                <w:sz w:val="20"/>
                <w:szCs w:val="20"/>
              </w:rPr>
              <w:t xml:space="preserve">0/12 </w:t>
            </w:r>
          </w:p>
          <w:p w14:paraId="59FACC14" w14:textId="77777777" w:rsidR="002D58E4" w:rsidRDefault="00F721D4">
            <w:pPr>
              <w:jc w:val="center"/>
              <w:rPr>
                <w:sz w:val="20"/>
                <w:szCs w:val="20"/>
              </w:rPr>
            </w:pPr>
            <w:r>
              <w:rPr>
                <w:sz w:val="20"/>
                <w:szCs w:val="20"/>
              </w:rPr>
              <w:t xml:space="preserve">(0.0%) </w:t>
            </w:r>
          </w:p>
        </w:tc>
        <w:tc>
          <w:tcPr>
            <w:tcW w:w="1319" w:type="dxa"/>
            <w:gridSpan w:val="2"/>
            <w:tcBorders>
              <w:top w:val="single" w:sz="6" w:space="0" w:color="000000"/>
              <w:left w:val="single" w:sz="6" w:space="0" w:color="000000"/>
              <w:bottom w:val="single" w:sz="6" w:space="0" w:color="000000"/>
              <w:right w:val="single" w:sz="6" w:space="0" w:color="000000"/>
            </w:tcBorders>
          </w:tcPr>
          <w:p w14:paraId="0573F6C2" w14:textId="77777777" w:rsidR="002D58E4" w:rsidRDefault="00F721D4">
            <w:pPr>
              <w:jc w:val="center"/>
              <w:rPr>
                <w:sz w:val="20"/>
                <w:szCs w:val="20"/>
              </w:rPr>
            </w:pPr>
            <w:r>
              <w:rPr>
                <w:sz w:val="20"/>
                <w:szCs w:val="20"/>
              </w:rPr>
              <w:t xml:space="preserve">NA </w:t>
            </w:r>
            <w:r>
              <w:rPr>
                <w:sz w:val="20"/>
                <w:szCs w:val="20"/>
                <w:vertAlign w:val="superscript"/>
              </w:rPr>
              <w:t>c</w:t>
            </w:r>
          </w:p>
          <w:p w14:paraId="4CCE1BA3" w14:textId="77777777" w:rsidR="002D58E4" w:rsidRDefault="002D58E4">
            <w:pPr>
              <w:jc w:val="center"/>
              <w:rPr>
                <w:sz w:val="20"/>
                <w:szCs w:val="20"/>
              </w:rPr>
            </w:pPr>
          </w:p>
        </w:tc>
        <w:tc>
          <w:tcPr>
            <w:tcW w:w="2119" w:type="dxa"/>
            <w:tcBorders>
              <w:top w:val="single" w:sz="6" w:space="0" w:color="000000"/>
              <w:left w:val="single" w:sz="6" w:space="0" w:color="000000"/>
              <w:bottom w:val="single" w:sz="6" w:space="0" w:color="000000"/>
              <w:right w:val="single" w:sz="6" w:space="0" w:color="000000"/>
            </w:tcBorders>
          </w:tcPr>
          <w:p w14:paraId="1A0707AC" w14:textId="77777777" w:rsidR="002D58E4" w:rsidRDefault="00F721D4">
            <w:pPr>
              <w:jc w:val="center"/>
              <w:rPr>
                <w:sz w:val="20"/>
                <w:szCs w:val="20"/>
              </w:rPr>
            </w:pPr>
            <w:r>
              <w:rPr>
                <w:sz w:val="20"/>
                <w:szCs w:val="20"/>
              </w:rPr>
              <w:t>0 per 1,000</w:t>
            </w:r>
          </w:p>
        </w:tc>
        <w:tc>
          <w:tcPr>
            <w:tcW w:w="1133" w:type="dxa"/>
            <w:tcBorders>
              <w:top w:val="single" w:sz="6" w:space="0" w:color="000000"/>
              <w:left w:val="single" w:sz="6" w:space="0" w:color="000000"/>
              <w:bottom w:val="single" w:sz="6" w:space="0" w:color="000000"/>
              <w:right w:val="single" w:sz="6" w:space="0" w:color="000000"/>
            </w:tcBorders>
          </w:tcPr>
          <w:p w14:paraId="1ABE019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9" w:type="dxa"/>
            <w:tcBorders>
              <w:top w:val="single" w:sz="6" w:space="0" w:color="000000"/>
              <w:left w:val="single" w:sz="6" w:space="0" w:color="000000"/>
              <w:bottom w:val="single" w:sz="6" w:space="0" w:color="000000"/>
              <w:right w:val="single" w:sz="6" w:space="0" w:color="000000"/>
            </w:tcBorders>
          </w:tcPr>
          <w:p w14:paraId="064FC8DD" w14:textId="77777777" w:rsidR="002D58E4" w:rsidRDefault="00F721D4">
            <w:pPr>
              <w:rPr>
                <w:sz w:val="20"/>
                <w:szCs w:val="20"/>
              </w:rPr>
            </w:pPr>
            <w:r>
              <w:rPr>
                <w:sz w:val="20"/>
                <w:szCs w:val="20"/>
              </w:rPr>
              <w:t xml:space="preserve">CRITICAL </w:t>
            </w:r>
          </w:p>
        </w:tc>
      </w:tr>
      <w:tr w:rsidR="002D58E4" w14:paraId="68EF79ED"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5A1B6B47" w14:textId="77777777" w:rsidR="002D58E4" w:rsidRDefault="00F721D4">
            <w:pPr>
              <w:rPr>
                <w:sz w:val="20"/>
                <w:szCs w:val="20"/>
              </w:rPr>
            </w:pPr>
            <w:r>
              <w:rPr>
                <w:b/>
                <w:sz w:val="20"/>
                <w:szCs w:val="20"/>
              </w:rPr>
              <w:t xml:space="preserve">Patients Withdrawing due to Adverse Events </w:t>
            </w:r>
          </w:p>
        </w:tc>
      </w:tr>
      <w:tr w:rsidR="002D58E4" w14:paraId="65FDBD67" w14:textId="77777777" w:rsidTr="00E70FE5">
        <w:tc>
          <w:tcPr>
            <w:tcW w:w="721" w:type="dxa"/>
            <w:tcBorders>
              <w:top w:val="single" w:sz="6" w:space="0" w:color="000000"/>
              <w:left w:val="single" w:sz="6" w:space="0" w:color="000000"/>
              <w:bottom w:val="single" w:sz="6" w:space="0" w:color="000000"/>
              <w:right w:val="single" w:sz="6" w:space="0" w:color="000000"/>
            </w:tcBorders>
          </w:tcPr>
          <w:p w14:paraId="462571F5"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25919D52"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5E4D1A0B" w14:textId="77777777" w:rsidR="002D58E4" w:rsidRDefault="00F721D4">
            <w:pPr>
              <w:rPr>
                <w:sz w:val="20"/>
                <w:szCs w:val="20"/>
              </w:rPr>
            </w:pPr>
            <w:r>
              <w:rPr>
                <w:sz w:val="20"/>
                <w:szCs w:val="20"/>
              </w:rPr>
              <w:t xml:space="preserve">serious </w:t>
            </w:r>
            <w:r>
              <w:rPr>
                <w:sz w:val="20"/>
                <w:szCs w:val="20"/>
                <w:vertAlign w:val="superscript"/>
              </w:rPr>
              <w:t>a</w:t>
            </w:r>
          </w:p>
        </w:tc>
        <w:tc>
          <w:tcPr>
            <w:tcW w:w="1253" w:type="dxa"/>
            <w:tcBorders>
              <w:top w:val="single" w:sz="6" w:space="0" w:color="000000"/>
              <w:left w:val="single" w:sz="6" w:space="0" w:color="000000"/>
              <w:bottom w:val="single" w:sz="6" w:space="0" w:color="000000"/>
              <w:right w:val="single" w:sz="6" w:space="0" w:color="000000"/>
            </w:tcBorders>
          </w:tcPr>
          <w:p w14:paraId="4EED0E3B" w14:textId="77777777" w:rsidR="002D58E4" w:rsidRDefault="00F721D4">
            <w:pPr>
              <w:rPr>
                <w:sz w:val="20"/>
                <w:szCs w:val="20"/>
              </w:rPr>
            </w:pPr>
            <w:r>
              <w:rPr>
                <w:sz w:val="20"/>
                <w:szCs w:val="20"/>
              </w:rPr>
              <w:t>not serious</w:t>
            </w:r>
          </w:p>
        </w:tc>
        <w:tc>
          <w:tcPr>
            <w:tcW w:w="1145" w:type="dxa"/>
            <w:tcBorders>
              <w:top w:val="single" w:sz="6" w:space="0" w:color="000000"/>
              <w:left w:val="single" w:sz="6" w:space="0" w:color="000000"/>
              <w:bottom w:val="single" w:sz="6" w:space="0" w:color="000000"/>
              <w:right w:val="single" w:sz="6" w:space="0" w:color="000000"/>
            </w:tcBorders>
          </w:tcPr>
          <w:p w14:paraId="7747DF65"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1B523076"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3B19E1A1"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6AF1B141" w14:textId="77777777" w:rsidR="002D58E4" w:rsidRDefault="00F721D4">
            <w:pPr>
              <w:jc w:val="center"/>
              <w:rPr>
                <w:sz w:val="20"/>
                <w:szCs w:val="20"/>
              </w:rPr>
            </w:pPr>
            <w:r>
              <w:rPr>
                <w:sz w:val="20"/>
                <w:szCs w:val="20"/>
              </w:rPr>
              <w:t>0/15</w:t>
            </w:r>
          </w:p>
          <w:p w14:paraId="552A0DA9" w14:textId="77777777" w:rsidR="002D58E4" w:rsidRDefault="00F721D4">
            <w:pPr>
              <w:jc w:val="center"/>
              <w:rPr>
                <w:sz w:val="20"/>
                <w:szCs w:val="20"/>
              </w:rPr>
            </w:pPr>
            <w:r>
              <w:rPr>
                <w:sz w:val="20"/>
                <w:szCs w:val="20"/>
              </w:rPr>
              <w:t xml:space="preserve"> (0.0%) </w:t>
            </w:r>
          </w:p>
        </w:tc>
        <w:tc>
          <w:tcPr>
            <w:tcW w:w="1106" w:type="dxa"/>
            <w:tcBorders>
              <w:top w:val="single" w:sz="6" w:space="0" w:color="000000"/>
              <w:left w:val="single" w:sz="6" w:space="0" w:color="000000"/>
              <w:bottom w:val="single" w:sz="6" w:space="0" w:color="000000"/>
              <w:right w:val="single" w:sz="6" w:space="0" w:color="000000"/>
            </w:tcBorders>
          </w:tcPr>
          <w:p w14:paraId="495B00C2" w14:textId="77777777" w:rsidR="002D58E4" w:rsidRDefault="00F721D4">
            <w:pPr>
              <w:jc w:val="center"/>
              <w:rPr>
                <w:sz w:val="20"/>
                <w:szCs w:val="20"/>
              </w:rPr>
            </w:pPr>
            <w:r>
              <w:rPr>
                <w:sz w:val="20"/>
                <w:szCs w:val="20"/>
              </w:rPr>
              <w:t xml:space="preserve">0/12 </w:t>
            </w:r>
          </w:p>
          <w:p w14:paraId="4338EFB0" w14:textId="77777777" w:rsidR="002D58E4" w:rsidRDefault="00F721D4">
            <w:pPr>
              <w:jc w:val="center"/>
              <w:rPr>
                <w:sz w:val="20"/>
                <w:szCs w:val="20"/>
              </w:rPr>
            </w:pPr>
            <w:r>
              <w:rPr>
                <w:sz w:val="20"/>
                <w:szCs w:val="20"/>
              </w:rPr>
              <w:t xml:space="preserve">(0.0%) </w:t>
            </w:r>
          </w:p>
        </w:tc>
        <w:tc>
          <w:tcPr>
            <w:tcW w:w="1319" w:type="dxa"/>
            <w:gridSpan w:val="2"/>
            <w:tcBorders>
              <w:top w:val="single" w:sz="6" w:space="0" w:color="000000"/>
              <w:left w:val="single" w:sz="6" w:space="0" w:color="000000"/>
              <w:bottom w:val="single" w:sz="6" w:space="0" w:color="000000"/>
              <w:right w:val="single" w:sz="6" w:space="0" w:color="000000"/>
            </w:tcBorders>
          </w:tcPr>
          <w:p w14:paraId="7A500B46" w14:textId="77777777" w:rsidR="002D58E4" w:rsidRDefault="00F721D4">
            <w:pPr>
              <w:jc w:val="center"/>
              <w:rPr>
                <w:sz w:val="20"/>
                <w:szCs w:val="20"/>
              </w:rPr>
            </w:pPr>
            <w:r>
              <w:rPr>
                <w:sz w:val="20"/>
                <w:szCs w:val="20"/>
              </w:rPr>
              <w:t xml:space="preserve">NA </w:t>
            </w:r>
            <w:r>
              <w:rPr>
                <w:sz w:val="20"/>
                <w:szCs w:val="20"/>
                <w:vertAlign w:val="superscript"/>
              </w:rPr>
              <w:t>c</w:t>
            </w:r>
          </w:p>
          <w:p w14:paraId="6BCD828D" w14:textId="77777777" w:rsidR="002D58E4" w:rsidRDefault="002D58E4">
            <w:pPr>
              <w:jc w:val="center"/>
              <w:rPr>
                <w:sz w:val="20"/>
                <w:szCs w:val="20"/>
              </w:rPr>
            </w:pPr>
          </w:p>
        </w:tc>
        <w:tc>
          <w:tcPr>
            <w:tcW w:w="2119" w:type="dxa"/>
            <w:tcBorders>
              <w:top w:val="single" w:sz="6" w:space="0" w:color="000000"/>
              <w:left w:val="single" w:sz="6" w:space="0" w:color="000000"/>
              <w:bottom w:val="single" w:sz="6" w:space="0" w:color="000000"/>
              <w:right w:val="single" w:sz="6" w:space="0" w:color="000000"/>
            </w:tcBorders>
          </w:tcPr>
          <w:p w14:paraId="46163A75" w14:textId="77777777" w:rsidR="002D58E4" w:rsidRDefault="00F721D4">
            <w:pPr>
              <w:jc w:val="center"/>
              <w:rPr>
                <w:sz w:val="20"/>
                <w:szCs w:val="20"/>
              </w:rPr>
            </w:pPr>
            <w:r>
              <w:rPr>
                <w:sz w:val="20"/>
                <w:szCs w:val="20"/>
              </w:rPr>
              <w:t>0 per 1,000</w:t>
            </w:r>
          </w:p>
        </w:tc>
        <w:tc>
          <w:tcPr>
            <w:tcW w:w="1133" w:type="dxa"/>
            <w:tcBorders>
              <w:top w:val="single" w:sz="6" w:space="0" w:color="000000"/>
              <w:left w:val="single" w:sz="6" w:space="0" w:color="000000"/>
              <w:bottom w:val="single" w:sz="6" w:space="0" w:color="000000"/>
              <w:right w:val="single" w:sz="6" w:space="0" w:color="000000"/>
            </w:tcBorders>
          </w:tcPr>
          <w:p w14:paraId="5DCD6F3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9" w:type="dxa"/>
            <w:tcBorders>
              <w:top w:val="single" w:sz="6" w:space="0" w:color="000000"/>
              <w:left w:val="single" w:sz="6" w:space="0" w:color="000000"/>
              <w:bottom w:val="single" w:sz="6" w:space="0" w:color="000000"/>
              <w:right w:val="single" w:sz="6" w:space="0" w:color="000000"/>
            </w:tcBorders>
          </w:tcPr>
          <w:p w14:paraId="2D31AE70" w14:textId="77777777" w:rsidR="002D58E4" w:rsidRDefault="00F721D4">
            <w:pPr>
              <w:rPr>
                <w:sz w:val="20"/>
                <w:szCs w:val="20"/>
              </w:rPr>
            </w:pPr>
            <w:r>
              <w:rPr>
                <w:sz w:val="20"/>
                <w:szCs w:val="20"/>
              </w:rPr>
              <w:t xml:space="preserve">CRITICAL </w:t>
            </w:r>
          </w:p>
        </w:tc>
      </w:tr>
      <w:tr w:rsidR="002D58E4" w14:paraId="13267D74"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5257F388" w14:textId="77777777" w:rsidR="002D58E4" w:rsidRDefault="00F721D4">
            <w:pPr>
              <w:rPr>
                <w:sz w:val="20"/>
                <w:szCs w:val="20"/>
              </w:rPr>
            </w:pPr>
            <w:r>
              <w:rPr>
                <w:b/>
                <w:sz w:val="20"/>
                <w:szCs w:val="20"/>
              </w:rPr>
              <w:t xml:space="preserve">Serious Adverse Events </w:t>
            </w:r>
          </w:p>
        </w:tc>
      </w:tr>
      <w:tr w:rsidR="002D58E4" w14:paraId="5EED0E96" w14:textId="77777777" w:rsidTr="00E70FE5">
        <w:tc>
          <w:tcPr>
            <w:tcW w:w="721" w:type="dxa"/>
            <w:tcBorders>
              <w:top w:val="single" w:sz="6" w:space="0" w:color="000000"/>
              <w:left w:val="single" w:sz="6" w:space="0" w:color="000000"/>
              <w:bottom w:val="single" w:sz="6" w:space="0" w:color="000000"/>
              <w:right w:val="single" w:sz="6" w:space="0" w:color="000000"/>
            </w:tcBorders>
          </w:tcPr>
          <w:p w14:paraId="46A784D6"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239FDA57"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4687F1DA" w14:textId="77777777" w:rsidR="002D58E4" w:rsidRDefault="00F721D4">
            <w:pPr>
              <w:rPr>
                <w:sz w:val="20"/>
                <w:szCs w:val="20"/>
              </w:rPr>
            </w:pPr>
            <w:r>
              <w:rPr>
                <w:sz w:val="20"/>
                <w:szCs w:val="20"/>
              </w:rPr>
              <w:t xml:space="preserve">serious </w:t>
            </w:r>
            <w:r>
              <w:rPr>
                <w:sz w:val="20"/>
                <w:szCs w:val="20"/>
                <w:vertAlign w:val="superscript"/>
              </w:rPr>
              <w:t>a</w:t>
            </w:r>
          </w:p>
        </w:tc>
        <w:tc>
          <w:tcPr>
            <w:tcW w:w="1253" w:type="dxa"/>
            <w:tcBorders>
              <w:top w:val="single" w:sz="6" w:space="0" w:color="000000"/>
              <w:left w:val="single" w:sz="6" w:space="0" w:color="000000"/>
              <w:bottom w:val="single" w:sz="6" w:space="0" w:color="000000"/>
              <w:right w:val="single" w:sz="6" w:space="0" w:color="000000"/>
            </w:tcBorders>
          </w:tcPr>
          <w:p w14:paraId="68562583" w14:textId="77777777" w:rsidR="002D58E4" w:rsidRDefault="00F721D4">
            <w:pPr>
              <w:rPr>
                <w:sz w:val="20"/>
                <w:szCs w:val="20"/>
              </w:rPr>
            </w:pPr>
            <w:r>
              <w:rPr>
                <w:sz w:val="20"/>
                <w:szCs w:val="20"/>
              </w:rPr>
              <w:t>not serious</w:t>
            </w:r>
          </w:p>
        </w:tc>
        <w:tc>
          <w:tcPr>
            <w:tcW w:w="1145" w:type="dxa"/>
            <w:tcBorders>
              <w:top w:val="single" w:sz="6" w:space="0" w:color="000000"/>
              <w:left w:val="single" w:sz="6" w:space="0" w:color="000000"/>
              <w:bottom w:val="single" w:sz="6" w:space="0" w:color="000000"/>
              <w:right w:val="single" w:sz="6" w:space="0" w:color="000000"/>
            </w:tcBorders>
          </w:tcPr>
          <w:p w14:paraId="4BEA1351"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6DF3E683"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40DF127F"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48D562FC" w14:textId="77777777" w:rsidR="002D58E4" w:rsidRDefault="00F721D4">
            <w:pPr>
              <w:jc w:val="center"/>
              <w:rPr>
                <w:sz w:val="20"/>
                <w:szCs w:val="20"/>
              </w:rPr>
            </w:pPr>
            <w:r>
              <w:rPr>
                <w:sz w:val="20"/>
                <w:szCs w:val="20"/>
              </w:rPr>
              <w:t xml:space="preserve">0/15 </w:t>
            </w:r>
          </w:p>
          <w:p w14:paraId="3D433703" w14:textId="77777777" w:rsidR="002D58E4" w:rsidRDefault="00F721D4">
            <w:pPr>
              <w:jc w:val="center"/>
              <w:rPr>
                <w:sz w:val="20"/>
                <w:szCs w:val="20"/>
              </w:rPr>
            </w:pPr>
            <w:r>
              <w:rPr>
                <w:sz w:val="20"/>
                <w:szCs w:val="20"/>
              </w:rPr>
              <w:t xml:space="preserve">(0.0%) </w:t>
            </w:r>
          </w:p>
        </w:tc>
        <w:tc>
          <w:tcPr>
            <w:tcW w:w="1106" w:type="dxa"/>
            <w:tcBorders>
              <w:top w:val="single" w:sz="6" w:space="0" w:color="000000"/>
              <w:left w:val="single" w:sz="6" w:space="0" w:color="000000"/>
              <w:bottom w:val="single" w:sz="6" w:space="0" w:color="000000"/>
              <w:right w:val="single" w:sz="6" w:space="0" w:color="000000"/>
            </w:tcBorders>
          </w:tcPr>
          <w:p w14:paraId="56A24348" w14:textId="77777777" w:rsidR="002D58E4" w:rsidRDefault="00F721D4">
            <w:pPr>
              <w:jc w:val="center"/>
              <w:rPr>
                <w:sz w:val="20"/>
                <w:szCs w:val="20"/>
              </w:rPr>
            </w:pPr>
            <w:r>
              <w:rPr>
                <w:sz w:val="20"/>
                <w:szCs w:val="20"/>
              </w:rPr>
              <w:t xml:space="preserve">0/12 </w:t>
            </w:r>
          </w:p>
          <w:p w14:paraId="29FC0F27" w14:textId="77777777" w:rsidR="002D58E4" w:rsidRDefault="00F721D4">
            <w:pPr>
              <w:jc w:val="center"/>
              <w:rPr>
                <w:sz w:val="20"/>
                <w:szCs w:val="20"/>
              </w:rPr>
            </w:pPr>
            <w:r>
              <w:rPr>
                <w:sz w:val="20"/>
                <w:szCs w:val="20"/>
              </w:rPr>
              <w:t xml:space="preserve">(0.0%) </w:t>
            </w:r>
          </w:p>
        </w:tc>
        <w:tc>
          <w:tcPr>
            <w:tcW w:w="1319" w:type="dxa"/>
            <w:gridSpan w:val="2"/>
            <w:tcBorders>
              <w:top w:val="single" w:sz="6" w:space="0" w:color="000000"/>
              <w:left w:val="single" w:sz="6" w:space="0" w:color="000000"/>
              <w:bottom w:val="single" w:sz="6" w:space="0" w:color="000000"/>
              <w:right w:val="single" w:sz="6" w:space="0" w:color="000000"/>
            </w:tcBorders>
          </w:tcPr>
          <w:p w14:paraId="45DE1785" w14:textId="77777777" w:rsidR="002D58E4" w:rsidRDefault="00F721D4">
            <w:pPr>
              <w:jc w:val="center"/>
              <w:rPr>
                <w:sz w:val="20"/>
                <w:szCs w:val="20"/>
              </w:rPr>
            </w:pPr>
            <w:r>
              <w:rPr>
                <w:sz w:val="20"/>
                <w:szCs w:val="20"/>
              </w:rPr>
              <w:t xml:space="preserve">NA </w:t>
            </w:r>
            <w:r>
              <w:rPr>
                <w:sz w:val="20"/>
                <w:szCs w:val="20"/>
                <w:vertAlign w:val="superscript"/>
              </w:rPr>
              <w:t>c</w:t>
            </w:r>
          </w:p>
          <w:p w14:paraId="743926AD" w14:textId="77777777" w:rsidR="002D58E4" w:rsidRDefault="002D58E4">
            <w:pPr>
              <w:jc w:val="center"/>
              <w:rPr>
                <w:sz w:val="20"/>
                <w:szCs w:val="20"/>
              </w:rPr>
            </w:pPr>
          </w:p>
        </w:tc>
        <w:tc>
          <w:tcPr>
            <w:tcW w:w="2119" w:type="dxa"/>
            <w:tcBorders>
              <w:top w:val="single" w:sz="6" w:space="0" w:color="000000"/>
              <w:left w:val="single" w:sz="6" w:space="0" w:color="000000"/>
              <w:bottom w:val="single" w:sz="6" w:space="0" w:color="000000"/>
              <w:right w:val="single" w:sz="6" w:space="0" w:color="000000"/>
            </w:tcBorders>
          </w:tcPr>
          <w:p w14:paraId="4F8DA120" w14:textId="77777777" w:rsidR="002D58E4" w:rsidRDefault="00F721D4">
            <w:pPr>
              <w:jc w:val="center"/>
              <w:rPr>
                <w:sz w:val="20"/>
                <w:szCs w:val="20"/>
              </w:rPr>
            </w:pPr>
            <w:r>
              <w:rPr>
                <w:sz w:val="20"/>
                <w:szCs w:val="20"/>
              </w:rPr>
              <w:t>0 per 1,000</w:t>
            </w:r>
          </w:p>
        </w:tc>
        <w:tc>
          <w:tcPr>
            <w:tcW w:w="1133" w:type="dxa"/>
            <w:tcBorders>
              <w:top w:val="single" w:sz="6" w:space="0" w:color="000000"/>
              <w:left w:val="single" w:sz="6" w:space="0" w:color="000000"/>
              <w:bottom w:val="single" w:sz="6" w:space="0" w:color="000000"/>
              <w:right w:val="single" w:sz="6" w:space="0" w:color="000000"/>
            </w:tcBorders>
          </w:tcPr>
          <w:p w14:paraId="076B203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9" w:type="dxa"/>
            <w:tcBorders>
              <w:top w:val="single" w:sz="6" w:space="0" w:color="000000"/>
              <w:left w:val="single" w:sz="6" w:space="0" w:color="000000"/>
              <w:bottom w:val="single" w:sz="6" w:space="0" w:color="000000"/>
              <w:right w:val="single" w:sz="6" w:space="0" w:color="000000"/>
            </w:tcBorders>
          </w:tcPr>
          <w:p w14:paraId="33BFC4C8" w14:textId="77777777" w:rsidR="002D58E4" w:rsidRDefault="00F721D4">
            <w:pPr>
              <w:rPr>
                <w:sz w:val="20"/>
                <w:szCs w:val="20"/>
              </w:rPr>
            </w:pPr>
            <w:r>
              <w:rPr>
                <w:sz w:val="20"/>
                <w:szCs w:val="20"/>
              </w:rPr>
              <w:t xml:space="preserve">CRITICAL  </w:t>
            </w:r>
          </w:p>
        </w:tc>
      </w:tr>
      <w:tr w:rsidR="002D58E4" w14:paraId="353015C8"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475579D7" w14:textId="77777777" w:rsidR="002D58E4" w:rsidRDefault="00F721D4">
            <w:pPr>
              <w:rPr>
                <w:sz w:val="20"/>
                <w:szCs w:val="20"/>
              </w:rPr>
            </w:pPr>
            <w:r>
              <w:rPr>
                <w:b/>
                <w:sz w:val="20"/>
                <w:szCs w:val="20"/>
              </w:rPr>
              <w:t>Gastrointestinal Adverse Events</w:t>
            </w:r>
            <w:r>
              <w:rPr>
                <w:sz w:val="20"/>
                <w:szCs w:val="20"/>
              </w:rPr>
              <w:t xml:space="preserve"> </w:t>
            </w:r>
          </w:p>
        </w:tc>
      </w:tr>
      <w:tr w:rsidR="002D58E4" w14:paraId="43BB9EF3" w14:textId="77777777" w:rsidTr="00E70FE5">
        <w:tc>
          <w:tcPr>
            <w:tcW w:w="721" w:type="dxa"/>
            <w:tcBorders>
              <w:top w:val="single" w:sz="6" w:space="0" w:color="000000"/>
              <w:left w:val="single" w:sz="6" w:space="0" w:color="000000"/>
              <w:bottom w:val="single" w:sz="6" w:space="0" w:color="000000"/>
              <w:right w:val="single" w:sz="6" w:space="0" w:color="000000"/>
            </w:tcBorders>
          </w:tcPr>
          <w:p w14:paraId="10C069FC"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40AE913C"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0406767A" w14:textId="77777777" w:rsidR="002D58E4" w:rsidRDefault="00F721D4">
            <w:pPr>
              <w:rPr>
                <w:sz w:val="20"/>
                <w:szCs w:val="20"/>
              </w:rPr>
            </w:pPr>
            <w:r>
              <w:rPr>
                <w:sz w:val="20"/>
                <w:szCs w:val="20"/>
              </w:rPr>
              <w:t xml:space="preserve">serious </w:t>
            </w:r>
            <w:r>
              <w:rPr>
                <w:sz w:val="20"/>
                <w:szCs w:val="20"/>
                <w:vertAlign w:val="superscript"/>
              </w:rPr>
              <w:t>a</w:t>
            </w:r>
          </w:p>
        </w:tc>
        <w:tc>
          <w:tcPr>
            <w:tcW w:w="1253" w:type="dxa"/>
            <w:tcBorders>
              <w:top w:val="single" w:sz="6" w:space="0" w:color="000000"/>
              <w:left w:val="single" w:sz="6" w:space="0" w:color="000000"/>
              <w:bottom w:val="single" w:sz="6" w:space="0" w:color="000000"/>
              <w:right w:val="single" w:sz="6" w:space="0" w:color="000000"/>
            </w:tcBorders>
          </w:tcPr>
          <w:p w14:paraId="06FBEB55" w14:textId="77777777" w:rsidR="002D58E4" w:rsidRDefault="00F721D4">
            <w:pPr>
              <w:rPr>
                <w:sz w:val="20"/>
                <w:szCs w:val="20"/>
              </w:rPr>
            </w:pPr>
            <w:r>
              <w:rPr>
                <w:sz w:val="20"/>
                <w:szCs w:val="20"/>
              </w:rPr>
              <w:t>not serious</w:t>
            </w:r>
          </w:p>
        </w:tc>
        <w:tc>
          <w:tcPr>
            <w:tcW w:w="1145" w:type="dxa"/>
            <w:tcBorders>
              <w:top w:val="single" w:sz="6" w:space="0" w:color="000000"/>
              <w:left w:val="single" w:sz="6" w:space="0" w:color="000000"/>
              <w:bottom w:val="single" w:sz="6" w:space="0" w:color="000000"/>
              <w:right w:val="single" w:sz="6" w:space="0" w:color="000000"/>
            </w:tcBorders>
          </w:tcPr>
          <w:p w14:paraId="097FDA86"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08EEF477"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52252C08"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77170E96" w14:textId="77777777" w:rsidR="002D58E4" w:rsidRDefault="00F721D4">
            <w:pPr>
              <w:jc w:val="center"/>
              <w:rPr>
                <w:sz w:val="20"/>
                <w:szCs w:val="20"/>
              </w:rPr>
            </w:pPr>
            <w:r>
              <w:rPr>
                <w:sz w:val="20"/>
                <w:szCs w:val="20"/>
              </w:rPr>
              <w:t xml:space="preserve">3/15 (20.0%) </w:t>
            </w:r>
          </w:p>
        </w:tc>
        <w:tc>
          <w:tcPr>
            <w:tcW w:w="1106" w:type="dxa"/>
            <w:tcBorders>
              <w:top w:val="single" w:sz="6" w:space="0" w:color="000000"/>
              <w:left w:val="single" w:sz="6" w:space="0" w:color="000000"/>
              <w:bottom w:val="single" w:sz="6" w:space="0" w:color="000000"/>
              <w:right w:val="single" w:sz="6" w:space="0" w:color="000000"/>
            </w:tcBorders>
          </w:tcPr>
          <w:p w14:paraId="4A978EF9" w14:textId="77777777" w:rsidR="002D58E4" w:rsidRDefault="00F721D4">
            <w:pPr>
              <w:jc w:val="center"/>
              <w:rPr>
                <w:sz w:val="20"/>
                <w:szCs w:val="20"/>
              </w:rPr>
            </w:pPr>
            <w:r>
              <w:rPr>
                <w:sz w:val="20"/>
                <w:szCs w:val="20"/>
              </w:rPr>
              <w:t xml:space="preserve">2/12 (16.7%) </w:t>
            </w:r>
          </w:p>
        </w:tc>
        <w:tc>
          <w:tcPr>
            <w:tcW w:w="1319" w:type="dxa"/>
            <w:gridSpan w:val="2"/>
            <w:tcBorders>
              <w:top w:val="single" w:sz="6" w:space="0" w:color="000000"/>
              <w:left w:val="single" w:sz="6" w:space="0" w:color="000000"/>
              <w:bottom w:val="single" w:sz="6" w:space="0" w:color="000000"/>
              <w:right w:val="single" w:sz="6" w:space="0" w:color="000000"/>
            </w:tcBorders>
          </w:tcPr>
          <w:p w14:paraId="3354B150" w14:textId="77777777" w:rsidR="002D58E4" w:rsidRDefault="00F721D4">
            <w:pPr>
              <w:jc w:val="center"/>
              <w:rPr>
                <w:sz w:val="20"/>
                <w:szCs w:val="20"/>
              </w:rPr>
            </w:pPr>
            <w:r>
              <w:rPr>
                <w:sz w:val="20"/>
                <w:szCs w:val="20"/>
              </w:rPr>
              <w:t>RR 1.20</w:t>
            </w:r>
            <w:r>
              <w:rPr>
                <w:sz w:val="20"/>
                <w:szCs w:val="20"/>
              </w:rPr>
              <w:br/>
              <w:t xml:space="preserve">(0.24 to 6.06) </w:t>
            </w:r>
          </w:p>
        </w:tc>
        <w:tc>
          <w:tcPr>
            <w:tcW w:w="2119" w:type="dxa"/>
            <w:tcBorders>
              <w:top w:val="single" w:sz="6" w:space="0" w:color="000000"/>
              <w:left w:val="single" w:sz="6" w:space="0" w:color="000000"/>
              <w:bottom w:val="single" w:sz="6" w:space="0" w:color="000000"/>
              <w:right w:val="single" w:sz="6" w:space="0" w:color="000000"/>
            </w:tcBorders>
          </w:tcPr>
          <w:p w14:paraId="53230F25" w14:textId="77777777" w:rsidR="002D58E4" w:rsidRDefault="00F721D4">
            <w:pPr>
              <w:jc w:val="center"/>
              <w:rPr>
                <w:sz w:val="20"/>
                <w:szCs w:val="20"/>
              </w:rPr>
            </w:pPr>
            <w:r>
              <w:rPr>
                <w:sz w:val="20"/>
                <w:szCs w:val="20"/>
              </w:rPr>
              <w:t>33 more per 1,000</w:t>
            </w:r>
            <w:r>
              <w:rPr>
                <w:sz w:val="20"/>
                <w:szCs w:val="20"/>
              </w:rPr>
              <w:br/>
              <w:t xml:space="preserve">(from 127 fewer to 843 more) </w:t>
            </w:r>
          </w:p>
        </w:tc>
        <w:tc>
          <w:tcPr>
            <w:tcW w:w="1133" w:type="dxa"/>
            <w:tcBorders>
              <w:top w:val="single" w:sz="6" w:space="0" w:color="000000"/>
              <w:left w:val="single" w:sz="6" w:space="0" w:color="000000"/>
              <w:bottom w:val="single" w:sz="6" w:space="0" w:color="000000"/>
              <w:right w:val="single" w:sz="6" w:space="0" w:color="000000"/>
            </w:tcBorders>
          </w:tcPr>
          <w:p w14:paraId="0308EA6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9" w:type="dxa"/>
            <w:tcBorders>
              <w:top w:val="single" w:sz="6" w:space="0" w:color="000000"/>
              <w:left w:val="single" w:sz="6" w:space="0" w:color="000000"/>
              <w:bottom w:val="single" w:sz="6" w:space="0" w:color="000000"/>
              <w:right w:val="single" w:sz="6" w:space="0" w:color="000000"/>
            </w:tcBorders>
          </w:tcPr>
          <w:p w14:paraId="0815B489" w14:textId="77777777" w:rsidR="002D58E4" w:rsidRDefault="00F721D4">
            <w:pPr>
              <w:rPr>
                <w:sz w:val="20"/>
                <w:szCs w:val="20"/>
              </w:rPr>
            </w:pPr>
            <w:r>
              <w:rPr>
                <w:sz w:val="20"/>
                <w:szCs w:val="20"/>
              </w:rPr>
              <w:t xml:space="preserve">IMPORTANT </w:t>
            </w:r>
          </w:p>
        </w:tc>
      </w:tr>
      <w:tr w:rsidR="002D58E4" w14:paraId="5E0F8D0F"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0FCD9D13" w14:textId="77777777" w:rsidR="002D58E4" w:rsidRDefault="00F721D4">
            <w:pPr>
              <w:rPr>
                <w:sz w:val="20"/>
                <w:szCs w:val="20"/>
              </w:rPr>
            </w:pPr>
            <w:r>
              <w:rPr>
                <w:b/>
                <w:sz w:val="20"/>
                <w:szCs w:val="20"/>
              </w:rPr>
              <w:lastRenderedPageBreak/>
              <w:t xml:space="preserve">Allergic Reaction </w:t>
            </w:r>
          </w:p>
        </w:tc>
      </w:tr>
      <w:tr w:rsidR="002D58E4" w14:paraId="3273A5AA" w14:textId="77777777" w:rsidTr="00E70FE5">
        <w:tc>
          <w:tcPr>
            <w:tcW w:w="721" w:type="dxa"/>
            <w:tcBorders>
              <w:top w:val="single" w:sz="6" w:space="0" w:color="000000"/>
              <w:left w:val="single" w:sz="6" w:space="0" w:color="000000"/>
              <w:bottom w:val="single" w:sz="6" w:space="0" w:color="000000"/>
              <w:right w:val="single" w:sz="6" w:space="0" w:color="000000"/>
            </w:tcBorders>
          </w:tcPr>
          <w:p w14:paraId="15A36A45"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3930892C"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160B27FE" w14:textId="77777777" w:rsidR="002D58E4" w:rsidRDefault="00F721D4">
            <w:pPr>
              <w:rPr>
                <w:sz w:val="20"/>
                <w:szCs w:val="20"/>
              </w:rPr>
            </w:pPr>
            <w:r>
              <w:rPr>
                <w:sz w:val="20"/>
                <w:szCs w:val="20"/>
              </w:rPr>
              <w:t xml:space="preserve">serious </w:t>
            </w:r>
            <w:r>
              <w:rPr>
                <w:sz w:val="20"/>
                <w:szCs w:val="20"/>
                <w:vertAlign w:val="superscript"/>
              </w:rPr>
              <w:t>a</w:t>
            </w:r>
          </w:p>
        </w:tc>
        <w:tc>
          <w:tcPr>
            <w:tcW w:w="1253" w:type="dxa"/>
            <w:tcBorders>
              <w:top w:val="single" w:sz="6" w:space="0" w:color="000000"/>
              <w:left w:val="single" w:sz="6" w:space="0" w:color="000000"/>
              <w:bottom w:val="single" w:sz="6" w:space="0" w:color="000000"/>
              <w:right w:val="single" w:sz="6" w:space="0" w:color="000000"/>
            </w:tcBorders>
          </w:tcPr>
          <w:p w14:paraId="4509E7EE" w14:textId="77777777" w:rsidR="002D58E4" w:rsidRDefault="00F721D4">
            <w:pPr>
              <w:rPr>
                <w:sz w:val="20"/>
                <w:szCs w:val="20"/>
              </w:rPr>
            </w:pPr>
            <w:r>
              <w:rPr>
                <w:sz w:val="20"/>
                <w:szCs w:val="20"/>
              </w:rPr>
              <w:t>not serious</w:t>
            </w:r>
          </w:p>
        </w:tc>
        <w:tc>
          <w:tcPr>
            <w:tcW w:w="1145" w:type="dxa"/>
            <w:tcBorders>
              <w:top w:val="single" w:sz="6" w:space="0" w:color="000000"/>
              <w:left w:val="single" w:sz="6" w:space="0" w:color="000000"/>
              <w:bottom w:val="single" w:sz="6" w:space="0" w:color="000000"/>
              <w:right w:val="single" w:sz="6" w:space="0" w:color="000000"/>
            </w:tcBorders>
          </w:tcPr>
          <w:p w14:paraId="28137931"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0E1D1D94"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0E0462E7"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5952EADE" w14:textId="77777777" w:rsidR="002D58E4" w:rsidRDefault="00F721D4">
            <w:pPr>
              <w:jc w:val="center"/>
              <w:rPr>
                <w:sz w:val="20"/>
                <w:szCs w:val="20"/>
              </w:rPr>
            </w:pPr>
            <w:r>
              <w:rPr>
                <w:sz w:val="20"/>
                <w:szCs w:val="20"/>
              </w:rPr>
              <w:t>0/15</w:t>
            </w:r>
          </w:p>
          <w:p w14:paraId="5D093444" w14:textId="77777777" w:rsidR="002D58E4" w:rsidRDefault="00F721D4">
            <w:pPr>
              <w:jc w:val="center"/>
              <w:rPr>
                <w:sz w:val="20"/>
                <w:szCs w:val="20"/>
              </w:rPr>
            </w:pPr>
            <w:r>
              <w:rPr>
                <w:sz w:val="20"/>
                <w:szCs w:val="20"/>
              </w:rPr>
              <w:t xml:space="preserve"> (0.0%) </w:t>
            </w:r>
          </w:p>
        </w:tc>
        <w:tc>
          <w:tcPr>
            <w:tcW w:w="1106" w:type="dxa"/>
            <w:tcBorders>
              <w:top w:val="single" w:sz="6" w:space="0" w:color="000000"/>
              <w:left w:val="single" w:sz="6" w:space="0" w:color="000000"/>
              <w:bottom w:val="single" w:sz="6" w:space="0" w:color="000000"/>
              <w:right w:val="single" w:sz="6" w:space="0" w:color="000000"/>
            </w:tcBorders>
          </w:tcPr>
          <w:p w14:paraId="45270AF1" w14:textId="77777777" w:rsidR="002D58E4" w:rsidRDefault="00F721D4">
            <w:pPr>
              <w:jc w:val="center"/>
              <w:rPr>
                <w:sz w:val="20"/>
                <w:szCs w:val="20"/>
              </w:rPr>
            </w:pPr>
            <w:r>
              <w:rPr>
                <w:sz w:val="20"/>
                <w:szCs w:val="20"/>
              </w:rPr>
              <w:t xml:space="preserve">0/12 </w:t>
            </w:r>
          </w:p>
          <w:p w14:paraId="05DB8B28" w14:textId="77777777" w:rsidR="002D58E4" w:rsidRDefault="00F721D4">
            <w:pPr>
              <w:jc w:val="center"/>
              <w:rPr>
                <w:sz w:val="20"/>
                <w:szCs w:val="20"/>
              </w:rPr>
            </w:pPr>
            <w:r>
              <w:rPr>
                <w:sz w:val="20"/>
                <w:szCs w:val="20"/>
              </w:rPr>
              <w:t xml:space="preserve">(0.0%) </w:t>
            </w:r>
          </w:p>
        </w:tc>
        <w:tc>
          <w:tcPr>
            <w:tcW w:w="1319" w:type="dxa"/>
            <w:gridSpan w:val="2"/>
            <w:tcBorders>
              <w:top w:val="single" w:sz="6" w:space="0" w:color="000000"/>
              <w:left w:val="single" w:sz="6" w:space="0" w:color="000000"/>
              <w:bottom w:val="single" w:sz="6" w:space="0" w:color="000000"/>
              <w:right w:val="single" w:sz="6" w:space="0" w:color="000000"/>
            </w:tcBorders>
          </w:tcPr>
          <w:p w14:paraId="52763B92" w14:textId="77777777" w:rsidR="002D58E4" w:rsidRDefault="00F721D4">
            <w:pPr>
              <w:jc w:val="center"/>
              <w:rPr>
                <w:sz w:val="20"/>
                <w:szCs w:val="20"/>
              </w:rPr>
            </w:pPr>
            <w:r>
              <w:rPr>
                <w:sz w:val="20"/>
                <w:szCs w:val="20"/>
              </w:rPr>
              <w:t xml:space="preserve">NA </w:t>
            </w:r>
            <w:r>
              <w:rPr>
                <w:sz w:val="20"/>
                <w:szCs w:val="20"/>
                <w:vertAlign w:val="superscript"/>
              </w:rPr>
              <w:t>c</w:t>
            </w:r>
          </w:p>
          <w:p w14:paraId="1CD8392A" w14:textId="77777777" w:rsidR="002D58E4" w:rsidRDefault="002D58E4">
            <w:pPr>
              <w:jc w:val="center"/>
              <w:rPr>
                <w:sz w:val="20"/>
                <w:szCs w:val="20"/>
              </w:rPr>
            </w:pPr>
          </w:p>
        </w:tc>
        <w:tc>
          <w:tcPr>
            <w:tcW w:w="2119" w:type="dxa"/>
            <w:tcBorders>
              <w:top w:val="single" w:sz="6" w:space="0" w:color="000000"/>
              <w:left w:val="single" w:sz="6" w:space="0" w:color="000000"/>
              <w:bottom w:val="single" w:sz="6" w:space="0" w:color="000000"/>
              <w:right w:val="single" w:sz="6" w:space="0" w:color="000000"/>
            </w:tcBorders>
          </w:tcPr>
          <w:p w14:paraId="2E15D407" w14:textId="77777777" w:rsidR="002D58E4" w:rsidRDefault="00F721D4">
            <w:pPr>
              <w:jc w:val="center"/>
              <w:rPr>
                <w:sz w:val="20"/>
                <w:szCs w:val="20"/>
              </w:rPr>
            </w:pPr>
            <w:r>
              <w:rPr>
                <w:sz w:val="20"/>
                <w:szCs w:val="20"/>
              </w:rPr>
              <w:t>0 per 1,000</w:t>
            </w:r>
          </w:p>
        </w:tc>
        <w:tc>
          <w:tcPr>
            <w:tcW w:w="1133" w:type="dxa"/>
            <w:tcBorders>
              <w:top w:val="single" w:sz="6" w:space="0" w:color="000000"/>
              <w:left w:val="single" w:sz="6" w:space="0" w:color="000000"/>
              <w:bottom w:val="single" w:sz="6" w:space="0" w:color="000000"/>
              <w:right w:val="single" w:sz="6" w:space="0" w:color="000000"/>
            </w:tcBorders>
          </w:tcPr>
          <w:p w14:paraId="1673ED3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9" w:type="dxa"/>
            <w:tcBorders>
              <w:top w:val="single" w:sz="6" w:space="0" w:color="000000"/>
              <w:left w:val="single" w:sz="6" w:space="0" w:color="000000"/>
              <w:bottom w:val="single" w:sz="6" w:space="0" w:color="000000"/>
              <w:right w:val="single" w:sz="6" w:space="0" w:color="000000"/>
            </w:tcBorders>
          </w:tcPr>
          <w:p w14:paraId="7860BE5B" w14:textId="77777777" w:rsidR="002D58E4" w:rsidRDefault="00F721D4">
            <w:pPr>
              <w:rPr>
                <w:sz w:val="20"/>
                <w:szCs w:val="20"/>
              </w:rPr>
            </w:pPr>
            <w:r>
              <w:rPr>
                <w:sz w:val="20"/>
                <w:szCs w:val="20"/>
              </w:rPr>
              <w:t>IMPORTANT</w:t>
            </w:r>
          </w:p>
        </w:tc>
      </w:tr>
      <w:tr w:rsidR="002D58E4" w14:paraId="4166EE99"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19A7474C" w14:textId="77777777" w:rsidR="002D58E4" w:rsidRDefault="00F721D4">
            <w:pPr>
              <w:rPr>
                <w:sz w:val="20"/>
                <w:szCs w:val="20"/>
              </w:rPr>
            </w:pPr>
            <w:r>
              <w:rPr>
                <w:b/>
                <w:sz w:val="20"/>
                <w:szCs w:val="20"/>
              </w:rPr>
              <w:t xml:space="preserve">Jarisch-Herxheimer Reaction </w:t>
            </w:r>
          </w:p>
        </w:tc>
      </w:tr>
      <w:tr w:rsidR="002D58E4" w14:paraId="1650FCE6" w14:textId="77777777" w:rsidTr="00E70FE5">
        <w:tc>
          <w:tcPr>
            <w:tcW w:w="721" w:type="dxa"/>
            <w:tcBorders>
              <w:top w:val="single" w:sz="6" w:space="0" w:color="000000"/>
              <w:left w:val="single" w:sz="6" w:space="0" w:color="000000"/>
              <w:bottom w:val="single" w:sz="6" w:space="0" w:color="000000"/>
              <w:right w:val="single" w:sz="6" w:space="0" w:color="000000"/>
            </w:tcBorders>
          </w:tcPr>
          <w:p w14:paraId="24DC4212"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30DF61E4"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04BB27E5" w14:textId="77777777" w:rsidR="002D58E4" w:rsidRDefault="00F721D4">
            <w:pPr>
              <w:rPr>
                <w:sz w:val="20"/>
                <w:szCs w:val="20"/>
              </w:rPr>
            </w:pPr>
            <w:r>
              <w:rPr>
                <w:sz w:val="20"/>
                <w:szCs w:val="20"/>
              </w:rPr>
              <w:t xml:space="preserve">serious </w:t>
            </w:r>
            <w:r>
              <w:rPr>
                <w:sz w:val="20"/>
                <w:szCs w:val="20"/>
                <w:vertAlign w:val="superscript"/>
              </w:rPr>
              <w:t>a</w:t>
            </w:r>
          </w:p>
        </w:tc>
        <w:tc>
          <w:tcPr>
            <w:tcW w:w="1253" w:type="dxa"/>
            <w:tcBorders>
              <w:top w:val="single" w:sz="6" w:space="0" w:color="000000"/>
              <w:left w:val="single" w:sz="6" w:space="0" w:color="000000"/>
              <w:bottom w:val="single" w:sz="6" w:space="0" w:color="000000"/>
              <w:right w:val="single" w:sz="6" w:space="0" w:color="000000"/>
            </w:tcBorders>
          </w:tcPr>
          <w:p w14:paraId="1AF63B49" w14:textId="77777777" w:rsidR="002D58E4" w:rsidRDefault="00F721D4">
            <w:pPr>
              <w:rPr>
                <w:sz w:val="20"/>
                <w:szCs w:val="20"/>
              </w:rPr>
            </w:pPr>
            <w:r>
              <w:rPr>
                <w:sz w:val="20"/>
                <w:szCs w:val="20"/>
              </w:rPr>
              <w:t>not serious</w:t>
            </w:r>
          </w:p>
        </w:tc>
        <w:tc>
          <w:tcPr>
            <w:tcW w:w="1145" w:type="dxa"/>
            <w:tcBorders>
              <w:top w:val="single" w:sz="6" w:space="0" w:color="000000"/>
              <w:left w:val="single" w:sz="6" w:space="0" w:color="000000"/>
              <w:bottom w:val="single" w:sz="6" w:space="0" w:color="000000"/>
              <w:right w:val="single" w:sz="6" w:space="0" w:color="000000"/>
            </w:tcBorders>
          </w:tcPr>
          <w:p w14:paraId="734D10BF"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6E885630"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7F5F515E"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06C16C94" w14:textId="77777777" w:rsidR="002D58E4" w:rsidRDefault="00F721D4">
            <w:pPr>
              <w:jc w:val="center"/>
              <w:rPr>
                <w:sz w:val="20"/>
                <w:szCs w:val="20"/>
              </w:rPr>
            </w:pPr>
            <w:r>
              <w:rPr>
                <w:sz w:val="20"/>
                <w:szCs w:val="20"/>
              </w:rPr>
              <w:t xml:space="preserve">0/15 </w:t>
            </w:r>
          </w:p>
          <w:p w14:paraId="456F0CC2" w14:textId="77777777" w:rsidR="002D58E4" w:rsidRDefault="00F721D4">
            <w:pPr>
              <w:jc w:val="center"/>
              <w:rPr>
                <w:sz w:val="20"/>
                <w:szCs w:val="20"/>
              </w:rPr>
            </w:pPr>
            <w:r>
              <w:rPr>
                <w:sz w:val="20"/>
                <w:szCs w:val="20"/>
              </w:rPr>
              <w:t xml:space="preserve">(0.0%) </w:t>
            </w:r>
          </w:p>
        </w:tc>
        <w:tc>
          <w:tcPr>
            <w:tcW w:w="1106" w:type="dxa"/>
            <w:tcBorders>
              <w:top w:val="single" w:sz="6" w:space="0" w:color="000000"/>
              <w:left w:val="single" w:sz="6" w:space="0" w:color="000000"/>
              <w:bottom w:val="single" w:sz="6" w:space="0" w:color="000000"/>
              <w:right w:val="single" w:sz="6" w:space="0" w:color="000000"/>
            </w:tcBorders>
          </w:tcPr>
          <w:p w14:paraId="504941A5" w14:textId="77777777" w:rsidR="002D58E4" w:rsidRDefault="00F721D4">
            <w:pPr>
              <w:jc w:val="center"/>
              <w:rPr>
                <w:sz w:val="20"/>
                <w:szCs w:val="20"/>
              </w:rPr>
            </w:pPr>
            <w:r>
              <w:rPr>
                <w:sz w:val="20"/>
                <w:szCs w:val="20"/>
              </w:rPr>
              <w:t>1/12</w:t>
            </w:r>
          </w:p>
          <w:p w14:paraId="2568489C" w14:textId="77777777" w:rsidR="002D58E4" w:rsidRDefault="00F721D4">
            <w:pPr>
              <w:jc w:val="center"/>
              <w:rPr>
                <w:sz w:val="20"/>
                <w:szCs w:val="20"/>
              </w:rPr>
            </w:pPr>
            <w:r>
              <w:rPr>
                <w:sz w:val="20"/>
                <w:szCs w:val="20"/>
              </w:rPr>
              <w:t xml:space="preserve"> (8.3%) </w:t>
            </w:r>
          </w:p>
        </w:tc>
        <w:tc>
          <w:tcPr>
            <w:tcW w:w="1319" w:type="dxa"/>
            <w:gridSpan w:val="2"/>
            <w:tcBorders>
              <w:top w:val="single" w:sz="6" w:space="0" w:color="000000"/>
              <w:left w:val="single" w:sz="6" w:space="0" w:color="000000"/>
              <w:bottom w:val="single" w:sz="6" w:space="0" w:color="000000"/>
              <w:right w:val="single" w:sz="6" w:space="0" w:color="000000"/>
            </w:tcBorders>
          </w:tcPr>
          <w:p w14:paraId="2CB65134" w14:textId="77777777" w:rsidR="002D58E4" w:rsidRDefault="00F721D4">
            <w:pPr>
              <w:jc w:val="center"/>
              <w:rPr>
                <w:sz w:val="20"/>
                <w:szCs w:val="20"/>
              </w:rPr>
            </w:pPr>
            <w:r>
              <w:rPr>
                <w:sz w:val="20"/>
                <w:szCs w:val="20"/>
              </w:rPr>
              <w:t xml:space="preserve">NA </w:t>
            </w:r>
            <w:r>
              <w:rPr>
                <w:sz w:val="20"/>
                <w:szCs w:val="20"/>
                <w:vertAlign w:val="superscript"/>
              </w:rPr>
              <w:t>c</w:t>
            </w:r>
          </w:p>
          <w:p w14:paraId="69560B22" w14:textId="77777777" w:rsidR="002D58E4" w:rsidRDefault="00F721D4">
            <w:pPr>
              <w:jc w:val="center"/>
              <w:rPr>
                <w:sz w:val="20"/>
                <w:szCs w:val="20"/>
              </w:rPr>
            </w:pPr>
            <w:r>
              <w:rPr>
                <w:sz w:val="20"/>
                <w:szCs w:val="20"/>
              </w:rPr>
              <w:t xml:space="preserve"> </w:t>
            </w:r>
          </w:p>
        </w:tc>
        <w:tc>
          <w:tcPr>
            <w:tcW w:w="2119" w:type="dxa"/>
            <w:tcBorders>
              <w:top w:val="single" w:sz="6" w:space="0" w:color="000000"/>
              <w:left w:val="single" w:sz="6" w:space="0" w:color="000000"/>
              <w:bottom w:val="single" w:sz="6" w:space="0" w:color="000000"/>
              <w:right w:val="single" w:sz="6" w:space="0" w:color="000000"/>
            </w:tcBorders>
          </w:tcPr>
          <w:p w14:paraId="24F60FFD" w14:textId="77777777" w:rsidR="002D58E4" w:rsidRDefault="00F721D4">
            <w:pPr>
              <w:jc w:val="center"/>
              <w:rPr>
                <w:sz w:val="20"/>
                <w:szCs w:val="20"/>
              </w:rPr>
            </w:pPr>
            <w:r>
              <w:rPr>
                <w:sz w:val="20"/>
                <w:szCs w:val="20"/>
              </w:rPr>
              <w:t>83 fewer per 1,000</w:t>
            </w:r>
          </w:p>
        </w:tc>
        <w:tc>
          <w:tcPr>
            <w:tcW w:w="1133" w:type="dxa"/>
            <w:tcBorders>
              <w:top w:val="single" w:sz="6" w:space="0" w:color="000000"/>
              <w:left w:val="single" w:sz="6" w:space="0" w:color="000000"/>
              <w:bottom w:val="single" w:sz="6" w:space="0" w:color="000000"/>
              <w:right w:val="single" w:sz="6" w:space="0" w:color="000000"/>
            </w:tcBorders>
          </w:tcPr>
          <w:p w14:paraId="0ED0215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9" w:type="dxa"/>
            <w:tcBorders>
              <w:top w:val="single" w:sz="6" w:space="0" w:color="000000"/>
              <w:left w:val="single" w:sz="6" w:space="0" w:color="000000"/>
              <w:bottom w:val="single" w:sz="6" w:space="0" w:color="000000"/>
              <w:right w:val="single" w:sz="6" w:space="0" w:color="000000"/>
            </w:tcBorders>
          </w:tcPr>
          <w:p w14:paraId="619B1A68" w14:textId="77777777" w:rsidR="002D58E4" w:rsidRDefault="00F721D4">
            <w:pPr>
              <w:rPr>
                <w:sz w:val="20"/>
                <w:szCs w:val="20"/>
              </w:rPr>
            </w:pPr>
            <w:r>
              <w:rPr>
                <w:sz w:val="20"/>
                <w:szCs w:val="20"/>
              </w:rPr>
              <w:t>IMPORTANT</w:t>
            </w:r>
          </w:p>
        </w:tc>
      </w:tr>
      <w:tr w:rsidR="002D58E4" w14:paraId="4EA7A5EA"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3C02B35C" w14:textId="77777777" w:rsidR="002D58E4" w:rsidRDefault="00F721D4">
            <w:pPr>
              <w:rPr>
                <w:sz w:val="20"/>
                <w:szCs w:val="20"/>
              </w:rPr>
            </w:pPr>
            <w:r>
              <w:rPr>
                <w:b/>
                <w:sz w:val="20"/>
                <w:szCs w:val="20"/>
              </w:rPr>
              <w:t>Diarrhea</w:t>
            </w:r>
            <w:r>
              <w:rPr>
                <w:sz w:val="20"/>
                <w:szCs w:val="20"/>
              </w:rPr>
              <w:t xml:space="preserve"> </w:t>
            </w:r>
          </w:p>
        </w:tc>
      </w:tr>
      <w:tr w:rsidR="002D58E4" w14:paraId="0AB0E195" w14:textId="77777777" w:rsidTr="00E70FE5">
        <w:tc>
          <w:tcPr>
            <w:tcW w:w="721" w:type="dxa"/>
            <w:tcBorders>
              <w:top w:val="single" w:sz="6" w:space="0" w:color="000000"/>
              <w:left w:val="single" w:sz="6" w:space="0" w:color="000000"/>
              <w:bottom w:val="single" w:sz="6" w:space="0" w:color="000000"/>
              <w:right w:val="single" w:sz="6" w:space="0" w:color="000000"/>
            </w:tcBorders>
          </w:tcPr>
          <w:p w14:paraId="1094E584" w14:textId="77777777" w:rsidR="002D58E4" w:rsidRDefault="00F721D4">
            <w:pPr>
              <w:rPr>
                <w:sz w:val="20"/>
                <w:szCs w:val="20"/>
              </w:rPr>
            </w:pPr>
            <w:r>
              <w:rPr>
                <w:sz w:val="20"/>
                <w:szCs w:val="20"/>
              </w:rPr>
              <w:t xml:space="preserve">1 </w:t>
            </w:r>
          </w:p>
        </w:tc>
        <w:tc>
          <w:tcPr>
            <w:tcW w:w="681" w:type="dxa"/>
            <w:tcBorders>
              <w:top w:val="single" w:sz="6" w:space="0" w:color="000000"/>
              <w:left w:val="single" w:sz="6" w:space="0" w:color="000000"/>
              <w:bottom w:val="single" w:sz="6" w:space="0" w:color="000000"/>
              <w:right w:val="single" w:sz="6" w:space="0" w:color="000000"/>
            </w:tcBorders>
          </w:tcPr>
          <w:p w14:paraId="3B35B4D2" w14:textId="77777777" w:rsidR="002D58E4" w:rsidRDefault="00F721D4">
            <w:pPr>
              <w:rPr>
                <w:sz w:val="20"/>
                <w:szCs w:val="20"/>
              </w:rPr>
            </w:pPr>
            <w:r>
              <w:rPr>
                <w:sz w:val="20"/>
                <w:szCs w:val="20"/>
              </w:rPr>
              <w:t xml:space="preserve">RCT </w:t>
            </w:r>
            <w:r>
              <w:rPr>
                <w:sz w:val="20"/>
                <w:szCs w:val="20"/>
                <w:vertAlign w:val="superscript"/>
              </w:rPr>
              <w:t>1</w:t>
            </w:r>
          </w:p>
        </w:tc>
        <w:tc>
          <w:tcPr>
            <w:tcW w:w="885" w:type="dxa"/>
            <w:tcBorders>
              <w:top w:val="single" w:sz="6" w:space="0" w:color="000000"/>
              <w:left w:val="single" w:sz="6" w:space="0" w:color="000000"/>
              <w:bottom w:val="single" w:sz="6" w:space="0" w:color="000000"/>
              <w:right w:val="single" w:sz="6" w:space="0" w:color="000000"/>
            </w:tcBorders>
          </w:tcPr>
          <w:p w14:paraId="1666BB27" w14:textId="77777777" w:rsidR="002D58E4" w:rsidRDefault="00F721D4">
            <w:pPr>
              <w:rPr>
                <w:sz w:val="20"/>
                <w:szCs w:val="20"/>
              </w:rPr>
            </w:pPr>
            <w:r>
              <w:rPr>
                <w:sz w:val="20"/>
                <w:szCs w:val="20"/>
              </w:rPr>
              <w:t xml:space="preserve">serious </w:t>
            </w:r>
            <w:r>
              <w:rPr>
                <w:sz w:val="20"/>
                <w:szCs w:val="20"/>
                <w:vertAlign w:val="superscript"/>
              </w:rPr>
              <w:t>a</w:t>
            </w:r>
          </w:p>
        </w:tc>
        <w:tc>
          <w:tcPr>
            <w:tcW w:w="1253" w:type="dxa"/>
            <w:tcBorders>
              <w:top w:val="single" w:sz="6" w:space="0" w:color="000000"/>
              <w:left w:val="single" w:sz="6" w:space="0" w:color="000000"/>
              <w:bottom w:val="single" w:sz="6" w:space="0" w:color="000000"/>
              <w:right w:val="single" w:sz="6" w:space="0" w:color="000000"/>
            </w:tcBorders>
          </w:tcPr>
          <w:p w14:paraId="7E2678FE" w14:textId="77777777" w:rsidR="002D58E4" w:rsidRDefault="00F721D4">
            <w:pPr>
              <w:rPr>
                <w:sz w:val="20"/>
                <w:szCs w:val="20"/>
              </w:rPr>
            </w:pPr>
            <w:r>
              <w:rPr>
                <w:sz w:val="20"/>
                <w:szCs w:val="20"/>
              </w:rPr>
              <w:t>not serious</w:t>
            </w:r>
          </w:p>
        </w:tc>
        <w:tc>
          <w:tcPr>
            <w:tcW w:w="1145" w:type="dxa"/>
            <w:tcBorders>
              <w:top w:val="single" w:sz="6" w:space="0" w:color="000000"/>
              <w:left w:val="single" w:sz="6" w:space="0" w:color="000000"/>
              <w:bottom w:val="single" w:sz="6" w:space="0" w:color="000000"/>
              <w:right w:val="single" w:sz="6" w:space="0" w:color="000000"/>
            </w:tcBorders>
          </w:tcPr>
          <w:p w14:paraId="24FCA076" w14:textId="77777777" w:rsidR="002D58E4" w:rsidRDefault="00F721D4">
            <w:pPr>
              <w:rPr>
                <w:sz w:val="20"/>
                <w:szCs w:val="20"/>
              </w:rPr>
            </w:pPr>
            <w:r>
              <w:rPr>
                <w:sz w:val="20"/>
                <w:szCs w:val="20"/>
              </w:rPr>
              <w:t xml:space="preserve">not serious </w:t>
            </w:r>
          </w:p>
        </w:tc>
        <w:tc>
          <w:tcPr>
            <w:tcW w:w="1166" w:type="dxa"/>
            <w:tcBorders>
              <w:top w:val="single" w:sz="6" w:space="0" w:color="000000"/>
              <w:left w:val="single" w:sz="6" w:space="0" w:color="000000"/>
              <w:bottom w:val="single" w:sz="6" w:space="0" w:color="000000"/>
              <w:right w:val="single" w:sz="6" w:space="0" w:color="000000"/>
            </w:tcBorders>
          </w:tcPr>
          <w:p w14:paraId="0AA48FD5" w14:textId="77777777" w:rsidR="002D58E4" w:rsidRDefault="00F721D4">
            <w:pPr>
              <w:rPr>
                <w:sz w:val="20"/>
                <w:szCs w:val="20"/>
              </w:rPr>
            </w:pPr>
            <w:r>
              <w:rPr>
                <w:sz w:val="20"/>
                <w:szCs w:val="20"/>
              </w:rPr>
              <w:t xml:space="preserve">serious </w:t>
            </w:r>
            <w:r>
              <w:rPr>
                <w:sz w:val="20"/>
                <w:szCs w:val="20"/>
                <w:vertAlign w:val="superscript"/>
              </w:rPr>
              <w:t>b</w:t>
            </w:r>
          </w:p>
        </w:tc>
        <w:tc>
          <w:tcPr>
            <w:tcW w:w="781" w:type="dxa"/>
            <w:tcBorders>
              <w:top w:val="single" w:sz="6" w:space="0" w:color="000000"/>
              <w:left w:val="single" w:sz="6" w:space="0" w:color="000000"/>
              <w:bottom w:val="single" w:sz="6" w:space="0" w:color="000000"/>
              <w:right w:val="single" w:sz="6" w:space="0" w:color="000000"/>
            </w:tcBorders>
          </w:tcPr>
          <w:p w14:paraId="662EA45C" w14:textId="77777777" w:rsidR="002D58E4" w:rsidRDefault="00F721D4">
            <w:pPr>
              <w:rPr>
                <w:sz w:val="20"/>
                <w:szCs w:val="20"/>
              </w:rPr>
            </w:pPr>
            <w:r>
              <w:rPr>
                <w:sz w:val="20"/>
                <w:szCs w:val="20"/>
              </w:rPr>
              <w:t xml:space="preserve">none </w:t>
            </w:r>
          </w:p>
        </w:tc>
        <w:tc>
          <w:tcPr>
            <w:tcW w:w="1157" w:type="dxa"/>
            <w:gridSpan w:val="2"/>
            <w:tcBorders>
              <w:top w:val="single" w:sz="6" w:space="0" w:color="000000"/>
              <w:left w:val="single" w:sz="6" w:space="0" w:color="000000"/>
              <w:bottom w:val="single" w:sz="6" w:space="0" w:color="000000"/>
              <w:right w:val="single" w:sz="6" w:space="0" w:color="000000"/>
            </w:tcBorders>
          </w:tcPr>
          <w:p w14:paraId="2664504A" w14:textId="77777777" w:rsidR="002D58E4" w:rsidRDefault="00F721D4">
            <w:pPr>
              <w:jc w:val="center"/>
              <w:rPr>
                <w:sz w:val="20"/>
                <w:szCs w:val="20"/>
              </w:rPr>
            </w:pPr>
            <w:r>
              <w:rPr>
                <w:sz w:val="20"/>
                <w:szCs w:val="20"/>
              </w:rPr>
              <w:t xml:space="preserve">3/15 (20.0%) </w:t>
            </w:r>
          </w:p>
        </w:tc>
        <w:tc>
          <w:tcPr>
            <w:tcW w:w="1106" w:type="dxa"/>
            <w:tcBorders>
              <w:top w:val="single" w:sz="6" w:space="0" w:color="000000"/>
              <w:left w:val="single" w:sz="6" w:space="0" w:color="000000"/>
              <w:bottom w:val="single" w:sz="6" w:space="0" w:color="000000"/>
              <w:right w:val="single" w:sz="6" w:space="0" w:color="000000"/>
            </w:tcBorders>
          </w:tcPr>
          <w:p w14:paraId="7168EBD0" w14:textId="77777777" w:rsidR="002D58E4" w:rsidRDefault="00F721D4">
            <w:pPr>
              <w:jc w:val="center"/>
              <w:rPr>
                <w:sz w:val="20"/>
                <w:szCs w:val="20"/>
              </w:rPr>
            </w:pPr>
            <w:r>
              <w:rPr>
                <w:sz w:val="20"/>
                <w:szCs w:val="20"/>
              </w:rPr>
              <w:t xml:space="preserve">2/12 (16.7%) </w:t>
            </w:r>
          </w:p>
        </w:tc>
        <w:tc>
          <w:tcPr>
            <w:tcW w:w="1319" w:type="dxa"/>
            <w:gridSpan w:val="2"/>
            <w:tcBorders>
              <w:top w:val="single" w:sz="6" w:space="0" w:color="000000"/>
              <w:left w:val="single" w:sz="6" w:space="0" w:color="000000"/>
              <w:bottom w:val="single" w:sz="6" w:space="0" w:color="000000"/>
              <w:right w:val="single" w:sz="6" w:space="0" w:color="000000"/>
            </w:tcBorders>
          </w:tcPr>
          <w:p w14:paraId="612B8EF6" w14:textId="77777777" w:rsidR="002D58E4" w:rsidRDefault="00F721D4">
            <w:pPr>
              <w:jc w:val="center"/>
              <w:rPr>
                <w:sz w:val="20"/>
                <w:szCs w:val="20"/>
              </w:rPr>
            </w:pPr>
            <w:r>
              <w:rPr>
                <w:sz w:val="20"/>
                <w:szCs w:val="20"/>
              </w:rPr>
              <w:t>RR 1.20</w:t>
            </w:r>
            <w:r>
              <w:rPr>
                <w:sz w:val="20"/>
                <w:szCs w:val="20"/>
              </w:rPr>
              <w:br/>
              <w:t xml:space="preserve">(0.24 to 6.06) </w:t>
            </w:r>
          </w:p>
        </w:tc>
        <w:tc>
          <w:tcPr>
            <w:tcW w:w="2119" w:type="dxa"/>
            <w:tcBorders>
              <w:top w:val="single" w:sz="6" w:space="0" w:color="000000"/>
              <w:left w:val="single" w:sz="6" w:space="0" w:color="000000"/>
              <w:bottom w:val="single" w:sz="6" w:space="0" w:color="000000"/>
              <w:right w:val="single" w:sz="6" w:space="0" w:color="000000"/>
            </w:tcBorders>
          </w:tcPr>
          <w:p w14:paraId="5F184BB5" w14:textId="77777777" w:rsidR="002D58E4" w:rsidRDefault="00F721D4">
            <w:pPr>
              <w:jc w:val="center"/>
              <w:rPr>
                <w:sz w:val="20"/>
                <w:szCs w:val="20"/>
              </w:rPr>
            </w:pPr>
            <w:r>
              <w:rPr>
                <w:sz w:val="20"/>
                <w:szCs w:val="20"/>
              </w:rPr>
              <w:t>33 more per 1,000</w:t>
            </w:r>
            <w:r>
              <w:rPr>
                <w:sz w:val="20"/>
                <w:szCs w:val="20"/>
              </w:rPr>
              <w:br/>
              <w:t xml:space="preserve">(from 127 fewer to 843 more) </w:t>
            </w:r>
          </w:p>
        </w:tc>
        <w:tc>
          <w:tcPr>
            <w:tcW w:w="1133" w:type="dxa"/>
            <w:tcBorders>
              <w:top w:val="single" w:sz="6" w:space="0" w:color="000000"/>
              <w:left w:val="single" w:sz="6" w:space="0" w:color="000000"/>
              <w:bottom w:val="single" w:sz="6" w:space="0" w:color="000000"/>
              <w:right w:val="single" w:sz="6" w:space="0" w:color="000000"/>
            </w:tcBorders>
          </w:tcPr>
          <w:p w14:paraId="421D3E8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9" w:type="dxa"/>
            <w:tcBorders>
              <w:top w:val="single" w:sz="6" w:space="0" w:color="000000"/>
              <w:left w:val="single" w:sz="6" w:space="0" w:color="000000"/>
              <w:bottom w:val="single" w:sz="6" w:space="0" w:color="000000"/>
              <w:right w:val="single" w:sz="6" w:space="0" w:color="000000"/>
            </w:tcBorders>
          </w:tcPr>
          <w:p w14:paraId="76F406AC" w14:textId="77777777" w:rsidR="002D58E4" w:rsidRDefault="00F721D4">
            <w:pPr>
              <w:rPr>
                <w:sz w:val="20"/>
                <w:szCs w:val="20"/>
              </w:rPr>
            </w:pPr>
            <w:r>
              <w:rPr>
                <w:sz w:val="20"/>
                <w:szCs w:val="20"/>
              </w:rPr>
              <w:t>IMPORTANT</w:t>
            </w:r>
          </w:p>
        </w:tc>
      </w:tr>
    </w:tbl>
    <w:p w14:paraId="3ECAD696" w14:textId="77777777" w:rsidR="002D58E4" w:rsidRDefault="00F721D4">
      <w:pP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069720F2" w14:textId="77777777" w:rsidR="002D58E4" w:rsidRDefault="00F721D4">
      <w:pPr>
        <w:spacing w:before="280" w:after="0"/>
        <w:rPr>
          <w:b/>
          <w:color w:val="000000"/>
          <w:sz w:val="24"/>
          <w:szCs w:val="24"/>
        </w:rPr>
      </w:pPr>
      <w:r>
        <w:rPr>
          <w:b/>
          <w:color w:val="000000"/>
          <w:sz w:val="24"/>
          <w:szCs w:val="24"/>
        </w:rPr>
        <w:t>Explanations</w:t>
      </w:r>
    </w:p>
    <w:p w14:paraId="6ED79F54" w14:textId="6ACF9CCA" w:rsidR="002D58E4" w:rsidRDefault="00F721D4">
      <w:pPr>
        <w:spacing w:after="0" w:line="240" w:lineRule="auto"/>
        <w:rPr>
          <w:color w:val="000000"/>
          <w:sz w:val="18"/>
          <w:szCs w:val="18"/>
        </w:rPr>
      </w:pPr>
      <w:r>
        <w:rPr>
          <w:color w:val="000000"/>
          <w:sz w:val="18"/>
          <w:szCs w:val="18"/>
        </w:rPr>
        <w:t>a. Study received high risk of bias ratings due to potentially inadequate blinding (for self-reported outcomes).</w:t>
      </w:r>
    </w:p>
    <w:p w14:paraId="61085B4A" w14:textId="77777777" w:rsidR="002D58E4" w:rsidRDefault="00F721D4">
      <w:pPr>
        <w:spacing w:after="0" w:line="240" w:lineRule="auto"/>
        <w:rPr>
          <w:color w:val="000000"/>
          <w:sz w:val="18"/>
          <w:szCs w:val="18"/>
        </w:rPr>
      </w:pPr>
      <w:r>
        <w:rPr>
          <w:color w:val="000000"/>
          <w:sz w:val="18"/>
          <w:szCs w:val="18"/>
        </w:rPr>
        <w:t>b. Low number of events and 95% CI is wide and crossing the null value.</w:t>
      </w:r>
    </w:p>
    <w:p w14:paraId="18A316CD" w14:textId="77777777" w:rsidR="002D58E4" w:rsidRDefault="00F721D4">
      <w:pPr>
        <w:spacing w:after="0" w:line="240" w:lineRule="auto"/>
        <w:rPr>
          <w:color w:val="000000"/>
          <w:sz w:val="18"/>
          <w:szCs w:val="18"/>
        </w:rPr>
      </w:pPr>
      <w:r>
        <w:rPr>
          <w:color w:val="000000"/>
          <w:sz w:val="18"/>
          <w:szCs w:val="18"/>
        </w:rPr>
        <w:t>c. Due to zero events in one study arm, unable to estimate relative risk</w:t>
      </w:r>
    </w:p>
    <w:p w14:paraId="43AE860C" w14:textId="77777777" w:rsidR="002D58E4" w:rsidRDefault="00F721D4">
      <w:pPr>
        <w:widowControl w:val="0"/>
        <w:pBdr>
          <w:top w:val="nil"/>
          <w:left w:val="nil"/>
          <w:bottom w:val="nil"/>
          <w:right w:val="nil"/>
          <w:between w:val="nil"/>
        </w:pBdr>
        <w:spacing w:after="0"/>
        <w:rPr>
          <w:b/>
          <w:color w:val="000000"/>
          <w:sz w:val="24"/>
          <w:szCs w:val="24"/>
          <w:u w:val="single"/>
        </w:rPr>
        <w:sectPr w:rsidR="002D58E4">
          <w:type w:val="continuous"/>
          <w:pgSz w:w="15840" w:h="12240"/>
          <w:pgMar w:top="720" w:right="720" w:bottom="720" w:left="720" w:header="720" w:footer="720" w:gutter="0"/>
          <w:cols w:space="720" w:equalWidth="0">
            <w:col w:w="9360"/>
          </w:cols>
        </w:sectPr>
      </w:pPr>
      <w:r>
        <w:br w:type="page"/>
      </w:r>
    </w:p>
    <w:p w14:paraId="19595074" w14:textId="77777777" w:rsidR="002D58E4" w:rsidRDefault="00F721D4">
      <w:pPr>
        <w:spacing w:after="0"/>
        <w:rPr>
          <w:b/>
          <w:color w:val="000000"/>
          <w:sz w:val="24"/>
          <w:szCs w:val="24"/>
          <w:u w:val="single"/>
        </w:rPr>
      </w:pPr>
      <w:r>
        <w:rPr>
          <w:b/>
          <w:color w:val="000000"/>
          <w:sz w:val="24"/>
          <w:szCs w:val="24"/>
          <w:u w:val="single"/>
        </w:rPr>
        <w:lastRenderedPageBreak/>
        <w:t xml:space="preserve">CEFUROXIME vs. DOXYCYCLINE </w:t>
      </w:r>
    </w:p>
    <w:p w14:paraId="127040AB" w14:textId="39BED530" w:rsidR="002D58E4" w:rsidRDefault="00F721D4">
      <w:pPr>
        <w:spacing w:after="0"/>
        <w:rPr>
          <w:b/>
        </w:rPr>
      </w:pPr>
      <w:r>
        <w:rPr>
          <w:b/>
        </w:rPr>
        <w:t>In patients with erythema migrans, should Cefuroxime be used over Doxycycline?</w:t>
      </w:r>
    </w:p>
    <w:p w14:paraId="776DA161" w14:textId="69056A2D" w:rsidR="002D58E4" w:rsidRDefault="00F721D4">
      <w:pPr>
        <w:spacing w:after="0"/>
      </w:pPr>
      <w:r>
        <w:t>P: In patients with erythema migrans</w:t>
      </w:r>
    </w:p>
    <w:p w14:paraId="43D50E75" w14:textId="77777777" w:rsidR="002D58E4" w:rsidRPr="002914A2" w:rsidRDefault="00F721D4">
      <w:pPr>
        <w:spacing w:after="0"/>
        <w:rPr>
          <w:lang w:val="fr-CA"/>
        </w:rPr>
      </w:pPr>
      <w:r w:rsidRPr="002914A2">
        <w:rPr>
          <w:lang w:val="fr-CA"/>
        </w:rPr>
        <w:t>I: Cefuroxime</w:t>
      </w:r>
    </w:p>
    <w:p w14:paraId="5F988108" w14:textId="77777777" w:rsidR="002D58E4" w:rsidRPr="002914A2" w:rsidRDefault="00F721D4">
      <w:pPr>
        <w:spacing w:after="0"/>
        <w:rPr>
          <w:lang w:val="fr-CA"/>
        </w:rPr>
      </w:pPr>
      <w:r w:rsidRPr="002914A2">
        <w:rPr>
          <w:lang w:val="fr-CA"/>
        </w:rPr>
        <w:t>C: Doxycycline</w:t>
      </w:r>
    </w:p>
    <w:p w14:paraId="789B0AA3" w14:textId="77777777" w:rsidR="002D58E4" w:rsidRPr="002914A2" w:rsidRDefault="002D58E4">
      <w:pPr>
        <w:spacing w:after="0"/>
        <w:rPr>
          <w:b/>
          <w:color w:val="000000"/>
          <w:sz w:val="18"/>
          <w:szCs w:val="18"/>
          <w:lang w:val="fr-CA"/>
        </w:rPr>
      </w:pPr>
    </w:p>
    <w:p w14:paraId="6EF3FD48" w14:textId="77777777" w:rsidR="002D58E4" w:rsidRDefault="00F721D4" w:rsidP="00DE33EC">
      <w:pPr>
        <w:rPr>
          <w:color w:val="000000"/>
          <w:sz w:val="18"/>
          <w:szCs w:val="18"/>
        </w:rPr>
      </w:pPr>
      <w:r w:rsidRPr="002914A2">
        <w:rPr>
          <w:b/>
          <w:color w:val="000000"/>
          <w:sz w:val="18"/>
          <w:szCs w:val="18"/>
          <w:lang w:val="fr-CA"/>
        </w:rPr>
        <w:t>Bibliography</w:t>
      </w:r>
      <w:r w:rsidRPr="002914A2">
        <w:rPr>
          <w:color w:val="000000"/>
          <w:sz w:val="18"/>
          <w:szCs w:val="18"/>
          <w:lang w:val="fr-CA"/>
        </w:rPr>
        <w:t xml:space="preserve">: 1. Luger, et al.  </w:t>
      </w:r>
      <w:r>
        <w:rPr>
          <w:color w:val="000000"/>
          <w:sz w:val="18"/>
          <w:szCs w:val="18"/>
        </w:rPr>
        <w:t>Antimicrob Agents Chemother. 1995 Mar;39(3):661-7; 2. Nadelman, et al. Ann Intern Med. 1992 Aug 15;117(4):273-80.</w:t>
      </w:r>
    </w:p>
    <w:tbl>
      <w:tblPr>
        <w:tblStyle w:val="af3"/>
        <w:tblW w:w="1461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3"/>
        <w:gridCol w:w="688"/>
        <w:gridCol w:w="865"/>
        <w:gridCol w:w="977"/>
        <w:gridCol w:w="1119"/>
        <w:gridCol w:w="1071"/>
        <w:gridCol w:w="1319"/>
        <w:gridCol w:w="1107"/>
        <w:gridCol w:w="1113"/>
        <w:gridCol w:w="1290"/>
        <w:gridCol w:w="2061"/>
        <w:gridCol w:w="1080"/>
        <w:gridCol w:w="1198"/>
      </w:tblGrid>
      <w:tr w:rsidR="00FF641A" w14:paraId="0A2FEE98" w14:textId="77777777" w:rsidTr="00E70FE5">
        <w:tc>
          <w:tcPr>
            <w:tcW w:w="6762"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2148ACEB" w14:textId="77777777" w:rsidR="00FF641A" w:rsidRDefault="00FF641A">
            <w:pPr>
              <w:jc w:val="center"/>
              <w:rPr>
                <w:b/>
                <w:sz w:val="20"/>
                <w:szCs w:val="20"/>
              </w:rPr>
            </w:pPr>
            <w:r>
              <w:rPr>
                <w:b/>
                <w:sz w:val="20"/>
                <w:szCs w:val="20"/>
              </w:rPr>
              <w:t>Certainty assessment</w:t>
            </w:r>
          </w:p>
        </w:tc>
        <w:tc>
          <w:tcPr>
            <w:tcW w:w="2220"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7C1E6D4A" w14:textId="77777777" w:rsidR="00FF641A" w:rsidRDefault="00FF641A">
            <w:pPr>
              <w:jc w:val="center"/>
              <w:rPr>
                <w:b/>
                <w:sz w:val="20"/>
                <w:szCs w:val="20"/>
              </w:rPr>
            </w:pPr>
            <w:r>
              <w:rPr>
                <w:b/>
                <w:sz w:val="18"/>
                <w:szCs w:val="18"/>
              </w:rPr>
              <w:t>№ of Events/№ of patients</w:t>
            </w:r>
          </w:p>
        </w:tc>
        <w:tc>
          <w:tcPr>
            <w:tcW w:w="3351"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36539962" w14:textId="77777777" w:rsidR="00FF641A" w:rsidRDefault="00FF641A">
            <w:pPr>
              <w:jc w:val="center"/>
              <w:rPr>
                <w:b/>
                <w:sz w:val="20"/>
                <w:szCs w:val="20"/>
              </w:rPr>
            </w:pPr>
            <w:r>
              <w:rPr>
                <w:b/>
                <w:sz w:val="20"/>
                <w:szCs w:val="20"/>
              </w:rPr>
              <w:t>Effect</w:t>
            </w:r>
          </w:p>
        </w:tc>
        <w:tc>
          <w:tcPr>
            <w:tcW w:w="1080" w:type="dxa"/>
            <w:vMerge w:val="restart"/>
            <w:tcBorders>
              <w:top w:val="single" w:sz="6" w:space="0" w:color="000000"/>
              <w:left w:val="single" w:sz="6" w:space="0" w:color="000000"/>
              <w:right w:val="single" w:sz="6" w:space="0" w:color="000000"/>
            </w:tcBorders>
            <w:shd w:val="clear" w:color="auto" w:fill="DDDDDD"/>
            <w:vAlign w:val="center"/>
          </w:tcPr>
          <w:p w14:paraId="403014DA" w14:textId="77777777" w:rsidR="00FF641A" w:rsidRDefault="00FF641A">
            <w:pPr>
              <w:jc w:val="center"/>
              <w:rPr>
                <w:b/>
                <w:sz w:val="20"/>
                <w:szCs w:val="20"/>
              </w:rPr>
            </w:pPr>
            <w:r>
              <w:rPr>
                <w:b/>
                <w:sz w:val="20"/>
                <w:szCs w:val="20"/>
              </w:rPr>
              <w:t>Certainty</w:t>
            </w:r>
          </w:p>
        </w:tc>
        <w:tc>
          <w:tcPr>
            <w:tcW w:w="1197" w:type="dxa"/>
            <w:vMerge w:val="restart"/>
            <w:tcBorders>
              <w:top w:val="single" w:sz="6" w:space="0" w:color="000000"/>
              <w:left w:val="single" w:sz="6" w:space="0" w:color="000000"/>
              <w:right w:val="single" w:sz="6" w:space="0" w:color="000000"/>
            </w:tcBorders>
            <w:shd w:val="clear" w:color="auto" w:fill="DDDDDD"/>
            <w:vAlign w:val="center"/>
          </w:tcPr>
          <w:p w14:paraId="0F9CB748" w14:textId="77777777" w:rsidR="00FF641A" w:rsidRDefault="00FF641A">
            <w:pPr>
              <w:jc w:val="center"/>
              <w:rPr>
                <w:b/>
                <w:sz w:val="20"/>
                <w:szCs w:val="20"/>
              </w:rPr>
            </w:pPr>
            <w:r>
              <w:rPr>
                <w:b/>
                <w:sz w:val="20"/>
                <w:szCs w:val="20"/>
              </w:rPr>
              <w:t>Importance</w:t>
            </w:r>
          </w:p>
        </w:tc>
      </w:tr>
      <w:tr w:rsidR="00FF641A" w14:paraId="33351029" w14:textId="77777777" w:rsidTr="00E70FE5">
        <w:tc>
          <w:tcPr>
            <w:tcW w:w="72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BE101DA" w14:textId="77777777" w:rsidR="00FF641A" w:rsidRDefault="00FF641A">
            <w:pPr>
              <w:jc w:val="center"/>
              <w:rPr>
                <w:b/>
                <w:sz w:val="20"/>
                <w:szCs w:val="20"/>
              </w:rPr>
            </w:pPr>
            <w:r>
              <w:rPr>
                <w:b/>
                <w:sz w:val="20"/>
                <w:szCs w:val="20"/>
              </w:rPr>
              <w:t>№ of studies</w:t>
            </w:r>
          </w:p>
        </w:tc>
        <w:tc>
          <w:tcPr>
            <w:tcW w:w="68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210F0B9" w14:textId="77777777" w:rsidR="00FF641A" w:rsidRDefault="00FF641A">
            <w:pPr>
              <w:jc w:val="center"/>
              <w:rPr>
                <w:b/>
                <w:sz w:val="20"/>
                <w:szCs w:val="20"/>
              </w:rPr>
            </w:pPr>
            <w:r>
              <w:rPr>
                <w:b/>
                <w:sz w:val="20"/>
                <w:szCs w:val="20"/>
              </w:rPr>
              <w:t>Study design</w:t>
            </w:r>
          </w:p>
        </w:tc>
        <w:tc>
          <w:tcPr>
            <w:tcW w:w="86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EEFABAB" w14:textId="77777777" w:rsidR="00FF641A" w:rsidRDefault="00FF641A">
            <w:pPr>
              <w:jc w:val="center"/>
              <w:rPr>
                <w:b/>
                <w:sz w:val="20"/>
                <w:szCs w:val="20"/>
              </w:rPr>
            </w:pPr>
            <w:r>
              <w:rPr>
                <w:b/>
                <w:sz w:val="20"/>
                <w:szCs w:val="20"/>
              </w:rPr>
              <w:t>Risk of bias</w:t>
            </w:r>
          </w:p>
        </w:tc>
        <w:tc>
          <w:tcPr>
            <w:tcW w:w="97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5B999D61" w14:textId="77777777" w:rsidR="00FF641A" w:rsidRDefault="00FF641A">
            <w:pPr>
              <w:jc w:val="center"/>
              <w:rPr>
                <w:b/>
                <w:sz w:val="20"/>
                <w:szCs w:val="20"/>
              </w:rPr>
            </w:pPr>
            <w:r>
              <w:rPr>
                <w:b/>
                <w:sz w:val="20"/>
                <w:szCs w:val="20"/>
              </w:rPr>
              <w:t>Inconsistency</w:t>
            </w:r>
          </w:p>
        </w:tc>
        <w:tc>
          <w:tcPr>
            <w:tcW w:w="111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F377F69" w14:textId="77777777" w:rsidR="00FF641A" w:rsidRDefault="00FF641A">
            <w:pPr>
              <w:jc w:val="center"/>
              <w:rPr>
                <w:b/>
                <w:sz w:val="20"/>
                <w:szCs w:val="20"/>
              </w:rPr>
            </w:pPr>
            <w:r>
              <w:rPr>
                <w:b/>
                <w:sz w:val="20"/>
                <w:szCs w:val="20"/>
              </w:rPr>
              <w:t>Indirectness</w:t>
            </w:r>
          </w:p>
        </w:tc>
        <w:tc>
          <w:tcPr>
            <w:tcW w:w="107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F1FAB91" w14:textId="77777777" w:rsidR="00FF641A" w:rsidRDefault="00FF641A">
            <w:pPr>
              <w:jc w:val="center"/>
              <w:rPr>
                <w:b/>
                <w:sz w:val="20"/>
                <w:szCs w:val="20"/>
              </w:rPr>
            </w:pPr>
            <w:r>
              <w:rPr>
                <w:b/>
                <w:sz w:val="20"/>
                <w:szCs w:val="20"/>
              </w:rPr>
              <w:t>Imprecision</w:t>
            </w:r>
          </w:p>
        </w:tc>
        <w:tc>
          <w:tcPr>
            <w:tcW w:w="131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D05E45D" w14:textId="77777777" w:rsidR="00FF641A" w:rsidRDefault="00FF641A">
            <w:pPr>
              <w:jc w:val="center"/>
              <w:rPr>
                <w:b/>
                <w:sz w:val="20"/>
                <w:szCs w:val="20"/>
              </w:rPr>
            </w:pPr>
            <w:r>
              <w:rPr>
                <w:b/>
                <w:sz w:val="20"/>
                <w:szCs w:val="20"/>
              </w:rPr>
              <w:t>Other considerations</w:t>
            </w:r>
          </w:p>
        </w:tc>
        <w:tc>
          <w:tcPr>
            <w:tcW w:w="110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616CC61" w14:textId="77777777" w:rsidR="00FF641A" w:rsidRDefault="00FF641A">
            <w:pPr>
              <w:jc w:val="center"/>
              <w:rPr>
                <w:b/>
                <w:sz w:val="20"/>
                <w:szCs w:val="20"/>
              </w:rPr>
            </w:pPr>
            <w:r>
              <w:rPr>
                <w:b/>
                <w:sz w:val="20"/>
                <w:szCs w:val="20"/>
              </w:rPr>
              <w:t>Cefuroxime</w:t>
            </w:r>
          </w:p>
        </w:tc>
        <w:tc>
          <w:tcPr>
            <w:tcW w:w="111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3AB842D" w14:textId="77777777" w:rsidR="00FF641A" w:rsidRDefault="00FF641A">
            <w:pPr>
              <w:jc w:val="center"/>
              <w:rPr>
                <w:b/>
                <w:sz w:val="20"/>
                <w:szCs w:val="20"/>
              </w:rPr>
            </w:pPr>
            <w:r>
              <w:rPr>
                <w:b/>
                <w:sz w:val="20"/>
                <w:szCs w:val="20"/>
              </w:rPr>
              <w:t>Doxycycline</w:t>
            </w:r>
          </w:p>
        </w:tc>
        <w:tc>
          <w:tcPr>
            <w:tcW w:w="1290"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5FA6B25" w14:textId="77777777" w:rsidR="00FF641A" w:rsidRDefault="00FF641A">
            <w:pPr>
              <w:jc w:val="center"/>
              <w:rPr>
                <w:b/>
                <w:sz w:val="20"/>
                <w:szCs w:val="20"/>
              </w:rPr>
            </w:pPr>
            <w:r>
              <w:rPr>
                <w:b/>
                <w:sz w:val="20"/>
                <w:szCs w:val="20"/>
              </w:rPr>
              <w:t>Relative</w:t>
            </w:r>
            <w:r>
              <w:rPr>
                <w:b/>
                <w:sz w:val="20"/>
                <w:szCs w:val="20"/>
              </w:rPr>
              <w:br/>
              <w:t>(95% CI)</w:t>
            </w:r>
          </w:p>
        </w:tc>
        <w:tc>
          <w:tcPr>
            <w:tcW w:w="206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2ED3824" w14:textId="77777777" w:rsidR="00FF641A" w:rsidRDefault="00FF641A">
            <w:pPr>
              <w:jc w:val="center"/>
              <w:rPr>
                <w:b/>
                <w:sz w:val="20"/>
                <w:szCs w:val="20"/>
              </w:rPr>
            </w:pPr>
            <w:r>
              <w:rPr>
                <w:b/>
                <w:sz w:val="20"/>
                <w:szCs w:val="20"/>
              </w:rPr>
              <w:t>Absolute</w:t>
            </w:r>
            <w:r>
              <w:rPr>
                <w:b/>
                <w:sz w:val="20"/>
                <w:szCs w:val="20"/>
              </w:rPr>
              <w:br/>
              <w:t>(95% CI)</w:t>
            </w:r>
          </w:p>
        </w:tc>
        <w:tc>
          <w:tcPr>
            <w:tcW w:w="1080" w:type="dxa"/>
            <w:vMerge/>
            <w:tcBorders>
              <w:left w:val="single" w:sz="6" w:space="0" w:color="000000"/>
              <w:bottom w:val="single" w:sz="6" w:space="0" w:color="000000"/>
              <w:right w:val="single" w:sz="6" w:space="0" w:color="000000"/>
            </w:tcBorders>
            <w:shd w:val="clear" w:color="auto" w:fill="DDDDDD"/>
            <w:vAlign w:val="center"/>
          </w:tcPr>
          <w:p w14:paraId="418FA4C7" w14:textId="77777777" w:rsidR="00FF641A" w:rsidRDefault="00FF641A">
            <w:pPr>
              <w:rPr>
                <w:b/>
                <w:sz w:val="20"/>
                <w:szCs w:val="20"/>
              </w:rPr>
            </w:pPr>
          </w:p>
        </w:tc>
        <w:tc>
          <w:tcPr>
            <w:tcW w:w="1197" w:type="dxa"/>
            <w:vMerge/>
            <w:tcBorders>
              <w:left w:val="single" w:sz="6" w:space="0" w:color="000000"/>
              <w:bottom w:val="single" w:sz="6" w:space="0" w:color="000000"/>
              <w:right w:val="single" w:sz="6" w:space="0" w:color="000000"/>
            </w:tcBorders>
            <w:shd w:val="clear" w:color="auto" w:fill="DDDDDD"/>
            <w:vAlign w:val="center"/>
          </w:tcPr>
          <w:p w14:paraId="3EB14F1E" w14:textId="77777777" w:rsidR="00FF641A" w:rsidRDefault="00FF641A">
            <w:pPr>
              <w:rPr>
                <w:b/>
                <w:sz w:val="20"/>
                <w:szCs w:val="20"/>
              </w:rPr>
            </w:pPr>
          </w:p>
        </w:tc>
      </w:tr>
      <w:tr w:rsidR="002D58E4" w14:paraId="1162B4D2"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5B9BBB4" w14:textId="77777777" w:rsidR="002D58E4" w:rsidRDefault="00F721D4">
            <w:pPr>
              <w:rPr>
                <w:i/>
                <w:sz w:val="20"/>
                <w:szCs w:val="20"/>
              </w:rPr>
            </w:pPr>
            <w:r>
              <w:rPr>
                <w:b/>
                <w:sz w:val="20"/>
                <w:szCs w:val="20"/>
              </w:rPr>
              <w:t xml:space="preserve">Resolution of Erythema Migrans </w:t>
            </w:r>
            <w:r>
              <w:rPr>
                <w:sz w:val="20"/>
                <w:szCs w:val="20"/>
              </w:rPr>
              <w:t>(at 30 days)</w:t>
            </w:r>
          </w:p>
        </w:tc>
      </w:tr>
      <w:tr w:rsidR="002D58E4" w14:paraId="7FDBD449" w14:textId="77777777" w:rsidTr="00E70FE5">
        <w:tc>
          <w:tcPr>
            <w:tcW w:w="723" w:type="dxa"/>
            <w:tcBorders>
              <w:top w:val="single" w:sz="6" w:space="0" w:color="000000"/>
              <w:left w:val="single" w:sz="6" w:space="0" w:color="000000"/>
              <w:bottom w:val="single" w:sz="6" w:space="0" w:color="000000"/>
              <w:right w:val="single" w:sz="6" w:space="0" w:color="000000"/>
            </w:tcBorders>
          </w:tcPr>
          <w:p w14:paraId="12BF9A42"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5B8D91C5"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611E0A75"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588406D0" w14:textId="77777777" w:rsidR="002D58E4" w:rsidRDefault="00F721D4">
            <w:pPr>
              <w:rPr>
                <w:sz w:val="20"/>
                <w:szCs w:val="20"/>
              </w:rPr>
            </w:pPr>
            <w:r>
              <w:rPr>
                <w:sz w:val="20"/>
                <w:szCs w:val="20"/>
              </w:rPr>
              <w:t xml:space="preserve">serious </w:t>
            </w:r>
            <w:r>
              <w:rPr>
                <w:sz w:val="20"/>
                <w:szCs w:val="20"/>
                <w:vertAlign w:val="superscript"/>
              </w:rPr>
              <w:t>b</w:t>
            </w:r>
          </w:p>
        </w:tc>
        <w:tc>
          <w:tcPr>
            <w:tcW w:w="1119" w:type="dxa"/>
            <w:tcBorders>
              <w:top w:val="single" w:sz="6" w:space="0" w:color="000000"/>
              <w:left w:val="single" w:sz="6" w:space="0" w:color="000000"/>
              <w:bottom w:val="single" w:sz="6" w:space="0" w:color="000000"/>
              <w:right w:val="single" w:sz="6" w:space="0" w:color="000000"/>
            </w:tcBorders>
          </w:tcPr>
          <w:p w14:paraId="5C06515F"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796C945B" w14:textId="77777777" w:rsidR="002D58E4" w:rsidRDefault="00F721D4">
            <w:pPr>
              <w:rPr>
                <w:sz w:val="20"/>
                <w:szCs w:val="20"/>
              </w:rPr>
            </w:pPr>
            <w:r>
              <w:rPr>
                <w:sz w:val="20"/>
                <w:szCs w:val="20"/>
              </w:rPr>
              <w:t xml:space="preserve">not serious </w:t>
            </w:r>
            <w:r>
              <w:rPr>
                <w:sz w:val="20"/>
                <w:szCs w:val="20"/>
                <w:vertAlign w:val="superscript"/>
              </w:rPr>
              <w:t>c</w:t>
            </w:r>
          </w:p>
        </w:tc>
        <w:tc>
          <w:tcPr>
            <w:tcW w:w="1319" w:type="dxa"/>
            <w:tcBorders>
              <w:top w:val="single" w:sz="6" w:space="0" w:color="000000"/>
              <w:left w:val="single" w:sz="6" w:space="0" w:color="000000"/>
              <w:bottom w:val="single" w:sz="6" w:space="0" w:color="000000"/>
              <w:right w:val="single" w:sz="6" w:space="0" w:color="000000"/>
            </w:tcBorders>
          </w:tcPr>
          <w:p w14:paraId="55846802"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539705CB" w14:textId="77777777" w:rsidR="002D58E4" w:rsidRDefault="00F721D4">
            <w:pPr>
              <w:jc w:val="center"/>
              <w:rPr>
                <w:sz w:val="20"/>
                <w:szCs w:val="20"/>
              </w:rPr>
            </w:pPr>
            <w:r>
              <w:rPr>
                <w:sz w:val="20"/>
                <w:szCs w:val="20"/>
              </w:rPr>
              <w:t xml:space="preserve">145/155 (93.5%) </w:t>
            </w:r>
          </w:p>
        </w:tc>
        <w:tc>
          <w:tcPr>
            <w:tcW w:w="1113" w:type="dxa"/>
            <w:tcBorders>
              <w:top w:val="single" w:sz="6" w:space="0" w:color="000000"/>
              <w:left w:val="single" w:sz="6" w:space="0" w:color="000000"/>
              <w:bottom w:val="single" w:sz="6" w:space="0" w:color="000000"/>
              <w:right w:val="single" w:sz="6" w:space="0" w:color="000000"/>
            </w:tcBorders>
          </w:tcPr>
          <w:p w14:paraId="63C61A41" w14:textId="77777777" w:rsidR="002D58E4" w:rsidRDefault="00F721D4">
            <w:pPr>
              <w:jc w:val="center"/>
              <w:rPr>
                <w:sz w:val="20"/>
                <w:szCs w:val="20"/>
              </w:rPr>
            </w:pPr>
            <w:r>
              <w:rPr>
                <w:sz w:val="20"/>
                <w:szCs w:val="20"/>
              </w:rPr>
              <w:t xml:space="preserve">139/145 (95.9%) </w:t>
            </w:r>
          </w:p>
        </w:tc>
        <w:tc>
          <w:tcPr>
            <w:tcW w:w="1290" w:type="dxa"/>
            <w:tcBorders>
              <w:top w:val="single" w:sz="6" w:space="0" w:color="000000"/>
              <w:left w:val="single" w:sz="6" w:space="0" w:color="000000"/>
              <w:bottom w:val="single" w:sz="6" w:space="0" w:color="000000"/>
              <w:right w:val="single" w:sz="6" w:space="0" w:color="000000"/>
            </w:tcBorders>
          </w:tcPr>
          <w:p w14:paraId="41EA23D4" w14:textId="77777777" w:rsidR="002D58E4" w:rsidRDefault="00F721D4">
            <w:pPr>
              <w:jc w:val="center"/>
              <w:rPr>
                <w:sz w:val="20"/>
                <w:szCs w:val="20"/>
              </w:rPr>
            </w:pPr>
            <w:r>
              <w:rPr>
                <w:sz w:val="20"/>
                <w:szCs w:val="20"/>
              </w:rPr>
              <w:t>RR 0.98</w:t>
            </w:r>
            <w:r>
              <w:rPr>
                <w:sz w:val="20"/>
                <w:szCs w:val="20"/>
              </w:rPr>
              <w:br/>
              <w:t xml:space="preserve">(0.93 to 1.03) </w:t>
            </w:r>
          </w:p>
        </w:tc>
        <w:tc>
          <w:tcPr>
            <w:tcW w:w="2061" w:type="dxa"/>
            <w:tcBorders>
              <w:top w:val="single" w:sz="6" w:space="0" w:color="000000"/>
              <w:left w:val="single" w:sz="6" w:space="0" w:color="000000"/>
              <w:bottom w:val="single" w:sz="6" w:space="0" w:color="000000"/>
              <w:right w:val="single" w:sz="6" w:space="0" w:color="000000"/>
            </w:tcBorders>
          </w:tcPr>
          <w:p w14:paraId="4E6D4B4A" w14:textId="77777777" w:rsidR="002D58E4" w:rsidRDefault="00F721D4">
            <w:pPr>
              <w:jc w:val="center"/>
              <w:rPr>
                <w:sz w:val="20"/>
                <w:szCs w:val="20"/>
              </w:rPr>
            </w:pPr>
            <w:r>
              <w:rPr>
                <w:sz w:val="20"/>
                <w:szCs w:val="20"/>
              </w:rPr>
              <w:t>23 fewer per 1,000</w:t>
            </w:r>
            <w:r>
              <w:rPr>
                <w:sz w:val="20"/>
                <w:szCs w:val="20"/>
              </w:rPr>
              <w:br/>
              <w:t xml:space="preserve">(from 74 fewer to 27 more) </w:t>
            </w:r>
          </w:p>
        </w:tc>
        <w:tc>
          <w:tcPr>
            <w:tcW w:w="1080" w:type="dxa"/>
            <w:tcBorders>
              <w:top w:val="single" w:sz="6" w:space="0" w:color="000000"/>
              <w:left w:val="single" w:sz="6" w:space="0" w:color="000000"/>
              <w:bottom w:val="single" w:sz="6" w:space="0" w:color="000000"/>
              <w:right w:val="single" w:sz="6" w:space="0" w:color="000000"/>
            </w:tcBorders>
          </w:tcPr>
          <w:p w14:paraId="51EE367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97" w:type="dxa"/>
            <w:tcBorders>
              <w:top w:val="single" w:sz="6" w:space="0" w:color="000000"/>
              <w:left w:val="single" w:sz="6" w:space="0" w:color="000000"/>
              <w:bottom w:val="single" w:sz="6" w:space="0" w:color="000000"/>
              <w:right w:val="single" w:sz="6" w:space="0" w:color="000000"/>
            </w:tcBorders>
          </w:tcPr>
          <w:p w14:paraId="3AAC523D" w14:textId="77777777" w:rsidR="002D58E4" w:rsidRDefault="00F721D4">
            <w:pPr>
              <w:rPr>
                <w:sz w:val="20"/>
                <w:szCs w:val="20"/>
              </w:rPr>
            </w:pPr>
            <w:r>
              <w:rPr>
                <w:sz w:val="20"/>
                <w:szCs w:val="20"/>
              </w:rPr>
              <w:t xml:space="preserve">CRITICAL </w:t>
            </w:r>
          </w:p>
        </w:tc>
      </w:tr>
      <w:tr w:rsidR="002D58E4" w14:paraId="59286B17"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F6BE477" w14:textId="77777777" w:rsidR="002D58E4" w:rsidRDefault="00F721D4">
            <w:pPr>
              <w:rPr>
                <w:sz w:val="20"/>
                <w:szCs w:val="20"/>
              </w:rPr>
            </w:pPr>
            <w:r>
              <w:rPr>
                <w:b/>
                <w:sz w:val="20"/>
                <w:szCs w:val="20"/>
              </w:rPr>
              <w:t xml:space="preserve">Patients Experiencing Objective Findings of Lyme </w:t>
            </w:r>
            <w:r>
              <w:rPr>
                <w:sz w:val="20"/>
                <w:szCs w:val="20"/>
              </w:rPr>
              <w:t xml:space="preserve">(during treatment and up to 1 month) </w:t>
            </w:r>
          </w:p>
        </w:tc>
      </w:tr>
      <w:tr w:rsidR="002D58E4" w14:paraId="4C6E4FF6" w14:textId="77777777" w:rsidTr="00E70FE5">
        <w:tc>
          <w:tcPr>
            <w:tcW w:w="723" w:type="dxa"/>
            <w:tcBorders>
              <w:top w:val="single" w:sz="6" w:space="0" w:color="000000"/>
              <w:left w:val="single" w:sz="6" w:space="0" w:color="000000"/>
              <w:bottom w:val="single" w:sz="6" w:space="0" w:color="000000"/>
              <w:right w:val="single" w:sz="6" w:space="0" w:color="000000"/>
            </w:tcBorders>
          </w:tcPr>
          <w:p w14:paraId="7EA14497"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0BD162FF"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7ACF9A23"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09593830" w14:textId="77777777" w:rsidR="002D58E4" w:rsidRDefault="00F721D4">
            <w:pPr>
              <w:rPr>
                <w:sz w:val="20"/>
                <w:szCs w:val="20"/>
              </w:rPr>
            </w:pPr>
            <w:r>
              <w:rPr>
                <w:sz w:val="20"/>
                <w:szCs w:val="20"/>
              </w:rPr>
              <w:t>not serious</w:t>
            </w:r>
          </w:p>
        </w:tc>
        <w:tc>
          <w:tcPr>
            <w:tcW w:w="1119" w:type="dxa"/>
            <w:tcBorders>
              <w:top w:val="single" w:sz="6" w:space="0" w:color="000000"/>
              <w:left w:val="single" w:sz="6" w:space="0" w:color="000000"/>
              <w:bottom w:val="single" w:sz="6" w:space="0" w:color="000000"/>
              <w:right w:val="single" w:sz="6" w:space="0" w:color="000000"/>
            </w:tcBorders>
          </w:tcPr>
          <w:p w14:paraId="3ECD4C80"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4FC93C7" w14:textId="77777777" w:rsidR="002D58E4" w:rsidRDefault="00F721D4">
            <w:pPr>
              <w:rPr>
                <w:sz w:val="20"/>
                <w:szCs w:val="20"/>
              </w:rPr>
            </w:pPr>
            <w:r>
              <w:rPr>
                <w:sz w:val="20"/>
                <w:szCs w:val="20"/>
              </w:rPr>
              <w:t xml:space="preserve">serious </w:t>
            </w:r>
            <w:r>
              <w:rPr>
                <w:sz w:val="20"/>
                <w:szCs w:val="20"/>
                <w:vertAlign w:val="superscript"/>
              </w:rPr>
              <w:t>d</w:t>
            </w:r>
          </w:p>
        </w:tc>
        <w:tc>
          <w:tcPr>
            <w:tcW w:w="1319" w:type="dxa"/>
            <w:tcBorders>
              <w:top w:val="single" w:sz="6" w:space="0" w:color="000000"/>
              <w:left w:val="single" w:sz="6" w:space="0" w:color="000000"/>
              <w:bottom w:val="single" w:sz="6" w:space="0" w:color="000000"/>
              <w:right w:val="single" w:sz="6" w:space="0" w:color="000000"/>
            </w:tcBorders>
          </w:tcPr>
          <w:p w14:paraId="48BE2BDC"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42A56659" w14:textId="77777777" w:rsidR="002D58E4" w:rsidRDefault="00F721D4">
            <w:pPr>
              <w:jc w:val="center"/>
              <w:rPr>
                <w:sz w:val="20"/>
                <w:szCs w:val="20"/>
              </w:rPr>
            </w:pPr>
            <w:r>
              <w:rPr>
                <w:sz w:val="20"/>
                <w:szCs w:val="20"/>
              </w:rPr>
              <w:t xml:space="preserve">2/155 </w:t>
            </w:r>
          </w:p>
          <w:p w14:paraId="5E542C7D" w14:textId="77777777" w:rsidR="002D58E4" w:rsidRDefault="00F721D4">
            <w:pPr>
              <w:jc w:val="center"/>
              <w:rPr>
                <w:sz w:val="20"/>
                <w:szCs w:val="20"/>
              </w:rPr>
            </w:pPr>
            <w:r>
              <w:rPr>
                <w:sz w:val="20"/>
                <w:szCs w:val="20"/>
              </w:rPr>
              <w:t xml:space="preserve">(1.3%) </w:t>
            </w:r>
          </w:p>
        </w:tc>
        <w:tc>
          <w:tcPr>
            <w:tcW w:w="1113" w:type="dxa"/>
            <w:tcBorders>
              <w:top w:val="single" w:sz="6" w:space="0" w:color="000000"/>
              <w:left w:val="single" w:sz="6" w:space="0" w:color="000000"/>
              <w:bottom w:val="single" w:sz="6" w:space="0" w:color="000000"/>
              <w:right w:val="single" w:sz="6" w:space="0" w:color="000000"/>
            </w:tcBorders>
          </w:tcPr>
          <w:p w14:paraId="5E3B8E2D" w14:textId="77777777" w:rsidR="002D58E4" w:rsidRDefault="00F721D4">
            <w:pPr>
              <w:jc w:val="center"/>
              <w:rPr>
                <w:sz w:val="20"/>
                <w:szCs w:val="20"/>
              </w:rPr>
            </w:pPr>
            <w:r>
              <w:rPr>
                <w:sz w:val="20"/>
                <w:szCs w:val="20"/>
              </w:rPr>
              <w:t xml:space="preserve">5/145 </w:t>
            </w:r>
          </w:p>
          <w:p w14:paraId="2DCA3B3A" w14:textId="77777777" w:rsidR="002D58E4" w:rsidRDefault="00F721D4">
            <w:pPr>
              <w:jc w:val="center"/>
              <w:rPr>
                <w:sz w:val="20"/>
                <w:szCs w:val="20"/>
              </w:rPr>
            </w:pPr>
            <w:r>
              <w:rPr>
                <w:sz w:val="20"/>
                <w:szCs w:val="20"/>
              </w:rPr>
              <w:t>(3.4%)</w:t>
            </w:r>
          </w:p>
        </w:tc>
        <w:tc>
          <w:tcPr>
            <w:tcW w:w="1290" w:type="dxa"/>
            <w:tcBorders>
              <w:top w:val="single" w:sz="6" w:space="0" w:color="000000"/>
              <w:left w:val="single" w:sz="6" w:space="0" w:color="000000"/>
              <w:bottom w:val="single" w:sz="6" w:space="0" w:color="000000"/>
              <w:right w:val="single" w:sz="6" w:space="0" w:color="000000"/>
            </w:tcBorders>
          </w:tcPr>
          <w:p w14:paraId="424EE29B" w14:textId="77777777" w:rsidR="002D58E4" w:rsidRDefault="00F721D4">
            <w:pPr>
              <w:jc w:val="center"/>
              <w:rPr>
                <w:sz w:val="20"/>
                <w:szCs w:val="20"/>
              </w:rPr>
            </w:pPr>
            <w:r>
              <w:rPr>
                <w:sz w:val="20"/>
                <w:szCs w:val="20"/>
              </w:rPr>
              <w:t>RR 0.48</w:t>
            </w:r>
          </w:p>
          <w:p w14:paraId="67583989" w14:textId="77777777" w:rsidR="002D58E4" w:rsidRDefault="00F721D4">
            <w:pPr>
              <w:jc w:val="center"/>
              <w:rPr>
                <w:sz w:val="20"/>
                <w:szCs w:val="20"/>
              </w:rPr>
            </w:pPr>
            <w:r>
              <w:rPr>
                <w:sz w:val="20"/>
                <w:szCs w:val="20"/>
              </w:rPr>
              <w:t>(0.07 to 3.11)</w:t>
            </w:r>
          </w:p>
        </w:tc>
        <w:tc>
          <w:tcPr>
            <w:tcW w:w="2061" w:type="dxa"/>
            <w:tcBorders>
              <w:top w:val="single" w:sz="6" w:space="0" w:color="000000"/>
              <w:left w:val="single" w:sz="6" w:space="0" w:color="000000"/>
              <w:bottom w:val="single" w:sz="6" w:space="0" w:color="000000"/>
              <w:right w:val="single" w:sz="6" w:space="0" w:color="000000"/>
            </w:tcBorders>
          </w:tcPr>
          <w:p w14:paraId="3EA425D2" w14:textId="77777777" w:rsidR="002D58E4" w:rsidRDefault="00F721D4">
            <w:pPr>
              <w:jc w:val="center"/>
              <w:rPr>
                <w:sz w:val="20"/>
                <w:szCs w:val="20"/>
              </w:rPr>
            </w:pPr>
            <w:r>
              <w:rPr>
                <w:sz w:val="20"/>
                <w:szCs w:val="20"/>
              </w:rPr>
              <w:t>18 fewer per 1,000</w:t>
            </w:r>
          </w:p>
          <w:p w14:paraId="3A4BB617" w14:textId="77777777" w:rsidR="002D58E4" w:rsidRDefault="00F721D4">
            <w:pPr>
              <w:jc w:val="center"/>
              <w:rPr>
                <w:sz w:val="20"/>
                <w:szCs w:val="20"/>
              </w:rPr>
            </w:pPr>
            <w:r>
              <w:rPr>
                <w:sz w:val="20"/>
                <w:szCs w:val="20"/>
              </w:rPr>
              <w:t>(from 32 fewer to 73 more)</w:t>
            </w:r>
          </w:p>
        </w:tc>
        <w:tc>
          <w:tcPr>
            <w:tcW w:w="1080" w:type="dxa"/>
            <w:tcBorders>
              <w:top w:val="single" w:sz="6" w:space="0" w:color="000000"/>
              <w:left w:val="single" w:sz="6" w:space="0" w:color="000000"/>
              <w:bottom w:val="single" w:sz="6" w:space="0" w:color="000000"/>
              <w:right w:val="single" w:sz="6" w:space="0" w:color="000000"/>
            </w:tcBorders>
          </w:tcPr>
          <w:p w14:paraId="0595712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97" w:type="dxa"/>
            <w:tcBorders>
              <w:top w:val="single" w:sz="6" w:space="0" w:color="000000"/>
              <w:left w:val="single" w:sz="6" w:space="0" w:color="000000"/>
              <w:bottom w:val="single" w:sz="6" w:space="0" w:color="000000"/>
              <w:right w:val="single" w:sz="6" w:space="0" w:color="000000"/>
            </w:tcBorders>
          </w:tcPr>
          <w:p w14:paraId="512325CF" w14:textId="77777777" w:rsidR="002D58E4" w:rsidRDefault="00F721D4">
            <w:pPr>
              <w:rPr>
                <w:sz w:val="20"/>
                <w:szCs w:val="20"/>
              </w:rPr>
            </w:pPr>
            <w:r>
              <w:rPr>
                <w:sz w:val="20"/>
                <w:szCs w:val="20"/>
              </w:rPr>
              <w:t xml:space="preserve">IMPORTANT </w:t>
            </w:r>
          </w:p>
        </w:tc>
      </w:tr>
      <w:tr w:rsidR="002D58E4" w14:paraId="44B85CD6"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EFE816F" w14:textId="77777777" w:rsidR="002D58E4" w:rsidRDefault="00F721D4">
            <w:pPr>
              <w:rPr>
                <w:sz w:val="20"/>
                <w:szCs w:val="20"/>
              </w:rPr>
            </w:pPr>
            <w:r>
              <w:rPr>
                <w:b/>
                <w:sz w:val="20"/>
                <w:szCs w:val="20"/>
              </w:rPr>
              <w:t xml:space="preserve">Patients Experiencing Objective Findings of Lyme </w:t>
            </w:r>
            <w:r>
              <w:rPr>
                <w:sz w:val="20"/>
                <w:szCs w:val="20"/>
              </w:rPr>
              <w:t xml:space="preserve">(at 6 months and beyond) </w:t>
            </w:r>
          </w:p>
        </w:tc>
      </w:tr>
      <w:tr w:rsidR="002D58E4" w14:paraId="11F12E87" w14:textId="77777777" w:rsidTr="00E70FE5">
        <w:tc>
          <w:tcPr>
            <w:tcW w:w="723" w:type="dxa"/>
            <w:tcBorders>
              <w:top w:val="single" w:sz="6" w:space="0" w:color="000000"/>
              <w:left w:val="single" w:sz="6" w:space="0" w:color="000000"/>
              <w:bottom w:val="single" w:sz="6" w:space="0" w:color="000000"/>
              <w:right w:val="single" w:sz="6" w:space="0" w:color="000000"/>
            </w:tcBorders>
          </w:tcPr>
          <w:p w14:paraId="6FCE4B97"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5836D57E"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4AA92381"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55C3F8CF" w14:textId="77777777" w:rsidR="002D58E4" w:rsidRDefault="00F721D4">
            <w:pPr>
              <w:rPr>
                <w:sz w:val="20"/>
                <w:szCs w:val="20"/>
              </w:rPr>
            </w:pPr>
            <w:r>
              <w:rPr>
                <w:sz w:val="20"/>
                <w:szCs w:val="20"/>
              </w:rPr>
              <w:t xml:space="preserve">not serious </w:t>
            </w:r>
          </w:p>
        </w:tc>
        <w:tc>
          <w:tcPr>
            <w:tcW w:w="1119" w:type="dxa"/>
            <w:tcBorders>
              <w:top w:val="single" w:sz="6" w:space="0" w:color="000000"/>
              <w:left w:val="single" w:sz="6" w:space="0" w:color="000000"/>
              <w:bottom w:val="single" w:sz="6" w:space="0" w:color="000000"/>
              <w:right w:val="single" w:sz="6" w:space="0" w:color="000000"/>
            </w:tcBorders>
          </w:tcPr>
          <w:p w14:paraId="5A2CFB15"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AA94553" w14:textId="77777777" w:rsidR="002D58E4" w:rsidRDefault="00F721D4">
            <w:pPr>
              <w:rPr>
                <w:sz w:val="20"/>
                <w:szCs w:val="20"/>
              </w:rPr>
            </w:pPr>
            <w:r>
              <w:rPr>
                <w:sz w:val="20"/>
                <w:szCs w:val="20"/>
              </w:rPr>
              <w:t xml:space="preserve">serious </w:t>
            </w:r>
            <w:r>
              <w:rPr>
                <w:sz w:val="20"/>
                <w:szCs w:val="20"/>
                <w:vertAlign w:val="superscript"/>
              </w:rPr>
              <w:t>d</w:t>
            </w:r>
          </w:p>
        </w:tc>
        <w:tc>
          <w:tcPr>
            <w:tcW w:w="1319" w:type="dxa"/>
            <w:tcBorders>
              <w:top w:val="single" w:sz="6" w:space="0" w:color="000000"/>
              <w:left w:val="single" w:sz="6" w:space="0" w:color="000000"/>
              <w:bottom w:val="single" w:sz="6" w:space="0" w:color="000000"/>
              <w:right w:val="single" w:sz="6" w:space="0" w:color="000000"/>
            </w:tcBorders>
          </w:tcPr>
          <w:p w14:paraId="1AD53BD3"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0164C9C0" w14:textId="77777777" w:rsidR="002D58E4" w:rsidRDefault="00F721D4">
            <w:pPr>
              <w:jc w:val="center"/>
              <w:rPr>
                <w:sz w:val="20"/>
                <w:szCs w:val="20"/>
              </w:rPr>
            </w:pPr>
            <w:r>
              <w:rPr>
                <w:sz w:val="20"/>
                <w:szCs w:val="20"/>
              </w:rPr>
              <w:t xml:space="preserve">2/113 </w:t>
            </w:r>
          </w:p>
          <w:p w14:paraId="129C71CA" w14:textId="77777777" w:rsidR="002D58E4" w:rsidRDefault="00F721D4">
            <w:pPr>
              <w:jc w:val="center"/>
              <w:rPr>
                <w:sz w:val="20"/>
                <w:szCs w:val="20"/>
              </w:rPr>
            </w:pPr>
            <w:r>
              <w:rPr>
                <w:sz w:val="20"/>
                <w:szCs w:val="20"/>
              </w:rPr>
              <w:t xml:space="preserve">(1.8%) </w:t>
            </w:r>
          </w:p>
        </w:tc>
        <w:tc>
          <w:tcPr>
            <w:tcW w:w="1113" w:type="dxa"/>
            <w:tcBorders>
              <w:top w:val="single" w:sz="6" w:space="0" w:color="000000"/>
              <w:left w:val="single" w:sz="6" w:space="0" w:color="000000"/>
              <w:bottom w:val="single" w:sz="6" w:space="0" w:color="000000"/>
              <w:right w:val="single" w:sz="6" w:space="0" w:color="000000"/>
            </w:tcBorders>
          </w:tcPr>
          <w:p w14:paraId="16C61E37" w14:textId="77777777" w:rsidR="002D58E4" w:rsidRDefault="00F721D4">
            <w:pPr>
              <w:jc w:val="center"/>
              <w:rPr>
                <w:sz w:val="20"/>
                <w:szCs w:val="20"/>
              </w:rPr>
            </w:pPr>
            <w:r>
              <w:rPr>
                <w:sz w:val="20"/>
                <w:szCs w:val="20"/>
              </w:rPr>
              <w:t xml:space="preserve">0/91 </w:t>
            </w:r>
          </w:p>
          <w:p w14:paraId="4981DC10" w14:textId="77777777" w:rsidR="002D58E4" w:rsidRDefault="00F721D4">
            <w:pPr>
              <w:jc w:val="center"/>
              <w:rPr>
                <w:sz w:val="20"/>
                <w:szCs w:val="20"/>
              </w:rPr>
            </w:pPr>
            <w:r>
              <w:rPr>
                <w:sz w:val="20"/>
                <w:szCs w:val="20"/>
              </w:rPr>
              <w:t xml:space="preserve">(0.0%) </w:t>
            </w:r>
          </w:p>
        </w:tc>
        <w:tc>
          <w:tcPr>
            <w:tcW w:w="1290" w:type="dxa"/>
            <w:tcBorders>
              <w:top w:val="single" w:sz="6" w:space="0" w:color="000000"/>
              <w:left w:val="single" w:sz="6" w:space="0" w:color="000000"/>
              <w:bottom w:val="single" w:sz="6" w:space="0" w:color="000000"/>
              <w:right w:val="single" w:sz="6" w:space="0" w:color="000000"/>
            </w:tcBorders>
          </w:tcPr>
          <w:p w14:paraId="15E43D3A" w14:textId="77777777" w:rsidR="002D58E4" w:rsidRDefault="00F721D4">
            <w:pPr>
              <w:jc w:val="center"/>
              <w:rPr>
                <w:sz w:val="20"/>
                <w:szCs w:val="20"/>
              </w:rPr>
            </w:pPr>
            <w:r>
              <w:rPr>
                <w:sz w:val="20"/>
                <w:szCs w:val="20"/>
              </w:rPr>
              <w:t xml:space="preserve">NA </w:t>
            </w:r>
            <w:r>
              <w:rPr>
                <w:sz w:val="20"/>
                <w:szCs w:val="20"/>
                <w:vertAlign w:val="superscript"/>
              </w:rPr>
              <w:t xml:space="preserve">e </w:t>
            </w:r>
          </w:p>
          <w:p w14:paraId="700D88F9" w14:textId="77777777" w:rsidR="002D58E4" w:rsidRDefault="002D58E4">
            <w:pPr>
              <w:jc w:val="center"/>
              <w:rPr>
                <w:sz w:val="20"/>
                <w:szCs w:val="20"/>
              </w:rPr>
            </w:pPr>
          </w:p>
        </w:tc>
        <w:tc>
          <w:tcPr>
            <w:tcW w:w="2061" w:type="dxa"/>
            <w:tcBorders>
              <w:top w:val="single" w:sz="6" w:space="0" w:color="000000"/>
              <w:left w:val="single" w:sz="6" w:space="0" w:color="000000"/>
              <w:bottom w:val="single" w:sz="6" w:space="0" w:color="000000"/>
              <w:right w:val="single" w:sz="6" w:space="0" w:color="000000"/>
            </w:tcBorders>
          </w:tcPr>
          <w:p w14:paraId="524CAD6B" w14:textId="77777777" w:rsidR="002D58E4" w:rsidRDefault="00F721D4">
            <w:pPr>
              <w:jc w:val="center"/>
              <w:rPr>
                <w:sz w:val="20"/>
                <w:szCs w:val="20"/>
              </w:rPr>
            </w:pPr>
            <w:r>
              <w:rPr>
                <w:sz w:val="20"/>
                <w:szCs w:val="20"/>
              </w:rPr>
              <w:t>18 more per 1,000</w:t>
            </w:r>
          </w:p>
          <w:p w14:paraId="62A5D08A" w14:textId="77777777" w:rsidR="002D58E4" w:rsidRDefault="00F721D4">
            <w:pPr>
              <w:jc w:val="center"/>
              <w:rPr>
                <w:sz w:val="20"/>
                <w:szCs w:val="20"/>
              </w:rPr>
            </w:pPr>
            <w:r>
              <w:rPr>
                <w:sz w:val="20"/>
                <w:szCs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E3E22D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97" w:type="dxa"/>
            <w:tcBorders>
              <w:top w:val="single" w:sz="6" w:space="0" w:color="000000"/>
              <w:left w:val="single" w:sz="6" w:space="0" w:color="000000"/>
              <w:bottom w:val="single" w:sz="6" w:space="0" w:color="000000"/>
              <w:right w:val="single" w:sz="6" w:space="0" w:color="000000"/>
            </w:tcBorders>
          </w:tcPr>
          <w:p w14:paraId="00CB4A61" w14:textId="77777777" w:rsidR="002D58E4" w:rsidRDefault="00F721D4">
            <w:pPr>
              <w:rPr>
                <w:sz w:val="20"/>
                <w:szCs w:val="20"/>
              </w:rPr>
            </w:pPr>
            <w:r>
              <w:rPr>
                <w:sz w:val="20"/>
                <w:szCs w:val="20"/>
              </w:rPr>
              <w:t xml:space="preserve">CRITICAL </w:t>
            </w:r>
          </w:p>
        </w:tc>
      </w:tr>
      <w:tr w:rsidR="002D58E4" w14:paraId="516517FD"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C92A8DD" w14:textId="77777777" w:rsidR="002D58E4" w:rsidRDefault="00F721D4">
            <w:pPr>
              <w:rPr>
                <w:sz w:val="20"/>
                <w:szCs w:val="20"/>
              </w:rPr>
            </w:pPr>
            <w:r>
              <w:rPr>
                <w:b/>
                <w:sz w:val="20"/>
                <w:szCs w:val="20"/>
              </w:rPr>
              <w:t xml:space="preserve">Patients Withdrawing due to Adverse Events </w:t>
            </w:r>
          </w:p>
        </w:tc>
      </w:tr>
      <w:tr w:rsidR="002D58E4" w14:paraId="55A4FD57" w14:textId="77777777" w:rsidTr="00E70FE5">
        <w:tc>
          <w:tcPr>
            <w:tcW w:w="723" w:type="dxa"/>
            <w:tcBorders>
              <w:top w:val="single" w:sz="6" w:space="0" w:color="000000"/>
              <w:left w:val="single" w:sz="6" w:space="0" w:color="000000"/>
              <w:bottom w:val="single" w:sz="6" w:space="0" w:color="000000"/>
              <w:right w:val="single" w:sz="6" w:space="0" w:color="000000"/>
            </w:tcBorders>
          </w:tcPr>
          <w:p w14:paraId="2E562425" w14:textId="77777777" w:rsidR="002D58E4" w:rsidRDefault="00F721D4">
            <w:pPr>
              <w:rPr>
                <w:sz w:val="20"/>
                <w:szCs w:val="20"/>
              </w:rPr>
            </w:pPr>
            <w:r>
              <w:rPr>
                <w:sz w:val="20"/>
                <w:szCs w:val="20"/>
              </w:rPr>
              <w:t xml:space="preserve">1 </w:t>
            </w:r>
          </w:p>
        </w:tc>
        <w:tc>
          <w:tcPr>
            <w:tcW w:w="688" w:type="dxa"/>
            <w:tcBorders>
              <w:top w:val="single" w:sz="6" w:space="0" w:color="000000"/>
              <w:left w:val="single" w:sz="6" w:space="0" w:color="000000"/>
              <w:bottom w:val="single" w:sz="6" w:space="0" w:color="000000"/>
              <w:right w:val="single" w:sz="6" w:space="0" w:color="000000"/>
            </w:tcBorders>
          </w:tcPr>
          <w:p w14:paraId="39B5741C" w14:textId="77777777" w:rsidR="002D58E4" w:rsidRDefault="00F721D4">
            <w:pPr>
              <w:rPr>
                <w:sz w:val="20"/>
                <w:szCs w:val="20"/>
              </w:rPr>
            </w:pPr>
            <w:r>
              <w:rPr>
                <w:sz w:val="20"/>
                <w:szCs w:val="20"/>
              </w:rPr>
              <w:t xml:space="preserve">RCT </w:t>
            </w:r>
            <w:r>
              <w:rPr>
                <w:sz w:val="20"/>
                <w:szCs w:val="20"/>
                <w:vertAlign w:val="superscript"/>
              </w:rPr>
              <w:t>1</w:t>
            </w:r>
          </w:p>
        </w:tc>
        <w:tc>
          <w:tcPr>
            <w:tcW w:w="865" w:type="dxa"/>
            <w:tcBorders>
              <w:top w:val="single" w:sz="6" w:space="0" w:color="000000"/>
              <w:left w:val="single" w:sz="6" w:space="0" w:color="000000"/>
              <w:bottom w:val="single" w:sz="6" w:space="0" w:color="000000"/>
              <w:right w:val="single" w:sz="6" w:space="0" w:color="000000"/>
            </w:tcBorders>
          </w:tcPr>
          <w:p w14:paraId="013439C1"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4B9863F3" w14:textId="77777777" w:rsidR="002D58E4" w:rsidRDefault="00F721D4">
            <w:pPr>
              <w:rPr>
                <w:sz w:val="20"/>
                <w:szCs w:val="20"/>
              </w:rPr>
            </w:pPr>
            <w:r>
              <w:rPr>
                <w:sz w:val="20"/>
                <w:szCs w:val="20"/>
              </w:rPr>
              <w:t xml:space="preserve">not serious </w:t>
            </w:r>
          </w:p>
        </w:tc>
        <w:tc>
          <w:tcPr>
            <w:tcW w:w="1119" w:type="dxa"/>
            <w:tcBorders>
              <w:top w:val="single" w:sz="6" w:space="0" w:color="000000"/>
              <w:left w:val="single" w:sz="6" w:space="0" w:color="000000"/>
              <w:bottom w:val="single" w:sz="6" w:space="0" w:color="000000"/>
              <w:right w:val="single" w:sz="6" w:space="0" w:color="000000"/>
            </w:tcBorders>
          </w:tcPr>
          <w:p w14:paraId="303F3C05"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4EE497C" w14:textId="77777777" w:rsidR="002D58E4" w:rsidRDefault="00F721D4">
            <w:pPr>
              <w:rPr>
                <w:sz w:val="20"/>
                <w:szCs w:val="20"/>
              </w:rPr>
            </w:pPr>
            <w:r>
              <w:rPr>
                <w:sz w:val="20"/>
                <w:szCs w:val="20"/>
              </w:rPr>
              <w:t xml:space="preserve">serious </w:t>
            </w:r>
            <w:r>
              <w:rPr>
                <w:sz w:val="20"/>
                <w:szCs w:val="20"/>
                <w:vertAlign w:val="superscript"/>
              </w:rPr>
              <w:t>d</w:t>
            </w:r>
          </w:p>
        </w:tc>
        <w:tc>
          <w:tcPr>
            <w:tcW w:w="1319" w:type="dxa"/>
            <w:tcBorders>
              <w:top w:val="single" w:sz="6" w:space="0" w:color="000000"/>
              <w:left w:val="single" w:sz="6" w:space="0" w:color="000000"/>
              <w:bottom w:val="single" w:sz="6" w:space="0" w:color="000000"/>
              <w:right w:val="single" w:sz="6" w:space="0" w:color="000000"/>
            </w:tcBorders>
          </w:tcPr>
          <w:p w14:paraId="4485E054"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5EFBDEE4" w14:textId="77777777" w:rsidR="002D58E4" w:rsidRDefault="00F721D4">
            <w:pPr>
              <w:jc w:val="center"/>
              <w:rPr>
                <w:sz w:val="20"/>
                <w:szCs w:val="20"/>
              </w:rPr>
            </w:pPr>
            <w:r>
              <w:rPr>
                <w:sz w:val="20"/>
                <w:szCs w:val="20"/>
              </w:rPr>
              <w:t xml:space="preserve">8/119 </w:t>
            </w:r>
          </w:p>
          <w:p w14:paraId="7FA2ABA3" w14:textId="77777777" w:rsidR="002D58E4" w:rsidRDefault="00F721D4">
            <w:pPr>
              <w:jc w:val="center"/>
              <w:rPr>
                <w:sz w:val="20"/>
                <w:szCs w:val="20"/>
              </w:rPr>
            </w:pPr>
            <w:r>
              <w:rPr>
                <w:sz w:val="20"/>
                <w:szCs w:val="20"/>
              </w:rPr>
              <w:t xml:space="preserve">(6.7%) </w:t>
            </w:r>
          </w:p>
        </w:tc>
        <w:tc>
          <w:tcPr>
            <w:tcW w:w="1113" w:type="dxa"/>
            <w:tcBorders>
              <w:top w:val="single" w:sz="6" w:space="0" w:color="000000"/>
              <w:left w:val="single" w:sz="6" w:space="0" w:color="000000"/>
              <w:bottom w:val="single" w:sz="6" w:space="0" w:color="000000"/>
              <w:right w:val="single" w:sz="6" w:space="0" w:color="000000"/>
            </w:tcBorders>
          </w:tcPr>
          <w:p w14:paraId="1E9F921D" w14:textId="77777777" w:rsidR="002D58E4" w:rsidRDefault="00F721D4">
            <w:pPr>
              <w:jc w:val="center"/>
              <w:rPr>
                <w:sz w:val="20"/>
                <w:szCs w:val="20"/>
              </w:rPr>
            </w:pPr>
            <w:r>
              <w:rPr>
                <w:sz w:val="20"/>
                <w:szCs w:val="20"/>
              </w:rPr>
              <w:t xml:space="preserve">5/113 </w:t>
            </w:r>
          </w:p>
          <w:p w14:paraId="6AB52CC9" w14:textId="77777777" w:rsidR="002D58E4" w:rsidRDefault="00F721D4">
            <w:pPr>
              <w:jc w:val="center"/>
              <w:rPr>
                <w:sz w:val="20"/>
                <w:szCs w:val="20"/>
              </w:rPr>
            </w:pPr>
            <w:r>
              <w:rPr>
                <w:sz w:val="20"/>
                <w:szCs w:val="20"/>
              </w:rPr>
              <w:t xml:space="preserve">(4.4%) </w:t>
            </w:r>
          </w:p>
        </w:tc>
        <w:tc>
          <w:tcPr>
            <w:tcW w:w="1290" w:type="dxa"/>
            <w:tcBorders>
              <w:top w:val="single" w:sz="6" w:space="0" w:color="000000"/>
              <w:left w:val="single" w:sz="6" w:space="0" w:color="000000"/>
              <w:bottom w:val="single" w:sz="6" w:space="0" w:color="000000"/>
              <w:right w:val="single" w:sz="6" w:space="0" w:color="000000"/>
            </w:tcBorders>
          </w:tcPr>
          <w:p w14:paraId="43841B72" w14:textId="77777777" w:rsidR="002D58E4" w:rsidRDefault="00F721D4">
            <w:pPr>
              <w:jc w:val="center"/>
              <w:rPr>
                <w:sz w:val="20"/>
                <w:szCs w:val="20"/>
              </w:rPr>
            </w:pPr>
            <w:r>
              <w:rPr>
                <w:sz w:val="20"/>
                <w:szCs w:val="20"/>
              </w:rPr>
              <w:t>RR 1.52</w:t>
            </w:r>
            <w:r>
              <w:rPr>
                <w:sz w:val="20"/>
                <w:szCs w:val="20"/>
              </w:rPr>
              <w:br/>
              <w:t xml:space="preserve">(0.51 to 4.51) </w:t>
            </w:r>
          </w:p>
        </w:tc>
        <w:tc>
          <w:tcPr>
            <w:tcW w:w="2061" w:type="dxa"/>
            <w:tcBorders>
              <w:top w:val="single" w:sz="6" w:space="0" w:color="000000"/>
              <w:left w:val="single" w:sz="6" w:space="0" w:color="000000"/>
              <w:bottom w:val="single" w:sz="6" w:space="0" w:color="000000"/>
              <w:right w:val="single" w:sz="6" w:space="0" w:color="000000"/>
            </w:tcBorders>
          </w:tcPr>
          <w:p w14:paraId="3E1DCAFE" w14:textId="77777777" w:rsidR="002D58E4" w:rsidRDefault="00F721D4">
            <w:pPr>
              <w:jc w:val="center"/>
              <w:rPr>
                <w:sz w:val="20"/>
                <w:szCs w:val="20"/>
              </w:rPr>
            </w:pPr>
            <w:r>
              <w:rPr>
                <w:sz w:val="20"/>
                <w:szCs w:val="20"/>
              </w:rPr>
              <w:t>23 more per 1,000</w:t>
            </w:r>
            <w:r>
              <w:rPr>
                <w:sz w:val="20"/>
                <w:szCs w:val="20"/>
              </w:rPr>
              <w:br/>
              <w:t xml:space="preserve">(from 22 fewer to 155 more) </w:t>
            </w:r>
          </w:p>
        </w:tc>
        <w:tc>
          <w:tcPr>
            <w:tcW w:w="1080" w:type="dxa"/>
            <w:tcBorders>
              <w:top w:val="single" w:sz="6" w:space="0" w:color="000000"/>
              <w:left w:val="single" w:sz="6" w:space="0" w:color="000000"/>
              <w:bottom w:val="single" w:sz="6" w:space="0" w:color="000000"/>
              <w:right w:val="single" w:sz="6" w:space="0" w:color="000000"/>
            </w:tcBorders>
          </w:tcPr>
          <w:p w14:paraId="18013F4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97" w:type="dxa"/>
            <w:tcBorders>
              <w:top w:val="single" w:sz="6" w:space="0" w:color="000000"/>
              <w:left w:val="single" w:sz="6" w:space="0" w:color="000000"/>
              <w:bottom w:val="single" w:sz="6" w:space="0" w:color="000000"/>
              <w:right w:val="single" w:sz="6" w:space="0" w:color="000000"/>
            </w:tcBorders>
          </w:tcPr>
          <w:p w14:paraId="02E63C53" w14:textId="77777777" w:rsidR="002D58E4" w:rsidRDefault="00F721D4">
            <w:pPr>
              <w:rPr>
                <w:sz w:val="20"/>
                <w:szCs w:val="20"/>
              </w:rPr>
            </w:pPr>
            <w:r>
              <w:rPr>
                <w:sz w:val="20"/>
                <w:szCs w:val="20"/>
              </w:rPr>
              <w:t xml:space="preserve">CRITICAL </w:t>
            </w:r>
          </w:p>
        </w:tc>
      </w:tr>
      <w:tr w:rsidR="002D58E4" w14:paraId="1BB35848"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597CD7F" w14:textId="77777777" w:rsidR="002D58E4" w:rsidRDefault="00F721D4">
            <w:pPr>
              <w:rPr>
                <w:sz w:val="20"/>
                <w:szCs w:val="20"/>
              </w:rPr>
            </w:pPr>
            <w:r>
              <w:rPr>
                <w:b/>
                <w:sz w:val="20"/>
                <w:szCs w:val="20"/>
              </w:rPr>
              <w:t xml:space="preserve">Treatment-related Adverse Events </w:t>
            </w:r>
          </w:p>
        </w:tc>
      </w:tr>
      <w:tr w:rsidR="002D58E4" w14:paraId="29A0A6EE" w14:textId="77777777" w:rsidTr="00E70FE5">
        <w:tc>
          <w:tcPr>
            <w:tcW w:w="723" w:type="dxa"/>
            <w:tcBorders>
              <w:top w:val="single" w:sz="6" w:space="0" w:color="000000"/>
              <w:left w:val="single" w:sz="6" w:space="0" w:color="000000"/>
              <w:bottom w:val="single" w:sz="6" w:space="0" w:color="000000"/>
              <w:right w:val="single" w:sz="6" w:space="0" w:color="000000"/>
            </w:tcBorders>
          </w:tcPr>
          <w:p w14:paraId="4A4E7F26"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4070A919"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3D140B2F"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44FDE184" w14:textId="77777777" w:rsidR="002D58E4" w:rsidRDefault="00F721D4">
            <w:pPr>
              <w:rPr>
                <w:sz w:val="20"/>
                <w:szCs w:val="20"/>
              </w:rPr>
            </w:pPr>
            <w:r>
              <w:rPr>
                <w:sz w:val="20"/>
                <w:szCs w:val="20"/>
              </w:rPr>
              <w:t xml:space="preserve">not serious </w:t>
            </w:r>
          </w:p>
        </w:tc>
        <w:tc>
          <w:tcPr>
            <w:tcW w:w="1119" w:type="dxa"/>
            <w:tcBorders>
              <w:top w:val="single" w:sz="6" w:space="0" w:color="000000"/>
              <w:left w:val="single" w:sz="6" w:space="0" w:color="000000"/>
              <w:bottom w:val="single" w:sz="6" w:space="0" w:color="000000"/>
              <w:right w:val="single" w:sz="6" w:space="0" w:color="000000"/>
            </w:tcBorders>
          </w:tcPr>
          <w:p w14:paraId="5AC15DD1"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47390519" w14:textId="77777777" w:rsidR="002D58E4" w:rsidRDefault="00F721D4">
            <w:pPr>
              <w:rPr>
                <w:sz w:val="20"/>
                <w:szCs w:val="20"/>
              </w:rPr>
            </w:pPr>
            <w:r>
              <w:rPr>
                <w:sz w:val="20"/>
                <w:szCs w:val="20"/>
              </w:rPr>
              <w:t xml:space="preserve"> serious </w:t>
            </w:r>
            <w:r>
              <w:rPr>
                <w:sz w:val="20"/>
                <w:szCs w:val="20"/>
                <w:vertAlign w:val="superscript"/>
              </w:rPr>
              <w:t>f</w:t>
            </w:r>
          </w:p>
        </w:tc>
        <w:tc>
          <w:tcPr>
            <w:tcW w:w="1319" w:type="dxa"/>
            <w:tcBorders>
              <w:top w:val="single" w:sz="6" w:space="0" w:color="000000"/>
              <w:left w:val="single" w:sz="6" w:space="0" w:color="000000"/>
              <w:bottom w:val="single" w:sz="6" w:space="0" w:color="000000"/>
              <w:right w:val="single" w:sz="6" w:space="0" w:color="000000"/>
            </w:tcBorders>
          </w:tcPr>
          <w:p w14:paraId="718578AE"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28739AEE" w14:textId="77777777" w:rsidR="002D58E4" w:rsidRDefault="00F721D4">
            <w:pPr>
              <w:jc w:val="center"/>
              <w:rPr>
                <w:sz w:val="20"/>
                <w:szCs w:val="20"/>
              </w:rPr>
            </w:pPr>
            <w:r>
              <w:rPr>
                <w:sz w:val="20"/>
                <w:szCs w:val="20"/>
              </w:rPr>
              <w:t xml:space="preserve">39/182 (21.4%) </w:t>
            </w:r>
          </w:p>
        </w:tc>
        <w:tc>
          <w:tcPr>
            <w:tcW w:w="1113" w:type="dxa"/>
            <w:tcBorders>
              <w:top w:val="single" w:sz="6" w:space="0" w:color="000000"/>
              <w:left w:val="single" w:sz="6" w:space="0" w:color="000000"/>
              <w:bottom w:val="single" w:sz="6" w:space="0" w:color="000000"/>
              <w:right w:val="single" w:sz="6" w:space="0" w:color="000000"/>
            </w:tcBorders>
          </w:tcPr>
          <w:p w14:paraId="760B6FB4" w14:textId="77777777" w:rsidR="002D58E4" w:rsidRDefault="00F721D4">
            <w:pPr>
              <w:jc w:val="center"/>
              <w:rPr>
                <w:sz w:val="20"/>
                <w:szCs w:val="20"/>
              </w:rPr>
            </w:pPr>
            <w:r>
              <w:rPr>
                <w:sz w:val="20"/>
                <w:szCs w:val="20"/>
              </w:rPr>
              <w:t xml:space="preserve">51/173 (29.5%) </w:t>
            </w:r>
          </w:p>
        </w:tc>
        <w:tc>
          <w:tcPr>
            <w:tcW w:w="1290" w:type="dxa"/>
            <w:tcBorders>
              <w:top w:val="single" w:sz="6" w:space="0" w:color="000000"/>
              <w:left w:val="single" w:sz="6" w:space="0" w:color="000000"/>
              <w:bottom w:val="single" w:sz="6" w:space="0" w:color="000000"/>
              <w:right w:val="single" w:sz="6" w:space="0" w:color="000000"/>
            </w:tcBorders>
          </w:tcPr>
          <w:p w14:paraId="2FC94507" w14:textId="77777777" w:rsidR="002D58E4" w:rsidRDefault="00F721D4">
            <w:pPr>
              <w:jc w:val="center"/>
              <w:rPr>
                <w:sz w:val="20"/>
                <w:szCs w:val="20"/>
              </w:rPr>
            </w:pPr>
            <w:r>
              <w:rPr>
                <w:sz w:val="20"/>
                <w:szCs w:val="20"/>
              </w:rPr>
              <w:t>RR 0.74</w:t>
            </w:r>
            <w:r>
              <w:rPr>
                <w:sz w:val="20"/>
                <w:szCs w:val="20"/>
              </w:rPr>
              <w:br/>
              <w:t xml:space="preserve">(0.47 to 1.19) </w:t>
            </w:r>
          </w:p>
        </w:tc>
        <w:tc>
          <w:tcPr>
            <w:tcW w:w="2061" w:type="dxa"/>
            <w:tcBorders>
              <w:top w:val="single" w:sz="6" w:space="0" w:color="000000"/>
              <w:left w:val="single" w:sz="6" w:space="0" w:color="000000"/>
              <w:bottom w:val="single" w:sz="6" w:space="0" w:color="000000"/>
              <w:right w:val="single" w:sz="6" w:space="0" w:color="000000"/>
            </w:tcBorders>
          </w:tcPr>
          <w:p w14:paraId="5769E21A" w14:textId="77777777" w:rsidR="002D58E4" w:rsidRDefault="00F721D4">
            <w:pPr>
              <w:jc w:val="center"/>
              <w:rPr>
                <w:sz w:val="20"/>
                <w:szCs w:val="20"/>
              </w:rPr>
            </w:pPr>
            <w:r>
              <w:rPr>
                <w:sz w:val="20"/>
                <w:szCs w:val="20"/>
              </w:rPr>
              <w:t>77 fewer per 1,000</w:t>
            </w:r>
            <w:r>
              <w:rPr>
                <w:sz w:val="20"/>
                <w:szCs w:val="20"/>
              </w:rPr>
              <w:br/>
              <w:t xml:space="preserve">(from 156 fewer to 56 more) </w:t>
            </w:r>
          </w:p>
        </w:tc>
        <w:tc>
          <w:tcPr>
            <w:tcW w:w="1080" w:type="dxa"/>
            <w:tcBorders>
              <w:top w:val="single" w:sz="6" w:space="0" w:color="000000"/>
              <w:left w:val="single" w:sz="6" w:space="0" w:color="000000"/>
              <w:bottom w:val="single" w:sz="6" w:space="0" w:color="000000"/>
              <w:right w:val="single" w:sz="6" w:space="0" w:color="000000"/>
            </w:tcBorders>
          </w:tcPr>
          <w:p w14:paraId="1413E10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97" w:type="dxa"/>
            <w:tcBorders>
              <w:top w:val="single" w:sz="6" w:space="0" w:color="000000"/>
              <w:left w:val="single" w:sz="6" w:space="0" w:color="000000"/>
              <w:bottom w:val="single" w:sz="6" w:space="0" w:color="000000"/>
              <w:right w:val="single" w:sz="6" w:space="0" w:color="000000"/>
            </w:tcBorders>
          </w:tcPr>
          <w:p w14:paraId="59ABA9DF" w14:textId="77777777" w:rsidR="002D58E4" w:rsidRDefault="00F721D4">
            <w:pPr>
              <w:rPr>
                <w:sz w:val="20"/>
                <w:szCs w:val="20"/>
              </w:rPr>
            </w:pPr>
            <w:r>
              <w:rPr>
                <w:sz w:val="20"/>
                <w:szCs w:val="20"/>
              </w:rPr>
              <w:t>IMPORTANT</w:t>
            </w:r>
          </w:p>
        </w:tc>
      </w:tr>
      <w:tr w:rsidR="002D58E4" w14:paraId="514BB94D"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330C6EA" w14:textId="77777777" w:rsidR="002D58E4" w:rsidRDefault="00F721D4">
            <w:pPr>
              <w:rPr>
                <w:sz w:val="20"/>
                <w:szCs w:val="20"/>
              </w:rPr>
            </w:pPr>
            <w:r>
              <w:rPr>
                <w:b/>
                <w:sz w:val="20"/>
                <w:szCs w:val="20"/>
              </w:rPr>
              <w:lastRenderedPageBreak/>
              <w:t>Gastrointestinal Adverse Events</w:t>
            </w:r>
            <w:r>
              <w:rPr>
                <w:sz w:val="20"/>
                <w:szCs w:val="20"/>
              </w:rPr>
              <w:t xml:space="preserve"> </w:t>
            </w:r>
          </w:p>
        </w:tc>
      </w:tr>
      <w:tr w:rsidR="002D58E4" w14:paraId="6B9C750E" w14:textId="77777777" w:rsidTr="00E70FE5">
        <w:tc>
          <w:tcPr>
            <w:tcW w:w="723" w:type="dxa"/>
            <w:tcBorders>
              <w:top w:val="single" w:sz="6" w:space="0" w:color="000000"/>
              <w:left w:val="single" w:sz="6" w:space="0" w:color="000000"/>
              <w:bottom w:val="single" w:sz="6" w:space="0" w:color="000000"/>
              <w:right w:val="single" w:sz="6" w:space="0" w:color="000000"/>
            </w:tcBorders>
          </w:tcPr>
          <w:p w14:paraId="6110A4F3"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5694E048"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286D1A7A"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7C9D7882" w14:textId="77777777" w:rsidR="002D58E4" w:rsidRDefault="00F721D4">
            <w:pPr>
              <w:rPr>
                <w:sz w:val="20"/>
                <w:szCs w:val="20"/>
              </w:rPr>
            </w:pPr>
            <w:r>
              <w:rPr>
                <w:sz w:val="20"/>
                <w:szCs w:val="20"/>
              </w:rPr>
              <w:t xml:space="preserve">serious </w:t>
            </w:r>
            <w:r>
              <w:rPr>
                <w:sz w:val="20"/>
                <w:szCs w:val="20"/>
                <w:vertAlign w:val="superscript"/>
              </w:rPr>
              <w:t>g</w:t>
            </w:r>
          </w:p>
        </w:tc>
        <w:tc>
          <w:tcPr>
            <w:tcW w:w="1119" w:type="dxa"/>
            <w:tcBorders>
              <w:top w:val="single" w:sz="6" w:space="0" w:color="000000"/>
              <w:left w:val="single" w:sz="6" w:space="0" w:color="000000"/>
              <w:bottom w:val="single" w:sz="6" w:space="0" w:color="000000"/>
              <w:right w:val="single" w:sz="6" w:space="0" w:color="000000"/>
            </w:tcBorders>
          </w:tcPr>
          <w:p w14:paraId="40250A4A"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808847C" w14:textId="77777777" w:rsidR="002D58E4" w:rsidRDefault="00F721D4">
            <w:pPr>
              <w:rPr>
                <w:sz w:val="20"/>
                <w:szCs w:val="20"/>
              </w:rPr>
            </w:pPr>
            <w:r>
              <w:rPr>
                <w:sz w:val="20"/>
                <w:szCs w:val="20"/>
              </w:rPr>
              <w:t xml:space="preserve">serious </w:t>
            </w:r>
            <w:r>
              <w:rPr>
                <w:vertAlign w:val="superscript"/>
              </w:rPr>
              <w:t>f</w:t>
            </w:r>
          </w:p>
        </w:tc>
        <w:tc>
          <w:tcPr>
            <w:tcW w:w="1319" w:type="dxa"/>
            <w:tcBorders>
              <w:top w:val="single" w:sz="6" w:space="0" w:color="000000"/>
              <w:left w:val="single" w:sz="6" w:space="0" w:color="000000"/>
              <w:bottom w:val="single" w:sz="6" w:space="0" w:color="000000"/>
              <w:right w:val="single" w:sz="6" w:space="0" w:color="000000"/>
            </w:tcBorders>
          </w:tcPr>
          <w:p w14:paraId="29CF6D74"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15A6BDE8" w14:textId="77777777" w:rsidR="002D58E4" w:rsidRDefault="00F721D4">
            <w:pPr>
              <w:jc w:val="center"/>
              <w:rPr>
                <w:sz w:val="20"/>
                <w:szCs w:val="20"/>
              </w:rPr>
            </w:pPr>
            <w:r>
              <w:rPr>
                <w:sz w:val="20"/>
                <w:szCs w:val="20"/>
              </w:rPr>
              <w:t xml:space="preserve">23/182 (12.6%) </w:t>
            </w:r>
          </w:p>
        </w:tc>
        <w:tc>
          <w:tcPr>
            <w:tcW w:w="1113" w:type="dxa"/>
            <w:tcBorders>
              <w:top w:val="single" w:sz="6" w:space="0" w:color="000000"/>
              <w:left w:val="single" w:sz="6" w:space="0" w:color="000000"/>
              <w:bottom w:val="single" w:sz="6" w:space="0" w:color="000000"/>
              <w:right w:val="single" w:sz="6" w:space="0" w:color="000000"/>
            </w:tcBorders>
          </w:tcPr>
          <w:p w14:paraId="38D01AB0" w14:textId="77777777" w:rsidR="002D58E4" w:rsidRDefault="00F721D4">
            <w:pPr>
              <w:jc w:val="center"/>
              <w:rPr>
                <w:sz w:val="20"/>
                <w:szCs w:val="20"/>
              </w:rPr>
            </w:pPr>
            <w:r>
              <w:rPr>
                <w:sz w:val="20"/>
                <w:szCs w:val="20"/>
              </w:rPr>
              <w:t xml:space="preserve">16/173 (9.2%) </w:t>
            </w:r>
          </w:p>
        </w:tc>
        <w:tc>
          <w:tcPr>
            <w:tcW w:w="1290" w:type="dxa"/>
            <w:tcBorders>
              <w:top w:val="single" w:sz="6" w:space="0" w:color="000000"/>
              <w:left w:val="single" w:sz="6" w:space="0" w:color="000000"/>
              <w:bottom w:val="single" w:sz="6" w:space="0" w:color="000000"/>
              <w:right w:val="single" w:sz="6" w:space="0" w:color="000000"/>
            </w:tcBorders>
          </w:tcPr>
          <w:p w14:paraId="229CAEA0" w14:textId="77777777" w:rsidR="002D58E4" w:rsidRDefault="00F721D4">
            <w:pPr>
              <w:jc w:val="center"/>
              <w:rPr>
                <w:sz w:val="20"/>
                <w:szCs w:val="20"/>
              </w:rPr>
            </w:pPr>
            <w:r>
              <w:rPr>
                <w:sz w:val="20"/>
                <w:szCs w:val="20"/>
              </w:rPr>
              <w:t>RR 1.37</w:t>
            </w:r>
            <w:r>
              <w:rPr>
                <w:sz w:val="20"/>
                <w:szCs w:val="20"/>
              </w:rPr>
              <w:br/>
              <w:t xml:space="preserve">(0.54 to 3.49) </w:t>
            </w:r>
          </w:p>
        </w:tc>
        <w:tc>
          <w:tcPr>
            <w:tcW w:w="2061" w:type="dxa"/>
            <w:tcBorders>
              <w:top w:val="single" w:sz="6" w:space="0" w:color="000000"/>
              <w:left w:val="single" w:sz="6" w:space="0" w:color="000000"/>
              <w:bottom w:val="single" w:sz="6" w:space="0" w:color="000000"/>
              <w:right w:val="single" w:sz="6" w:space="0" w:color="000000"/>
            </w:tcBorders>
          </w:tcPr>
          <w:p w14:paraId="6FE3FE0C" w14:textId="77777777" w:rsidR="002D58E4" w:rsidRDefault="00F721D4">
            <w:pPr>
              <w:jc w:val="center"/>
              <w:rPr>
                <w:sz w:val="20"/>
                <w:szCs w:val="20"/>
              </w:rPr>
            </w:pPr>
            <w:r>
              <w:rPr>
                <w:sz w:val="20"/>
                <w:szCs w:val="20"/>
              </w:rPr>
              <w:t>34 more per 1,000</w:t>
            </w:r>
            <w:r>
              <w:rPr>
                <w:sz w:val="20"/>
                <w:szCs w:val="20"/>
              </w:rPr>
              <w:br/>
              <w:t xml:space="preserve">(from 43 fewer to 230 more) </w:t>
            </w:r>
          </w:p>
        </w:tc>
        <w:tc>
          <w:tcPr>
            <w:tcW w:w="1080" w:type="dxa"/>
            <w:tcBorders>
              <w:top w:val="single" w:sz="6" w:space="0" w:color="000000"/>
              <w:left w:val="single" w:sz="6" w:space="0" w:color="000000"/>
              <w:bottom w:val="single" w:sz="6" w:space="0" w:color="000000"/>
              <w:right w:val="single" w:sz="6" w:space="0" w:color="000000"/>
            </w:tcBorders>
          </w:tcPr>
          <w:p w14:paraId="18960EF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197" w:type="dxa"/>
            <w:tcBorders>
              <w:top w:val="single" w:sz="6" w:space="0" w:color="000000"/>
              <w:left w:val="single" w:sz="6" w:space="0" w:color="000000"/>
              <w:bottom w:val="single" w:sz="6" w:space="0" w:color="000000"/>
              <w:right w:val="single" w:sz="6" w:space="0" w:color="000000"/>
            </w:tcBorders>
          </w:tcPr>
          <w:p w14:paraId="4FC8F644" w14:textId="77777777" w:rsidR="002D58E4" w:rsidRDefault="00F721D4">
            <w:pPr>
              <w:rPr>
                <w:sz w:val="20"/>
                <w:szCs w:val="20"/>
              </w:rPr>
            </w:pPr>
            <w:r>
              <w:rPr>
                <w:sz w:val="20"/>
                <w:szCs w:val="20"/>
              </w:rPr>
              <w:t xml:space="preserve">IMPORTANT </w:t>
            </w:r>
          </w:p>
        </w:tc>
      </w:tr>
      <w:tr w:rsidR="002D58E4" w14:paraId="737554D3"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C437891" w14:textId="77777777" w:rsidR="002D58E4" w:rsidRDefault="00F721D4">
            <w:pPr>
              <w:rPr>
                <w:sz w:val="20"/>
                <w:szCs w:val="20"/>
              </w:rPr>
            </w:pPr>
            <w:r>
              <w:rPr>
                <w:b/>
                <w:sz w:val="20"/>
                <w:szCs w:val="20"/>
              </w:rPr>
              <w:t>Allergic Reaction</w:t>
            </w:r>
            <w:r>
              <w:rPr>
                <w:sz w:val="20"/>
                <w:szCs w:val="20"/>
              </w:rPr>
              <w:t xml:space="preserve"> </w:t>
            </w:r>
          </w:p>
        </w:tc>
      </w:tr>
      <w:tr w:rsidR="002D58E4" w14:paraId="3E787072" w14:textId="77777777" w:rsidTr="00E70FE5">
        <w:tc>
          <w:tcPr>
            <w:tcW w:w="723" w:type="dxa"/>
            <w:tcBorders>
              <w:top w:val="single" w:sz="6" w:space="0" w:color="000000"/>
              <w:left w:val="single" w:sz="6" w:space="0" w:color="000000"/>
              <w:bottom w:val="single" w:sz="6" w:space="0" w:color="000000"/>
              <w:right w:val="single" w:sz="6" w:space="0" w:color="000000"/>
            </w:tcBorders>
          </w:tcPr>
          <w:p w14:paraId="7744101F"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092B5DA4"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5FB4111A"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1A00F8F3" w14:textId="77777777" w:rsidR="002D58E4" w:rsidRDefault="00F721D4">
            <w:pPr>
              <w:rPr>
                <w:sz w:val="20"/>
                <w:szCs w:val="20"/>
              </w:rPr>
            </w:pPr>
            <w:r>
              <w:rPr>
                <w:sz w:val="20"/>
                <w:szCs w:val="20"/>
              </w:rPr>
              <w:t xml:space="preserve">not serious </w:t>
            </w:r>
          </w:p>
        </w:tc>
        <w:tc>
          <w:tcPr>
            <w:tcW w:w="1119" w:type="dxa"/>
            <w:tcBorders>
              <w:top w:val="single" w:sz="6" w:space="0" w:color="000000"/>
              <w:left w:val="single" w:sz="6" w:space="0" w:color="000000"/>
              <w:bottom w:val="single" w:sz="6" w:space="0" w:color="000000"/>
              <w:right w:val="single" w:sz="6" w:space="0" w:color="000000"/>
            </w:tcBorders>
          </w:tcPr>
          <w:p w14:paraId="325B4856"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72F2DEB6" w14:textId="77777777" w:rsidR="002D58E4" w:rsidRDefault="00F721D4">
            <w:pPr>
              <w:rPr>
                <w:sz w:val="20"/>
                <w:szCs w:val="20"/>
              </w:rPr>
            </w:pPr>
            <w:r>
              <w:rPr>
                <w:sz w:val="20"/>
                <w:szCs w:val="20"/>
              </w:rPr>
              <w:t xml:space="preserve"> serious</w:t>
            </w:r>
            <w:r>
              <w:rPr>
                <w:sz w:val="20"/>
                <w:szCs w:val="20"/>
                <w:vertAlign w:val="superscript"/>
              </w:rPr>
              <w:t xml:space="preserve"> h</w:t>
            </w:r>
          </w:p>
        </w:tc>
        <w:tc>
          <w:tcPr>
            <w:tcW w:w="1319" w:type="dxa"/>
            <w:tcBorders>
              <w:top w:val="single" w:sz="6" w:space="0" w:color="000000"/>
              <w:left w:val="single" w:sz="6" w:space="0" w:color="000000"/>
              <w:bottom w:val="single" w:sz="6" w:space="0" w:color="000000"/>
              <w:right w:val="single" w:sz="6" w:space="0" w:color="000000"/>
            </w:tcBorders>
          </w:tcPr>
          <w:p w14:paraId="6A56D34B"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1FF4C2BC" w14:textId="77777777" w:rsidR="002D58E4" w:rsidRDefault="00F721D4">
            <w:pPr>
              <w:jc w:val="center"/>
              <w:rPr>
                <w:sz w:val="20"/>
                <w:szCs w:val="20"/>
              </w:rPr>
            </w:pPr>
            <w:r>
              <w:rPr>
                <w:sz w:val="20"/>
                <w:szCs w:val="20"/>
              </w:rPr>
              <w:t xml:space="preserve">4/182 </w:t>
            </w:r>
          </w:p>
          <w:p w14:paraId="0BDF5BA6" w14:textId="77777777" w:rsidR="002D58E4" w:rsidRDefault="00F721D4">
            <w:pPr>
              <w:jc w:val="center"/>
              <w:rPr>
                <w:sz w:val="20"/>
                <w:szCs w:val="20"/>
              </w:rPr>
            </w:pPr>
            <w:r>
              <w:rPr>
                <w:sz w:val="20"/>
                <w:szCs w:val="20"/>
              </w:rPr>
              <w:t xml:space="preserve">(2.2%) </w:t>
            </w:r>
          </w:p>
        </w:tc>
        <w:tc>
          <w:tcPr>
            <w:tcW w:w="1113" w:type="dxa"/>
            <w:tcBorders>
              <w:top w:val="single" w:sz="6" w:space="0" w:color="000000"/>
              <w:left w:val="single" w:sz="6" w:space="0" w:color="000000"/>
              <w:bottom w:val="single" w:sz="6" w:space="0" w:color="000000"/>
              <w:right w:val="single" w:sz="6" w:space="0" w:color="000000"/>
            </w:tcBorders>
          </w:tcPr>
          <w:p w14:paraId="12CBAF5F" w14:textId="77777777" w:rsidR="002D58E4" w:rsidRDefault="00F721D4">
            <w:pPr>
              <w:jc w:val="center"/>
              <w:rPr>
                <w:sz w:val="20"/>
                <w:szCs w:val="20"/>
              </w:rPr>
            </w:pPr>
            <w:r>
              <w:rPr>
                <w:sz w:val="20"/>
                <w:szCs w:val="20"/>
              </w:rPr>
              <w:t xml:space="preserve">20/173 (11.6%) </w:t>
            </w:r>
          </w:p>
        </w:tc>
        <w:tc>
          <w:tcPr>
            <w:tcW w:w="1290" w:type="dxa"/>
            <w:tcBorders>
              <w:top w:val="single" w:sz="6" w:space="0" w:color="000000"/>
              <w:left w:val="single" w:sz="6" w:space="0" w:color="000000"/>
              <w:bottom w:val="single" w:sz="6" w:space="0" w:color="000000"/>
              <w:right w:val="single" w:sz="6" w:space="0" w:color="000000"/>
            </w:tcBorders>
          </w:tcPr>
          <w:p w14:paraId="2B138E9A" w14:textId="77777777" w:rsidR="002D58E4" w:rsidRDefault="00F721D4">
            <w:pPr>
              <w:jc w:val="center"/>
              <w:rPr>
                <w:b/>
                <w:sz w:val="20"/>
                <w:szCs w:val="20"/>
              </w:rPr>
            </w:pPr>
            <w:r>
              <w:rPr>
                <w:b/>
                <w:sz w:val="20"/>
                <w:szCs w:val="20"/>
              </w:rPr>
              <w:t>RR 0.19</w:t>
            </w:r>
            <w:r>
              <w:rPr>
                <w:b/>
                <w:sz w:val="20"/>
                <w:szCs w:val="20"/>
              </w:rPr>
              <w:br/>
              <w:t xml:space="preserve">(0.07 to 0.55) </w:t>
            </w:r>
          </w:p>
        </w:tc>
        <w:tc>
          <w:tcPr>
            <w:tcW w:w="2061" w:type="dxa"/>
            <w:tcBorders>
              <w:top w:val="single" w:sz="6" w:space="0" w:color="000000"/>
              <w:left w:val="single" w:sz="6" w:space="0" w:color="000000"/>
              <w:bottom w:val="single" w:sz="6" w:space="0" w:color="000000"/>
              <w:right w:val="single" w:sz="6" w:space="0" w:color="000000"/>
            </w:tcBorders>
          </w:tcPr>
          <w:p w14:paraId="2852818A" w14:textId="77777777" w:rsidR="002D58E4" w:rsidRDefault="00F721D4">
            <w:pPr>
              <w:jc w:val="center"/>
              <w:rPr>
                <w:b/>
                <w:sz w:val="20"/>
                <w:szCs w:val="20"/>
              </w:rPr>
            </w:pPr>
            <w:r>
              <w:rPr>
                <w:b/>
                <w:sz w:val="20"/>
                <w:szCs w:val="20"/>
              </w:rPr>
              <w:t>94 fewer per 1,000</w:t>
            </w:r>
            <w:r>
              <w:rPr>
                <w:b/>
                <w:sz w:val="20"/>
                <w:szCs w:val="20"/>
              </w:rPr>
              <w:br/>
              <w:t xml:space="preserve">(from 146 fewer to 42 fewer) </w:t>
            </w:r>
          </w:p>
        </w:tc>
        <w:tc>
          <w:tcPr>
            <w:tcW w:w="1080" w:type="dxa"/>
            <w:tcBorders>
              <w:top w:val="single" w:sz="6" w:space="0" w:color="000000"/>
              <w:left w:val="single" w:sz="6" w:space="0" w:color="000000"/>
              <w:bottom w:val="single" w:sz="6" w:space="0" w:color="000000"/>
              <w:right w:val="single" w:sz="6" w:space="0" w:color="000000"/>
            </w:tcBorders>
          </w:tcPr>
          <w:p w14:paraId="00404B9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97" w:type="dxa"/>
            <w:tcBorders>
              <w:top w:val="single" w:sz="6" w:space="0" w:color="000000"/>
              <w:left w:val="single" w:sz="6" w:space="0" w:color="000000"/>
              <w:bottom w:val="single" w:sz="6" w:space="0" w:color="000000"/>
              <w:right w:val="single" w:sz="6" w:space="0" w:color="000000"/>
            </w:tcBorders>
          </w:tcPr>
          <w:p w14:paraId="3DA001F9" w14:textId="77777777" w:rsidR="002D58E4" w:rsidRDefault="00F721D4">
            <w:pPr>
              <w:rPr>
                <w:sz w:val="20"/>
                <w:szCs w:val="20"/>
              </w:rPr>
            </w:pPr>
            <w:r>
              <w:rPr>
                <w:sz w:val="20"/>
                <w:szCs w:val="20"/>
              </w:rPr>
              <w:t>IMPORTANT</w:t>
            </w:r>
          </w:p>
        </w:tc>
      </w:tr>
      <w:tr w:rsidR="002D58E4" w14:paraId="6C51A20F"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D7E961D" w14:textId="77777777" w:rsidR="002D58E4" w:rsidRDefault="00F721D4">
            <w:pPr>
              <w:rPr>
                <w:sz w:val="20"/>
                <w:szCs w:val="20"/>
              </w:rPr>
            </w:pPr>
            <w:r>
              <w:rPr>
                <w:b/>
                <w:sz w:val="20"/>
                <w:szCs w:val="20"/>
              </w:rPr>
              <w:t>Jarisch-Herxheimer Reaction</w:t>
            </w:r>
            <w:r>
              <w:rPr>
                <w:sz w:val="20"/>
                <w:szCs w:val="20"/>
              </w:rPr>
              <w:t xml:space="preserve"> </w:t>
            </w:r>
          </w:p>
        </w:tc>
      </w:tr>
      <w:tr w:rsidR="002D58E4" w14:paraId="39CEE680" w14:textId="77777777" w:rsidTr="00E70FE5">
        <w:tc>
          <w:tcPr>
            <w:tcW w:w="723" w:type="dxa"/>
            <w:tcBorders>
              <w:top w:val="single" w:sz="6" w:space="0" w:color="000000"/>
              <w:left w:val="single" w:sz="6" w:space="0" w:color="000000"/>
              <w:bottom w:val="single" w:sz="6" w:space="0" w:color="000000"/>
              <w:right w:val="single" w:sz="6" w:space="0" w:color="000000"/>
            </w:tcBorders>
          </w:tcPr>
          <w:p w14:paraId="12C31D40"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6245E735"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2EC3B69E"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2541A77D" w14:textId="77777777" w:rsidR="002D58E4" w:rsidRDefault="00F721D4">
            <w:pPr>
              <w:rPr>
                <w:sz w:val="20"/>
                <w:szCs w:val="20"/>
              </w:rPr>
            </w:pPr>
            <w:r>
              <w:rPr>
                <w:sz w:val="20"/>
                <w:szCs w:val="20"/>
              </w:rPr>
              <w:t xml:space="preserve">serious </w:t>
            </w:r>
            <w:r>
              <w:rPr>
                <w:sz w:val="20"/>
                <w:szCs w:val="20"/>
                <w:vertAlign w:val="superscript"/>
              </w:rPr>
              <w:t>i</w:t>
            </w:r>
          </w:p>
        </w:tc>
        <w:tc>
          <w:tcPr>
            <w:tcW w:w="1119" w:type="dxa"/>
            <w:tcBorders>
              <w:top w:val="single" w:sz="6" w:space="0" w:color="000000"/>
              <w:left w:val="single" w:sz="6" w:space="0" w:color="000000"/>
              <w:bottom w:val="single" w:sz="6" w:space="0" w:color="000000"/>
              <w:right w:val="single" w:sz="6" w:space="0" w:color="000000"/>
            </w:tcBorders>
          </w:tcPr>
          <w:p w14:paraId="62C322F3" w14:textId="77777777" w:rsidR="002D58E4" w:rsidRDefault="00F721D4">
            <w:pPr>
              <w:rPr>
                <w:sz w:val="20"/>
                <w:szCs w:val="20"/>
              </w:rPr>
            </w:pPr>
            <w:r>
              <w:rPr>
                <w:sz w:val="20"/>
                <w:szCs w:val="20"/>
              </w:rPr>
              <w:t>not serious</w:t>
            </w:r>
          </w:p>
        </w:tc>
        <w:tc>
          <w:tcPr>
            <w:tcW w:w="1071" w:type="dxa"/>
            <w:tcBorders>
              <w:top w:val="single" w:sz="6" w:space="0" w:color="000000"/>
              <w:left w:val="single" w:sz="6" w:space="0" w:color="000000"/>
              <w:bottom w:val="single" w:sz="6" w:space="0" w:color="000000"/>
              <w:right w:val="single" w:sz="6" w:space="0" w:color="000000"/>
            </w:tcBorders>
          </w:tcPr>
          <w:p w14:paraId="7320BB7C" w14:textId="77777777" w:rsidR="002D58E4" w:rsidRDefault="00F721D4">
            <w:pPr>
              <w:rPr>
                <w:sz w:val="20"/>
                <w:szCs w:val="20"/>
              </w:rPr>
            </w:pPr>
            <w:r>
              <w:rPr>
                <w:sz w:val="20"/>
                <w:szCs w:val="20"/>
              </w:rPr>
              <w:t xml:space="preserve">serious </w:t>
            </w:r>
            <w:r>
              <w:rPr>
                <w:sz w:val="20"/>
                <w:szCs w:val="20"/>
                <w:vertAlign w:val="superscript"/>
              </w:rPr>
              <w:t>f</w:t>
            </w:r>
          </w:p>
        </w:tc>
        <w:tc>
          <w:tcPr>
            <w:tcW w:w="1319" w:type="dxa"/>
            <w:tcBorders>
              <w:top w:val="single" w:sz="6" w:space="0" w:color="000000"/>
              <w:left w:val="single" w:sz="6" w:space="0" w:color="000000"/>
              <w:bottom w:val="single" w:sz="6" w:space="0" w:color="000000"/>
              <w:right w:val="single" w:sz="6" w:space="0" w:color="000000"/>
            </w:tcBorders>
          </w:tcPr>
          <w:p w14:paraId="49C583E0"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3960FDB8" w14:textId="77777777" w:rsidR="002D58E4" w:rsidRDefault="00F721D4">
            <w:pPr>
              <w:jc w:val="center"/>
              <w:rPr>
                <w:sz w:val="20"/>
                <w:szCs w:val="20"/>
              </w:rPr>
            </w:pPr>
            <w:r>
              <w:rPr>
                <w:sz w:val="20"/>
                <w:szCs w:val="20"/>
              </w:rPr>
              <w:t xml:space="preserve">32/182 (17.6%) </w:t>
            </w:r>
          </w:p>
        </w:tc>
        <w:tc>
          <w:tcPr>
            <w:tcW w:w="1113" w:type="dxa"/>
            <w:tcBorders>
              <w:top w:val="single" w:sz="6" w:space="0" w:color="000000"/>
              <w:left w:val="single" w:sz="6" w:space="0" w:color="000000"/>
              <w:bottom w:val="single" w:sz="6" w:space="0" w:color="000000"/>
              <w:right w:val="single" w:sz="6" w:space="0" w:color="000000"/>
            </w:tcBorders>
          </w:tcPr>
          <w:p w14:paraId="58F25169" w14:textId="77777777" w:rsidR="002D58E4" w:rsidRDefault="00F721D4">
            <w:pPr>
              <w:jc w:val="center"/>
              <w:rPr>
                <w:sz w:val="20"/>
                <w:szCs w:val="20"/>
              </w:rPr>
            </w:pPr>
            <w:r>
              <w:rPr>
                <w:sz w:val="20"/>
                <w:szCs w:val="20"/>
              </w:rPr>
              <w:t xml:space="preserve">18/173 (10.4%) </w:t>
            </w:r>
          </w:p>
        </w:tc>
        <w:tc>
          <w:tcPr>
            <w:tcW w:w="1290" w:type="dxa"/>
            <w:tcBorders>
              <w:top w:val="single" w:sz="6" w:space="0" w:color="000000"/>
              <w:left w:val="single" w:sz="6" w:space="0" w:color="000000"/>
              <w:bottom w:val="single" w:sz="6" w:space="0" w:color="000000"/>
              <w:right w:val="single" w:sz="6" w:space="0" w:color="000000"/>
            </w:tcBorders>
          </w:tcPr>
          <w:p w14:paraId="632A139E" w14:textId="77777777" w:rsidR="002D58E4" w:rsidRDefault="00F721D4">
            <w:pPr>
              <w:jc w:val="center"/>
              <w:rPr>
                <w:sz w:val="20"/>
                <w:szCs w:val="20"/>
              </w:rPr>
            </w:pPr>
            <w:r>
              <w:rPr>
                <w:sz w:val="20"/>
                <w:szCs w:val="20"/>
              </w:rPr>
              <w:t>RR 1.80</w:t>
            </w:r>
            <w:r>
              <w:rPr>
                <w:sz w:val="20"/>
                <w:szCs w:val="20"/>
              </w:rPr>
              <w:br/>
              <w:t xml:space="preserve">(0.55 to 5.92) </w:t>
            </w:r>
          </w:p>
        </w:tc>
        <w:tc>
          <w:tcPr>
            <w:tcW w:w="2061" w:type="dxa"/>
            <w:tcBorders>
              <w:top w:val="single" w:sz="6" w:space="0" w:color="000000"/>
              <w:left w:val="single" w:sz="6" w:space="0" w:color="000000"/>
              <w:bottom w:val="single" w:sz="6" w:space="0" w:color="000000"/>
              <w:right w:val="single" w:sz="6" w:space="0" w:color="000000"/>
            </w:tcBorders>
          </w:tcPr>
          <w:p w14:paraId="603F7282" w14:textId="77777777" w:rsidR="002D58E4" w:rsidRDefault="00F721D4">
            <w:pPr>
              <w:jc w:val="center"/>
              <w:rPr>
                <w:sz w:val="20"/>
                <w:szCs w:val="20"/>
              </w:rPr>
            </w:pPr>
            <w:r>
              <w:rPr>
                <w:sz w:val="20"/>
                <w:szCs w:val="20"/>
              </w:rPr>
              <w:t>83 more per 1,000</w:t>
            </w:r>
            <w:r>
              <w:rPr>
                <w:sz w:val="20"/>
                <w:szCs w:val="20"/>
              </w:rPr>
              <w:br/>
              <w:t xml:space="preserve">(from 47 fewer to 512 more) </w:t>
            </w:r>
          </w:p>
        </w:tc>
        <w:tc>
          <w:tcPr>
            <w:tcW w:w="1080" w:type="dxa"/>
            <w:tcBorders>
              <w:top w:val="single" w:sz="6" w:space="0" w:color="000000"/>
              <w:left w:val="single" w:sz="6" w:space="0" w:color="000000"/>
              <w:bottom w:val="single" w:sz="6" w:space="0" w:color="000000"/>
              <w:right w:val="single" w:sz="6" w:space="0" w:color="000000"/>
            </w:tcBorders>
          </w:tcPr>
          <w:p w14:paraId="7D18C475"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197" w:type="dxa"/>
            <w:tcBorders>
              <w:top w:val="single" w:sz="6" w:space="0" w:color="000000"/>
              <w:left w:val="single" w:sz="6" w:space="0" w:color="000000"/>
              <w:bottom w:val="single" w:sz="6" w:space="0" w:color="000000"/>
              <w:right w:val="single" w:sz="6" w:space="0" w:color="000000"/>
            </w:tcBorders>
          </w:tcPr>
          <w:p w14:paraId="3A35B789" w14:textId="77777777" w:rsidR="002D58E4" w:rsidRDefault="00F721D4">
            <w:pPr>
              <w:rPr>
                <w:sz w:val="20"/>
                <w:szCs w:val="20"/>
              </w:rPr>
            </w:pPr>
            <w:r>
              <w:rPr>
                <w:sz w:val="20"/>
                <w:szCs w:val="20"/>
              </w:rPr>
              <w:t xml:space="preserve">IMPORTANT  </w:t>
            </w:r>
          </w:p>
        </w:tc>
      </w:tr>
      <w:tr w:rsidR="002D58E4" w14:paraId="72D188EC" w14:textId="77777777" w:rsidTr="00E70FE5">
        <w:tc>
          <w:tcPr>
            <w:tcW w:w="1461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16D8D46" w14:textId="77777777" w:rsidR="002D58E4" w:rsidRDefault="00F721D4">
            <w:pPr>
              <w:rPr>
                <w:sz w:val="20"/>
                <w:szCs w:val="20"/>
              </w:rPr>
            </w:pPr>
            <w:r>
              <w:rPr>
                <w:b/>
                <w:sz w:val="20"/>
                <w:szCs w:val="20"/>
              </w:rPr>
              <w:t xml:space="preserve">Diarrhea </w:t>
            </w:r>
          </w:p>
        </w:tc>
      </w:tr>
      <w:tr w:rsidR="002D58E4" w14:paraId="30DFA09D" w14:textId="77777777" w:rsidTr="00E70FE5">
        <w:tc>
          <w:tcPr>
            <w:tcW w:w="723" w:type="dxa"/>
            <w:tcBorders>
              <w:top w:val="single" w:sz="6" w:space="0" w:color="000000"/>
              <w:left w:val="single" w:sz="6" w:space="0" w:color="000000"/>
              <w:bottom w:val="single" w:sz="6" w:space="0" w:color="000000"/>
              <w:right w:val="single" w:sz="6" w:space="0" w:color="000000"/>
            </w:tcBorders>
          </w:tcPr>
          <w:p w14:paraId="6B7EC569" w14:textId="77777777" w:rsidR="002D58E4" w:rsidRDefault="00F721D4">
            <w:pPr>
              <w:rPr>
                <w:sz w:val="20"/>
                <w:szCs w:val="20"/>
              </w:rPr>
            </w:pPr>
            <w:r>
              <w:rPr>
                <w:sz w:val="20"/>
                <w:szCs w:val="20"/>
              </w:rPr>
              <w:t xml:space="preserve">2 </w:t>
            </w:r>
          </w:p>
        </w:tc>
        <w:tc>
          <w:tcPr>
            <w:tcW w:w="688" w:type="dxa"/>
            <w:tcBorders>
              <w:top w:val="single" w:sz="6" w:space="0" w:color="000000"/>
              <w:left w:val="single" w:sz="6" w:space="0" w:color="000000"/>
              <w:bottom w:val="single" w:sz="6" w:space="0" w:color="000000"/>
              <w:right w:val="single" w:sz="6" w:space="0" w:color="000000"/>
            </w:tcBorders>
          </w:tcPr>
          <w:p w14:paraId="79683AC3" w14:textId="77777777" w:rsidR="002D58E4" w:rsidRDefault="00F721D4">
            <w:pPr>
              <w:rPr>
                <w:sz w:val="20"/>
                <w:szCs w:val="20"/>
              </w:rPr>
            </w:pPr>
            <w:r>
              <w:rPr>
                <w:sz w:val="20"/>
                <w:szCs w:val="20"/>
              </w:rPr>
              <w:t xml:space="preserve">RCT </w:t>
            </w:r>
            <w:r>
              <w:rPr>
                <w:sz w:val="20"/>
                <w:szCs w:val="20"/>
                <w:vertAlign w:val="superscript"/>
              </w:rPr>
              <w:t>1,2</w:t>
            </w:r>
          </w:p>
        </w:tc>
        <w:tc>
          <w:tcPr>
            <w:tcW w:w="865" w:type="dxa"/>
            <w:tcBorders>
              <w:top w:val="single" w:sz="6" w:space="0" w:color="000000"/>
              <w:left w:val="single" w:sz="6" w:space="0" w:color="000000"/>
              <w:bottom w:val="single" w:sz="6" w:space="0" w:color="000000"/>
              <w:right w:val="single" w:sz="6" w:space="0" w:color="000000"/>
            </w:tcBorders>
          </w:tcPr>
          <w:p w14:paraId="2EA34127" w14:textId="77777777" w:rsidR="002D58E4" w:rsidRDefault="00F721D4">
            <w:pPr>
              <w:rPr>
                <w:sz w:val="20"/>
                <w:szCs w:val="20"/>
              </w:rPr>
            </w:pPr>
            <w:r>
              <w:rPr>
                <w:sz w:val="20"/>
                <w:szCs w:val="20"/>
              </w:rPr>
              <w:t xml:space="preserve">serious </w:t>
            </w:r>
            <w:r>
              <w:rPr>
                <w:sz w:val="20"/>
                <w:szCs w:val="20"/>
                <w:vertAlign w:val="superscript"/>
              </w:rPr>
              <w:t>a</w:t>
            </w:r>
          </w:p>
        </w:tc>
        <w:tc>
          <w:tcPr>
            <w:tcW w:w="977" w:type="dxa"/>
            <w:tcBorders>
              <w:top w:val="single" w:sz="6" w:space="0" w:color="000000"/>
              <w:left w:val="single" w:sz="6" w:space="0" w:color="000000"/>
              <w:bottom w:val="single" w:sz="6" w:space="0" w:color="000000"/>
              <w:right w:val="single" w:sz="6" w:space="0" w:color="000000"/>
            </w:tcBorders>
          </w:tcPr>
          <w:p w14:paraId="480747D0" w14:textId="77777777" w:rsidR="002D58E4" w:rsidRDefault="00F721D4">
            <w:pPr>
              <w:rPr>
                <w:sz w:val="20"/>
                <w:szCs w:val="20"/>
              </w:rPr>
            </w:pPr>
            <w:r>
              <w:rPr>
                <w:sz w:val="20"/>
                <w:szCs w:val="20"/>
              </w:rPr>
              <w:t xml:space="preserve">not serious </w:t>
            </w:r>
          </w:p>
        </w:tc>
        <w:tc>
          <w:tcPr>
            <w:tcW w:w="1119" w:type="dxa"/>
            <w:tcBorders>
              <w:top w:val="single" w:sz="6" w:space="0" w:color="000000"/>
              <w:left w:val="single" w:sz="6" w:space="0" w:color="000000"/>
              <w:bottom w:val="single" w:sz="6" w:space="0" w:color="000000"/>
              <w:right w:val="single" w:sz="6" w:space="0" w:color="000000"/>
            </w:tcBorders>
          </w:tcPr>
          <w:p w14:paraId="5A5ADDD0"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AFC59F0" w14:textId="77777777" w:rsidR="002D58E4" w:rsidRDefault="00F721D4">
            <w:pPr>
              <w:rPr>
                <w:sz w:val="20"/>
                <w:szCs w:val="20"/>
              </w:rPr>
            </w:pPr>
            <w:r>
              <w:rPr>
                <w:sz w:val="20"/>
                <w:szCs w:val="20"/>
              </w:rPr>
              <w:t xml:space="preserve">serious </w:t>
            </w:r>
            <w:r>
              <w:rPr>
                <w:sz w:val="20"/>
                <w:szCs w:val="20"/>
                <w:vertAlign w:val="superscript"/>
              </w:rPr>
              <w:t>h</w:t>
            </w:r>
          </w:p>
        </w:tc>
        <w:tc>
          <w:tcPr>
            <w:tcW w:w="1319" w:type="dxa"/>
            <w:tcBorders>
              <w:top w:val="single" w:sz="6" w:space="0" w:color="000000"/>
              <w:left w:val="single" w:sz="6" w:space="0" w:color="000000"/>
              <w:bottom w:val="single" w:sz="6" w:space="0" w:color="000000"/>
              <w:right w:val="single" w:sz="6" w:space="0" w:color="000000"/>
            </w:tcBorders>
          </w:tcPr>
          <w:p w14:paraId="6E13432C" w14:textId="77777777" w:rsidR="002D58E4" w:rsidRDefault="00F721D4">
            <w:pPr>
              <w:rPr>
                <w:sz w:val="20"/>
                <w:szCs w:val="20"/>
              </w:rPr>
            </w:pPr>
            <w:r>
              <w:rPr>
                <w:sz w:val="20"/>
                <w:szCs w:val="20"/>
              </w:rPr>
              <w:t xml:space="preserve">none </w:t>
            </w:r>
          </w:p>
        </w:tc>
        <w:tc>
          <w:tcPr>
            <w:tcW w:w="1107" w:type="dxa"/>
            <w:tcBorders>
              <w:top w:val="single" w:sz="6" w:space="0" w:color="000000"/>
              <w:left w:val="single" w:sz="6" w:space="0" w:color="000000"/>
              <w:bottom w:val="single" w:sz="6" w:space="0" w:color="000000"/>
              <w:right w:val="single" w:sz="6" w:space="0" w:color="000000"/>
            </w:tcBorders>
          </w:tcPr>
          <w:p w14:paraId="7404D9E7" w14:textId="77777777" w:rsidR="002D58E4" w:rsidRDefault="00F721D4">
            <w:pPr>
              <w:jc w:val="center"/>
              <w:rPr>
                <w:sz w:val="20"/>
                <w:szCs w:val="20"/>
              </w:rPr>
            </w:pPr>
            <w:r>
              <w:rPr>
                <w:sz w:val="20"/>
                <w:szCs w:val="20"/>
              </w:rPr>
              <w:t xml:space="preserve">18/163 (11.0%) </w:t>
            </w:r>
          </w:p>
        </w:tc>
        <w:tc>
          <w:tcPr>
            <w:tcW w:w="1113" w:type="dxa"/>
            <w:tcBorders>
              <w:top w:val="single" w:sz="6" w:space="0" w:color="000000"/>
              <w:left w:val="single" w:sz="6" w:space="0" w:color="000000"/>
              <w:bottom w:val="single" w:sz="6" w:space="0" w:color="000000"/>
              <w:right w:val="single" w:sz="6" w:space="0" w:color="000000"/>
            </w:tcBorders>
          </w:tcPr>
          <w:p w14:paraId="79287AE9" w14:textId="77777777" w:rsidR="002D58E4" w:rsidRDefault="00F721D4">
            <w:pPr>
              <w:jc w:val="center"/>
              <w:rPr>
                <w:sz w:val="20"/>
                <w:szCs w:val="20"/>
              </w:rPr>
            </w:pPr>
            <w:r>
              <w:rPr>
                <w:sz w:val="20"/>
                <w:szCs w:val="20"/>
              </w:rPr>
              <w:t xml:space="preserve">4/154 </w:t>
            </w:r>
          </w:p>
          <w:p w14:paraId="21003090" w14:textId="77777777" w:rsidR="002D58E4" w:rsidRDefault="00F721D4">
            <w:pPr>
              <w:jc w:val="center"/>
              <w:rPr>
                <w:sz w:val="20"/>
                <w:szCs w:val="20"/>
              </w:rPr>
            </w:pPr>
            <w:r>
              <w:rPr>
                <w:sz w:val="20"/>
                <w:szCs w:val="20"/>
              </w:rPr>
              <w:t xml:space="preserve">(2.6%) </w:t>
            </w:r>
          </w:p>
        </w:tc>
        <w:tc>
          <w:tcPr>
            <w:tcW w:w="1290" w:type="dxa"/>
            <w:tcBorders>
              <w:top w:val="single" w:sz="6" w:space="0" w:color="000000"/>
              <w:left w:val="single" w:sz="6" w:space="0" w:color="000000"/>
              <w:bottom w:val="single" w:sz="6" w:space="0" w:color="000000"/>
              <w:right w:val="single" w:sz="6" w:space="0" w:color="000000"/>
            </w:tcBorders>
          </w:tcPr>
          <w:p w14:paraId="1F53B7CA" w14:textId="77777777" w:rsidR="002D58E4" w:rsidRDefault="00F721D4">
            <w:pPr>
              <w:jc w:val="center"/>
              <w:rPr>
                <w:b/>
                <w:sz w:val="20"/>
                <w:szCs w:val="20"/>
              </w:rPr>
            </w:pPr>
            <w:r>
              <w:rPr>
                <w:b/>
                <w:sz w:val="20"/>
                <w:szCs w:val="20"/>
              </w:rPr>
              <w:t>RR 3.58</w:t>
            </w:r>
            <w:r>
              <w:rPr>
                <w:b/>
                <w:sz w:val="20"/>
                <w:szCs w:val="20"/>
              </w:rPr>
              <w:br/>
              <w:t xml:space="preserve">(1.32 to 9.70) </w:t>
            </w:r>
          </w:p>
        </w:tc>
        <w:tc>
          <w:tcPr>
            <w:tcW w:w="2061" w:type="dxa"/>
            <w:tcBorders>
              <w:top w:val="single" w:sz="6" w:space="0" w:color="000000"/>
              <w:left w:val="single" w:sz="6" w:space="0" w:color="000000"/>
              <w:bottom w:val="single" w:sz="6" w:space="0" w:color="000000"/>
              <w:right w:val="single" w:sz="6" w:space="0" w:color="000000"/>
            </w:tcBorders>
          </w:tcPr>
          <w:p w14:paraId="69BE920D" w14:textId="77777777" w:rsidR="002D58E4" w:rsidRDefault="00F721D4">
            <w:pPr>
              <w:jc w:val="center"/>
              <w:rPr>
                <w:b/>
                <w:sz w:val="20"/>
                <w:szCs w:val="20"/>
              </w:rPr>
            </w:pPr>
            <w:r>
              <w:rPr>
                <w:b/>
                <w:sz w:val="20"/>
                <w:szCs w:val="20"/>
              </w:rPr>
              <w:t>67 more per 1,000</w:t>
            </w:r>
            <w:r>
              <w:rPr>
                <w:b/>
                <w:sz w:val="20"/>
                <w:szCs w:val="20"/>
              </w:rPr>
              <w:br/>
              <w:t xml:space="preserve">(from 8 more to 226 more) </w:t>
            </w:r>
          </w:p>
        </w:tc>
        <w:tc>
          <w:tcPr>
            <w:tcW w:w="1080" w:type="dxa"/>
            <w:tcBorders>
              <w:top w:val="single" w:sz="6" w:space="0" w:color="000000"/>
              <w:left w:val="single" w:sz="6" w:space="0" w:color="000000"/>
              <w:bottom w:val="single" w:sz="6" w:space="0" w:color="000000"/>
              <w:right w:val="single" w:sz="6" w:space="0" w:color="000000"/>
            </w:tcBorders>
          </w:tcPr>
          <w:p w14:paraId="4EF5FC7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97" w:type="dxa"/>
            <w:tcBorders>
              <w:top w:val="single" w:sz="6" w:space="0" w:color="000000"/>
              <w:left w:val="single" w:sz="6" w:space="0" w:color="000000"/>
              <w:bottom w:val="single" w:sz="6" w:space="0" w:color="000000"/>
              <w:right w:val="single" w:sz="6" w:space="0" w:color="000000"/>
            </w:tcBorders>
          </w:tcPr>
          <w:p w14:paraId="4DE3A28C" w14:textId="77777777" w:rsidR="002D58E4" w:rsidRDefault="00F721D4">
            <w:pPr>
              <w:rPr>
                <w:sz w:val="20"/>
                <w:szCs w:val="20"/>
              </w:rPr>
            </w:pPr>
            <w:r>
              <w:rPr>
                <w:sz w:val="20"/>
                <w:szCs w:val="20"/>
              </w:rPr>
              <w:t>IMPORTANT</w:t>
            </w:r>
          </w:p>
        </w:tc>
      </w:tr>
    </w:tbl>
    <w:p w14:paraId="0E217304" w14:textId="77777777" w:rsidR="002D58E4" w:rsidRDefault="00F721D4">
      <w:pP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34461AF9" w14:textId="77777777" w:rsidR="002D58E4" w:rsidRDefault="00F721D4">
      <w:pPr>
        <w:spacing w:before="280" w:after="0"/>
        <w:rPr>
          <w:b/>
          <w:color w:val="000000"/>
          <w:sz w:val="24"/>
          <w:szCs w:val="24"/>
        </w:rPr>
      </w:pPr>
      <w:r>
        <w:rPr>
          <w:b/>
          <w:color w:val="000000"/>
          <w:sz w:val="24"/>
          <w:szCs w:val="24"/>
        </w:rPr>
        <w:t>Explanations</w:t>
      </w:r>
    </w:p>
    <w:p w14:paraId="008596FB" w14:textId="380065C7" w:rsidR="002D58E4" w:rsidRDefault="00F721D4">
      <w:pPr>
        <w:spacing w:after="0" w:line="240" w:lineRule="auto"/>
        <w:rPr>
          <w:color w:val="000000"/>
          <w:sz w:val="18"/>
          <w:szCs w:val="18"/>
        </w:rPr>
      </w:pPr>
      <w:r>
        <w:rPr>
          <w:color w:val="000000"/>
          <w:sz w:val="18"/>
          <w:szCs w:val="18"/>
        </w:rPr>
        <w:t>a. Both studies received high risk of bias ratings due inadequate reporting of withdrawals and to the high number of participants excluded from final analysis due to enrollment violation, deviation from protocol (adherence pro), adverse events or lost-to-follow-up  (Luger 1995: early endpoint : 38 of 232 randomized patients and late endpoint: 62 of 180 remaining patients; Nadelman 1992: 1-month endpoint : 17 of 123 randomized patients and 12-month endpoint: 10 of 96 remaining patients) and due to potentially inadequate blinding (for self-reported outcomes).</w:t>
      </w:r>
    </w:p>
    <w:p w14:paraId="1FFDCA77" w14:textId="77777777" w:rsidR="002D58E4" w:rsidRDefault="00F721D4">
      <w:pPr>
        <w:spacing w:after="0" w:line="240" w:lineRule="auto"/>
        <w:rPr>
          <w:sz w:val="18"/>
          <w:szCs w:val="18"/>
        </w:rPr>
      </w:pPr>
      <w:r>
        <w:rPr>
          <w:color w:val="000000"/>
          <w:sz w:val="18"/>
          <w:szCs w:val="18"/>
        </w:rPr>
        <w:t>b</w:t>
      </w:r>
      <w:r>
        <w:rPr>
          <w:sz w:val="18"/>
          <w:szCs w:val="18"/>
        </w:rPr>
        <w:t>. I</w:t>
      </w:r>
      <w:r>
        <w:rPr>
          <w:sz w:val="18"/>
          <w:szCs w:val="18"/>
          <w:vertAlign w:val="superscript"/>
        </w:rPr>
        <w:t>2</w:t>
      </w:r>
      <w:r>
        <w:rPr>
          <w:sz w:val="18"/>
          <w:szCs w:val="18"/>
        </w:rPr>
        <w:t xml:space="preserve">= 68% </w:t>
      </w:r>
    </w:p>
    <w:p w14:paraId="664D024F" w14:textId="77777777" w:rsidR="002D58E4" w:rsidRDefault="00F721D4">
      <w:pPr>
        <w:spacing w:after="0" w:line="240" w:lineRule="auto"/>
        <w:rPr>
          <w:sz w:val="18"/>
          <w:szCs w:val="18"/>
        </w:rPr>
      </w:pPr>
      <w:r>
        <w:rPr>
          <w:sz w:val="18"/>
          <w:szCs w:val="18"/>
        </w:rPr>
        <w:t xml:space="preserve">c. Based on an inferiority margin of 15%, not rated down for imprecision. </w:t>
      </w:r>
    </w:p>
    <w:p w14:paraId="335E7631" w14:textId="77777777" w:rsidR="002D58E4" w:rsidRDefault="00F721D4">
      <w:pPr>
        <w:spacing w:after="0" w:line="240" w:lineRule="auto"/>
        <w:rPr>
          <w:sz w:val="18"/>
          <w:szCs w:val="18"/>
        </w:rPr>
      </w:pPr>
      <w:r>
        <w:rPr>
          <w:sz w:val="18"/>
          <w:szCs w:val="18"/>
        </w:rPr>
        <w:t>d. Due to low event rate.</w:t>
      </w:r>
    </w:p>
    <w:p w14:paraId="49E8FDBB" w14:textId="77777777" w:rsidR="002D58E4" w:rsidRDefault="00F721D4">
      <w:pPr>
        <w:spacing w:after="0" w:line="240" w:lineRule="auto"/>
        <w:rPr>
          <w:sz w:val="18"/>
          <w:szCs w:val="18"/>
        </w:rPr>
      </w:pPr>
      <w:r>
        <w:rPr>
          <w:sz w:val="18"/>
          <w:szCs w:val="18"/>
        </w:rPr>
        <w:t>e. Due to zero event in one arm, unable to estimate relative risk.</w:t>
      </w:r>
    </w:p>
    <w:p w14:paraId="0A5AD72A" w14:textId="77777777" w:rsidR="002D58E4" w:rsidRDefault="00F721D4">
      <w:pPr>
        <w:spacing w:after="0" w:line="240" w:lineRule="auto"/>
        <w:rPr>
          <w:sz w:val="18"/>
          <w:szCs w:val="18"/>
        </w:rPr>
      </w:pPr>
      <w:r>
        <w:rPr>
          <w:sz w:val="18"/>
          <w:szCs w:val="18"/>
        </w:rPr>
        <w:t>f. 95% CI is wide and/or crossing the null value.</w:t>
      </w:r>
    </w:p>
    <w:p w14:paraId="59FD0CC5" w14:textId="77777777" w:rsidR="002D58E4" w:rsidRDefault="00F721D4">
      <w:pPr>
        <w:spacing w:after="0" w:line="240" w:lineRule="auto"/>
        <w:rPr>
          <w:sz w:val="18"/>
          <w:szCs w:val="18"/>
        </w:rPr>
      </w:pPr>
      <w:r>
        <w:rPr>
          <w:sz w:val="18"/>
          <w:szCs w:val="18"/>
        </w:rPr>
        <w:t>g. I</w:t>
      </w:r>
      <w:r>
        <w:rPr>
          <w:sz w:val="18"/>
          <w:szCs w:val="18"/>
          <w:vertAlign w:val="superscript"/>
        </w:rPr>
        <w:t>2</w:t>
      </w:r>
      <w:r>
        <w:rPr>
          <w:sz w:val="18"/>
          <w:szCs w:val="18"/>
        </w:rPr>
        <w:t>= 56%</w:t>
      </w:r>
    </w:p>
    <w:p w14:paraId="5BDFC957" w14:textId="77777777" w:rsidR="002D58E4" w:rsidRDefault="00F721D4">
      <w:pPr>
        <w:spacing w:after="0" w:line="240" w:lineRule="auto"/>
        <w:rPr>
          <w:sz w:val="18"/>
          <w:szCs w:val="18"/>
        </w:rPr>
      </w:pPr>
      <w:r>
        <w:rPr>
          <w:sz w:val="18"/>
          <w:szCs w:val="18"/>
        </w:rPr>
        <w:t>h. Fragility due to low event rate.</w:t>
      </w:r>
    </w:p>
    <w:p w14:paraId="333BFE66" w14:textId="77777777" w:rsidR="002D58E4" w:rsidRDefault="00F721D4">
      <w:pPr>
        <w:spacing w:after="0" w:line="240" w:lineRule="auto"/>
        <w:rPr>
          <w:sz w:val="18"/>
          <w:szCs w:val="18"/>
        </w:rPr>
      </w:pPr>
      <w:r>
        <w:rPr>
          <w:sz w:val="18"/>
          <w:szCs w:val="18"/>
        </w:rPr>
        <w:t>i. I</w:t>
      </w:r>
      <w:r>
        <w:rPr>
          <w:sz w:val="18"/>
          <w:szCs w:val="18"/>
          <w:vertAlign w:val="superscript"/>
        </w:rPr>
        <w:t>2</w:t>
      </w:r>
      <w:r>
        <w:rPr>
          <w:sz w:val="18"/>
          <w:szCs w:val="18"/>
        </w:rPr>
        <w:t xml:space="preserve">= 76% </w:t>
      </w:r>
      <w:r>
        <w:br w:type="page"/>
      </w:r>
    </w:p>
    <w:p w14:paraId="1F9B6932" w14:textId="77777777" w:rsidR="002D58E4" w:rsidRDefault="00F721D4">
      <w:pPr>
        <w:spacing w:after="0"/>
        <w:rPr>
          <w:b/>
          <w:sz w:val="24"/>
          <w:szCs w:val="24"/>
          <w:u w:val="single"/>
        </w:rPr>
      </w:pPr>
      <w:r>
        <w:rPr>
          <w:b/>
          <w:sz w:val="24"/>
          <w:szCs w:val="24"/>
          <w:u w:val="single"/>
        </w:rPr>
        <w:lastRenderedPageBreak/>
        <w:t>AZITHROMYCIN vs. PENICILLIN V</w:t>
      </w:r>
    </w:p>
    <w:p w14:paraId="281F6A59" w14:textId="77777777" w:rsidR="002D58E4" w:rsidRDefault="00F721D4">
      <w:pPr>
        <w:spacing w:after="0"/>
        <w:rPr>
          <w:b/>
        </w:rPr>
      </w:pPr>
      <w:r>
        <w:rPr>
          <w:b/>
        </w:rPr>
        <w:t>In patients with erythema migrans, should Azithromycin be used over Penicillin V?</w:t>
      </w:r>
    </w:p>
    <w:p w14:paraId="583FA13C" w14:textId="77777777" w:rsidR="002D58E4" w:rsidRDefault="00F721D4">
      <w:pPr>
        <w:spacing w:after="0"/>
      </w:pPr>
      <w:r>
        <w:t xml:space="preserve">P: In patients with erythema migrans </w:t>
      </w:r>
    </w:p>
    <w:p w14:paraId="1C1970E3" w14:textId="77777777" w:rsidR="002D58E4" w:rsidRDefault="00F721D4">
      <w:pPr>
        <w:spacing w:after="0"/>
      </w:pPr>
      <w:r>
        <w:t>I: Azithromycin</w:t>
      </w:r>
    </w:p>
    <w:p w14:paraId="170C7222" w14:textId="77777777" w:rsidR="002D58E4" w:rsidRDefault="00F721D4">
      <w:pPr>
        <w:spacing w:after="0"/>
      </w:pPr>
      <w:r>
        <w:t>C: Penicillin V</w:t>
      </w:r>
    </w:p>
    <w:p w14:paraId="538348A2" w14:textId="77777777" w:rsidR="002D58E4" w:rsidRDefault="002D58E4">
      <w:pPr>
        <w:spacing w:after="0"/>
        <w:rPr>
          <w:b/>
          <w:color w:val="000000"/>
          <w:sz w:val="18"/>
          <w:szCs w:val="18"/>
        </w:rPr>
      </w:pPr>
    </w:p>
    <w:p w14:paraId="6E865739" w14:textId="77777777" w:rsidR="002D58E4" w:rsidRDefault="00F721D4" w:rsidP="00DE33EC">
      <w:pPr>
        <w:spacing w:line="240" w:lineRule="auto"/>
        <w:rPr>
          <w:color w:val="000000"/>
          <w:sz w:val="18"/>
          <w:szCs w:val="18"/>
        </w:rPr>
      </w:pPr>
      <w:r>
        <w:rPr>
          <w:b/>
          <w:color w:val="000000"/>
          <w:sz w:val="18"/>
          <w:szCs w:val="18"/>
        </w:rPr>
        <w:t>Bibliography</w:t>
      </w:r>
      <w:r>
        <w:rPr>
          <w:color w:val="000000"/>
          <w:sz w:val="18"/>
          <w:szCs w:val="18"/>
        </w:rPr>
        <w:t xml:space="preserve">: 1. Arnez, et al. (PEDIATRIC STUDY) Wien Klin Wochenschr. </w:t>
      </w:r>
      <w:r w:rsidRPr="00E40AB3">
        <w:rPr>
          <w:color w:val="000000"/>
          <w:sz w:val="18"/>
          <w:szCs w:val="18"/>
          <w:lang w:val="fr-CA"/>
        </w:rPr>
        <w:t xml:space="preserve">2002 Jul 31;114(13-14):498-504; 2. </w:t>
      </w:r>
      <w:r w:rsidRPr="002914A2">
        <w:rPr>
          <w:color w:val="000000"/>
          <w:sz w:val="18"/>
          <w:szCs w:val="18"/>
          <w:lang w:val="fr-CA"/>
        </w:rPr>
        <w:t xml:space="preserve">Weber et al. Infection. 1993 Nov-Dec;21(6):367-72; 3. Strle, et al. </w:t>
      </w:r>
      <w:r>
        <w:rPr>
          <w:color w:val="000000"/>
          <w:sz w:val="18"/>
          <w:szCs w:val="18"/>
        </w:rPr>
        <w:t>J Antimicrob Chemother. 1992 Oct;30(4):543-50.</w:t>
      </w:r>
    </w:p>
    <w:tbl>
      <w:tblPr>
        <w:tblStyle w:val="af4"/>
        <w:tblW w:w="14602"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8"/>
        <w:gridCol w:w="827"/>
        <w:gridCol w:w="991"/>
        <w:gridCol w:w="991"/>
        <w:gridCol w:w="1116"/>
        <w:gridCol w:w="1072"/>
        <w:gridCol w:w="938"/>
        <w:gridCol w:w="1188"/>
        <w:gridCol w:w="1043"/>
        <w:gridCol w:w="9"/>
        <w:gridCol w:w="1510"/>
        <w:gridCol w:w="1778"/>
        <w:gridCol w:w="1170"/>
        <w:gridCol w:w="9"/>
        <w:gridCol w:w="1232"/>
      </w:tblGrid>
      <w:tr w:rsidR="00FF641A" w14:paraId="27AE8F7F" w14:textId="77777777" w:rsidTr="00E70FE5">
        <w:tc>
          <w:tcPr>
            <w:tcW w:w="6663"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32CD26E2" w14:textId="77777777" w:rsidR="00FF641A" w:rsidRDefault="00FF641A">
            <w:pPr>
              <w:jc w:val="center"/>
              <w:rPr>
                <w:b/>
                <w:sz w:val="20"/>
                <w:szCs w:val="20"/>
              </w:rPr>
            </w:pPr>
            <w:r>
              <w:rPr>
                <w:b/>
                <w:sz w:val="20"/>
                <w:szCs w:val="20"/>
              </w:rPr>
              <w:t>Certainty assessment</w:t>
            </w:r>
          </w:p>
        </w:tc>
        <w:tc>
          <w:tcPr>
            <w:tcW w:w="2231"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03598BA4" w14:textId="77777777" w:rsidR="00FF641A" w:rsidRDefault="00FF641A">
            <w:pPr>
              <w:jc w:val="center"/>
              <w:rPr>
                <w:b/>
                <w:sz w:val="20"/>
                <w:szCs w:val="20"/>
              </w:rPr>
            </w:pPr>
            <w:r>
              <w:rPr>
                <w:b/>
                <w:sz w:val="18"/>
                <w:szCs w:val="18"/>
              </w:rPr>
              <w:t>№ of Events/№ of patients</w:t>
            </w:r>
          </w:p>
        </w:tc>
        <w:tc>
          <w:tcPr>
            <w:tcW w:w="3297" w:type="dxa"/>
            <w:gridSpan w:val="3"/>
            <w:tcBorders>
              <w:top w:val="single" w:sz="6" w:space="0" w:color="000000"/>
              <w:left w:val="single" w:sz="6" w:space="0" w:color="000000"/>
              <w:bottom w:val="single" w:sz="6" w:space="0" w:color="000000"/>
              <w:right w:val="single" w:sz="6" w:space="0" w:color="000000"/>
            </w:tcBorders>
            <w:shd w:val="clear" w:color="auto" w:fill="DDDDDD"/>
            <w:vAlign w:val="center"/>
          </w:tcPr>
          <w:p w14:paraId="1D4EB665" w14:textId="77777777" w:rsidR="00FF641A" w:rsidRDefault="00FF641A">
            <w:pPr>
              <w:jc w:val="center"/>
              <w:rPr>
                <w:b/>
                <w:sz w:val="20"/>
                <w:szCs w:val="20"/>
              </w:rPr>
            </w:pPr>
            <w:r>
              <w:rPr>
                <w:b/>
                <w:sz w:val="20"/>
                <w:szCs w:val="20"/>
              </w:rPr>
              <w:t>Effect</w:t>
            </w:r>
          </w:p>
        </w:tc>
        <w:tc>
          <w:tcPr>
            <w:tcW w:w="1179" w:type="dxa"/>
            <w:gridSpan w:val="2"/>
            <w:tcBorders>
              <w:top w:val="single" w:sz="6" w:space="0" w:color="000000"/>
              <w:left w:val="single" w:sz="6" w:space="0" w:color="000000"/>
              <w:right w:val="single" w:sz="6" w:space="0" w:color="000000"/>
            </w:tcBorders>
            <w:shd w:val="clear" w:color="auto" w:fill="DDDDDD"/>
            <w:vAlign w:val="center"/>
          </w:tcPr>
          <w:p w14:paraId="6FB813C9" w14:textId="77777777" w:rsidR="00FF641A" w:rsidRDefault="00FF641A">
            <w:pPr>
              <w:jc w:val="center"/>
              <w:rPr>
                <w:b/>
                <w:sz w:val="20"/>
                <w:szCs w:val="20"/>
              </w:rPr>
            </w:pPr>
            <w:r>
              <w:rPr>
                <w:b/>
                <w:sz w:val="20"/>
                <w:szCs w:val="20"/>
              </w:rPr>
              <w:t>Certainty</w:t>
            </w:r>
          </w:p>
        </w:tc>
        <w:tc>
          <w:tcPr>
            <w:tcW w:w="1231" w:type="dxa"/>
            <w:tcBorders>
              <w:top w:val="single" w:sz="6" w:space="0" w:color="000000"/>
              <w:left w:val="single" w:sz="6" w:space="0" w:color="000000"/>
              <w:right w:val="single" w:sz="6" w:space="0" w:color="000000"/>
            </w:tcBorders>
            <w:shd w:val="clear" w:color="auto" w:fill="DDDDDD"/>
            <w:vAlign w:val="center"/>
          </w:tcPr>
          <w:p w14:paraId="03DBF0B9" w14:textId="77777777" w:rsidR="00FF641A" w:rsidRDefault="00FF641A">
            <w:pPr>
              <w:jc w:val="center"/>
              <w:rPr>
                <w:b/>
                <w:sz w:val="20"/>
                <w:szCs w:val="20"/>
              </w:rPr>
            </w:pPr>
            <w:r>
              <w:rPr>
                <w:b/>
                <w:sz w:val="20"/>
                <w:szCs w:val="20"/>
              </w:rPr>
              <w:t>Importance</w:t>
            </w:r>
          </w:p>
        </w:tc>
      </w:tr>
      <w:tr w:rsidR="00FF641A" w14:paraId="6DD75DE1" w14:textId="77777777" w:rsidTr="00E70FE5">
        <w:tc>
          <w:tcPr>
            <w:tcW w:w="72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EC3CE01" w14:textId="77777777" w:rsidR="00FF641A" w:rsidRDefault="00FF641A">
            <w:pPr>
              <w:jc w:val="center"/>
              <w:rPr>
                <w:b/>
                <w:sz w:val="20"/>
                <w:szCs w:val="20"/>
              </w:rPr>
            </w:pPr>
            <w:r>
              <w:rPr>
                <w:b/>
                <w:sz w:val="20"/>
                <w:szCs w:val="20"/>
              </w:rPr>
              <w:t>№ of studies</w:t>
            </w:r>
          </w:p>
        </w:tc>
        <w:tc>
          <w:tcPr>
            <w:tcW w:w="82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8C2F884" w14:textId="77777777" w:rsidR="00FF641A" w:rsidRDefault="00FF641A">
            <w:pPr>
              <w:jc w:val="center"/>
              <w:rPr>
                <w:b/>
                <w:sz w:val="20"/>
                <w:szCs w:val="20"/>
              </w:rPr>
            </w:pPr>
            <w:r>
              <w:rPr>
                <w:b/>
                <w:sz w:val="20"/>
                <w:szCs w:val="20"/>
              </w:rPr>
              <w:t>Study design</w:t>
            </w:r>
          </w:p>
        </w:tc>
        <w:tc>
          <w:tcPr>
            <w:tcW w:w="99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AC4DF69" w14:textId="77777777" w:rsidR="00FF641A" w:rsidRDefault="00FF641A">
            <w:pPr>
              <w:jc w:val="center"/>
              <w:rPr>
                <w:b/>
                <w:sz w:val="20"/>
                <w:szCs w:val="20"/>
              </w:rPr>
            </w:pPr>
            <w:r>
              <w:rPr>
                <w:b/>
                <w:sz w:val="20"/>
                <w:szCs w:val="20"/>
              </w:rPr>
              <w:t>Risk of bias</w:t>
            </w:r>
          </w:p>
        </w:tc>
        <w:tc>
          <w:tcPr>
            <w:tcW w:w="99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DBB7180" w14:textId="77777777" w:rsidR="00FF641A" w:rsidRDefault="00FF641A">
            <w:pPr>
              <w:jc w:val="center"/>
              <w:rPr>
                <w:b/>
                <w:sz w:val="20"/>
                <w:szCs w:val="20"/>
              </w:rPr>
            </w:pPr>
            <w:r>
              <w:rPr>
                <w:b/>
                <w:sz w:val="20"/>
                <w:szCs w:val="20"/>
              </w:rPr>
              <w:t>Inconsistency</w:t>
            </w:r>
          </w:p>
        </w:tc>
        <w:tc>
          <w:tcPr>
            <w:tcW w:w="111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AFDF15F" w14:textId="77777777" w:rsidR="00FF641A" w:rsidRDefault="00FF641A">
            <w:pPr>
              <w:jc w:val="center"/>
              <w:rPr>
                <w:b/>
                <w:sz w:val="20"/>
                <w:szCs w:val="20"/>
              </w:rPr>
            </w:pPr>
            <w:r>
              <w:rPr>
                <w:b/>
                <w:sz w:val="20"/>
                <w:szCs w:val="20"/>
              </w:rPr>
              <w:t>Indirectness</w:t>
            </w:r>
          </w:p>
        </w:tc>
        <w:tc>
          <w:tcPr>
            <w:tcW w:w="1072"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B21BA5B" w14:textId="77777777" w:rsidR="00FF641A" w:rsidRDefault="00FF641A">
            <w:pPr>
              <w:jc w:val="center"/>
              <w:rPr>
                <w:b/>
                <w:sz w:val="20"/>
                <w:szCs w:val="20"/>
              </w:rPr>
            </w:pPr>
            <w:r>
              <w:rPr>
                <w:b/>
                <w:sz w:val="20"/>
                <w:szCs w:val="20"/>
              </w:rPr>
              <w:t>Imprecision</w:t>
            </w:r>
          </w:p>
        </w:tc>
        <w:tc>
          <w:tcPr>
            <w:tcW w:w="93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7F6FDD0" w14:textId="77777777" w:rsidR="00FF641A" w:rsidRDefault="00FF641A">
            <w:pPr>
              <w:jc w:val="center"/>
              <w:rPr>
                <w:b/>
                <w:sz w:val="20"/>
                <w:szCs w:val="20"/>
              </w:rPr>
            </w:pPr>
            <w:r>
              <w:rPr>
                <w:b/>
                <w:sz w:val="20"/>
                <w:szCs w:val="20"/>
              </w:rPr>
              <w:t>Other considerations</w:t>
            </w:r>
          </w:p>
        </w:tc>
        <w:tc>
          <w:tcPr>
            <w:tcW w:w="118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973FCB6" w14:textId="77777777" w:rsidR="00FF641A" w:rsidRDefault="00FF641A">
            <w:pPr>
              <w:jc w:val="center"/>
              <w:rPr>
                <w:b/>
                <w:sz w:val="20"/>
                <w:szCs w:val="20"/>
              </w:rPr>
            </w:pPr>
            <w:r>
              <w:rPr>
                <w:b/>
                <w:sz w:val="20"/>
                <w:szCs w:val="20"/>
              </w:rPr>
              <w:t>Azithromycin</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1B2BE64" w14:textId="77777777" w:rsidR="00FF641A" w:rsidRDefault="00FF641A">
            <w:pPr>
              <w:jc w:val="center"/>
              <w:rPr>
                <w:b/>
                <w:sz w:val="20"/>
                <w:szCs w:val="20"/>
              </w:rPr>
            </w:pPr>
            <w:r>
              <w:rPr>
                <w:b/>
                <w:sz w:val="20"/>
                <w:szCs w:val="20"/>
              </w:rPr>
              <w:t>Penicillin V</w:t>
            </w:r>
          </w:p>
        </w:tc>
        <w:tc>
          <w:tcPr>
            <w:tcW w:w="1510"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13EC7DC" w14:textId="77777777" w:rsidR="00FF641A" w:rsidRDefault="00FF641A">
            <w:pPr>
              <w:jc w:val="center"/>
              <w:rPr>
                <w:b/>
                <w:sz w:val="20"/>
                <w:szCs w:val="20"/>
              </w:rPr>
            </w:pPr>
            <w:r>
              <w:rPr>
                <w:b/>
                <w:sz w:val="20"/>
                <w:szCs w:val="20"/>
              </w:rPr>
              <w:t>Relative</w:t>
            </w:r>
            <w:r>
              <w:rPr>
                <w:b/>
                <w:sz w:val="20"/>
                <w:szCs w:val="20"/>
              </w:rPr>
              <w:br/>
              <w:t>(95% CI)</w:t>
            </w:r>
          </w:p>
        </w:tc>
        <w:tc>
          <w:tcPr>
            <w:tcW w:w="177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0863257" w14:textId="77777777" w:rsidR="00FF641A" w:rsidRDefault="00FF641A">
            <w:pPr>
              <w:jc w:val="center"/>
              <w:rPr>
                <w:b/>
                <w:sz w:val="20"/>
                <w:szCs w:val="20"/>
              </w:rPr>
            </w:pPr>
            <w:r>
              <w:rPr>
                <w:b/>
                <w:sz w:val="20"/>
                <w:szCs w:val="20"/>
              </w:rPr>
              <w:t>Absolute</w:t>
            </w:r>
            <w:r>
              <w:rPr>
                <w:b/>
                <w:sz w:val="20"/>
                <w:szCs w:val="20"/>
              </w:rPr>
              <w:br/>
              <w:t>(95% CI)</w:t>
            </w:r>
          </w:p>
        </w:tc>
        <w:tc>
          <w:tcPr>
            <w:tcW w:w="1170" w:type="dxa"/>
            <w:tcBorders>
              <w:left w:val="single" w:sz="6" w:space="0" w:color="000000"/>
              <w:bottom w:val="single" w:sz="6" w:space="0" w:color="000000"/>
              <w:right w:val="single" w:sz="6" w:space="0" w:color="000000"/>
            </w:tcBorders>
            <w:shd w:val="clear" w:color="auto" w:fill="DDDDDD"/>
            <w:vAlign w:val="center"/>
          </w:tcPr>
          <w:p w14:paraId="77461143" w14:textId="77777777" w:rsidR="00FF641A" w:rsidRDefault="00FF641A">
            <w:pPr>
              <w:rPr>
                <w:b/>
                <w:sz w:val="20"/>
                <w:szCs w:val="20"/>
              </w:rPr>
            </w:pPr>
          </w:p>
        </w:tc>
        <w:tc>
          <w:tcPr>
            <w:tcW w:w="1240" w:type="dxa"/>
            <w:gridSpan w:val="2"/>
            <w:tcBorders>
              <w:left w:val="single" w:sz="6" w:space="0" w:color="000000"/>
              <w:bottom w:val="single" w:sz="6" w:space="0" w:color="000000"/>
              <w:right w:val="single" w:sz="6" w:space="0" w:color="000000"/>
            </w:tcBorders>
            <w:shd w:val="clear" w:color="auto" w:fill="DDDDDD"/>
            <w:vAlign w:val="center"/>
          </w:tcPr>
          <w:p w14:paraId="5611397D" w14:textId="77777777" w:rsidR="00FF641A" w:rsidRDefault="00FF641A">
            <w:pPr>
              <w:rPr>
                <w:b/>
                <w:sz w:val="20"/>
                <w:szCs w:val="20"/>
              </w:rPr>
            </w:pPr>
          </w:p>
        </w:tc>
      </w:tr>
      <w:tr w:rsidR="002D58E4" w14:paraId="077F787B"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7A396909" w14:textId="77777777" w:rsidR="002D58E4" w:rsidRDefault="00F721D4">
            <w:pPr>
              <w:rPr>
                <w:sz w:val="20"/>
                <w:szCs w:val="20"/>
              </w:rPr>
            </w:pPr>
            <w:r>
              <w:rPr>
                <w:b/>
                <w:sz w:val="20"/>
                <w:szCs w:val="20"/>
              </w:rPr>
              <w:t xml:space="preserve">Resolution of Erythema Migrans </w:t>
            </w:r>
            <w:r>
              <w:rPr>
                <w:sz w:val="20"/>
                <w:szCs w:val="20"/>
              </w:rPr>
              <w:t xml:space="preserve">(at 10 days) </w:t>
            </w:r>
          </w:p>
        </w:tc>
      </w:tr>
      <w:tr w:rsidR="002D58E4" w14:paraId="2FFED8CA" w14:textId="77777777" w:rsidTr="00E70FE5">
        <w:tc>
          <w:tcPr>
            <w:tcW w:w="728" w:type="dxa"/>
            <w:tcBorders>
              <w:top w:val="single" w:sz="6" w:space="0" w:color="000000"/>
              <w:left w:val="single" w:sz="6" w:space="0" w:color="000000"/>
              <w:bottom w:val="single" w:sz="6" w:space="0" w:color="000000"/>
              <w:right w:val="single" w:sz="6" w:space="0" w:color="000000"/>
            </w:tcBorders>
          </w:tcPr>
          <w:p w14:paraId="403DC40D" w14:textId="77777777" w:rsidR="002D58E4" w:rsidRDefault="00F721D4">
            <w:pPr>
              <w:rPr>
                <w:sz w:val="20"/>
                <w:szCs w:val="20"/>
              </w:rPr>
            </w:pPr>
            <w:r>
              <w:rPr>
                <w:sz w:val="20"/>
                <w:szCs w:val="20"/>
              </w:rPr>
              <w:t xml:space="preserve">1 </w:t>
            </w:r>
          </w:p>
        </w:tc>
        <w:tc>
          <w:tcPr>
            <w:tcW w:w="827" w:type="dxa"/>
            <w:tcBorders>
              <w:top w:val="single" w:sz="6" w:space="0" w:color="000000"/>
              <w:left w:val="single" w:sz="6" w:space="0" w:color="000000"/>
              <w:bottom w:val="single" w:sz="6" w:space="0" w:color="000000"/>
              <w:right w:val="single" w:sz="6" w:space="0" w:color="000000"/>
            </w:tcBorders>
          </w:tcPr>
          <w:p w14:paraId="1C96F77F" w14:textId="77777777" w:rsidR="002D58E4" w:rsidRDefault="00F721D4">
            <w:pPr>
              <w:rPr>
                <w:sz w:val="20"/>
                <w:szCs w:val="20"/>
              </w:rPr>
            </w:pPr>
            <w:r>
              <w:rPr>
                <w:sz w:val="20"/>
                <w:szCs w:val="20"/>
              </w:rPr>
              <w:t xml:space="preserve"> RCT </w:t>
            </w:r>
            <w:r>
              <w:rPr>
                <w:sz w:val="20"/>
                <w:szCs w:val="20"/>
                <w:vertAlign w:val="superscript"/>
              </w:rPr>
              <w:t>2</w:t>
            </w:r>
          </w:p>
        </w:tc>
        <w:tc>
          <w:tcPr>
            <w:tcW w:w="991" w:type="dxa"/>
            <w:tcBorders>
              <w:top w:val="single" w:sz="6" w:space="0" w:color="000000"/>
              <w:left w:val="single" w:sz="6" w:space="0" w:color="000000"/>
              <w:bottom w:val="single" w:sz="6" w:space="0" w:color="000000"/>
              <w:right w:val="single" w:sz="6" w:space="0" w:color="000000"/>
            </w:tcBorders>
          </w:tcPr>
          <w:p w14:paraId="66A195A1"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5FF6412A" w14:textId="77777777" w:rsidR="002D58E4" w:rsidRDefault="00F721D4">
            <w:pPr>
              <w:rPr>
                <w:sz w:val="20"/>
                <w:szCs w:val="20"/>
              </w:rPr>
            </w:pPr>
            <w:r>
              <w:rPr>
                <w:sz w:val="20"/>
                <w:szCs w:val="20"/>
              </w:rPr>
              <w:t>not serious</w:t>
            </w:r>
          </w:p>
        </w:tc>
        <w:tc>
          <w:tcPr>
            <w:tcW w:w="1116" w:type="dxa"/>
            <w:tcBorders>
              <w:top w:val="single" w:sz="6" w:space="0" w:color="000000"/>
              <w:left w:val="single" w:sz="6" w:space="0" w:color="000000"/>
              <w:bottom w:val="single" w:sz="6" w:space="0" w:color="000000"/>
              <w:right w:val="single" w:sz="6" w:space="0" w:color="000000"/>
            </w:tcBorders>
          </w:tcPr>
          <w:p w14:paraId="052ED5E2"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70CFE89C" w14:textId="77777777" w:rsidR="002D58E4" w:rsidRDefault="00F721D4">
            <w:pPr>
              <w:rPr>
                <w:sz w:val="20"/>
                <w:szCs w:val="20"/>
              </w:rPr>
            </w:pPr>
            <w:r>
              <w:rPr>
                <w:sz w:val="20"/>
                <w:szCs w:val="20"/>
              </w:rPr>
              <w:t xml:space="preserve">serious </w:t>
            </w:r>
            <w:r>
              <w:rPr>
                <w:sz w:val="20"/>
                <w:szCs w:val="20"/>
                <w:vertAlign w:val="superscript"/>
              </w:rPr>
              <w:t>a</w:t>
            </w:r>
          </w:p>
        </w:tc>
        <w:tc>
          <w:tcPr>
            <w:tcW w:w="938" w:type="dxa"/>
            <w:tcBorders>
              <w:top w:val="single" w:sz="6" w:space="0" w:color="000000"/>
              <w:left w:val="single" w:sz="6" w:space="0" w:color="000000"/>
              <w:bottom w:val="single" w:sz="6" w:space="0" w:color="000000"/>
              <w:right w:val="single" w:sz="6" w:space="0" w:color="000000"/>
            </w:tcBorders>
          </w:tcPr>
          <w:p w14:paraId="731B9AA3"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050843B3" w14:textId="77777777" w:rsidR="002D58E4" w:rsidRDefault="00F721D4">
            <w:pPr>
              <w:jc w:val="center"/>
              <w:rPr>
                <w:sz w:val="20"/>
                <w:szCs w:val="20"/>
              </w:rPr>
            </w:pPr>
            <w:r>
              <w:rPr>
                <w:sz w:val="20"/>
                <w:szCs w:val="20"/>
              </w:rPr>
              <w:t xml:space="preserve">14/32 </w:t>
            </w:r>
          </w:p>
          <w:p w14:paraId="2919CD78" w14:textId="77777777" w:rsidR="002D58E4" w:rsidRDefault="00F721D4">
            <w:pPr>
              <w:jc w:val="center"/>
              <w:rPr>
                <w:sz w:val="20"/>
                <w:szCs w:val="20"/>
              </w:rPr>
            </w:pPr>
            <w:r>
              <w:rPr>
                <w:sz w:val="20"/>
                <w:szCs w:val="20"/>
              </w:rPr>
              <w:t xml:space="preserve">(43.8%) </w:t>
            </w:r>
          </w:p>
        </w:tc>
        <w:tc>
          <w:tcPr>
            <w:tcW w:w="1052" w:type="dxa"/>
            <w:gridSpan w:val="2"/>
            <w:tcBorders>
              <w:top w:val="single" w:sz="6" w:space="0" w:color="000000"/>
              <w:left w:val="single" w:sz="6" w:space="0" w:color="000000"/>
              <w:bottom w:val="single" w:sz="6" w:space="0" w:color="000000"/>
              <w:right w:val="single" w:sz="6" w:space="0" w:color="000000"/>
            </w:tcBorders>
          </w:tcPr>
          <w:p w14:paraId="5DEC4B36" w14:textId="77777777" w:rsidR="002D58E4" w:rsidRDefault="00F721D4">
            <w:pPr>
              <w:jc w:val="center"/>
              <w:rPr>
                <w:sz w:val="20"/>
                <w:szCs w:val="20"/>
              </w:rPr>
            </w:pPr>
            <w:r>
              <w:rPr>
                <w:sz w:val="20"/>
                <w:szCs w:val="20"/>
              </w:rPr>
              <w:t xml:space="preserve">4/33 (12.1%) </w:t>
            </w:r>
          </w:p>
        </w:tc>
        <w:tc>
          <w:tcPr>
            <w:tcW w:w="1510" w:type="dxa"/>
            <w:tcBorders>
              <w:top w:val="single" w:sz="6" w:space="0" w:color="000000"/>
              <w:left w:val="single" w:sz="6" w:space="0" w:color="000000"/>
              <w:bottom w:val="single" w:sz="6" w:space="0" w:color="000000"/>
              <w:right w:val="single" w:sz="6" w:space="0" w:color="000000"/>
            </w:tcBorders>
          </w:tcPr>
          <w:p w14:paraId="4D0E2F8E" w14:textId="77777777" w:rsidR="002D58E4" w:rsidRDefault="00F721D4">
            <w:pPr>
              <w:jc w:val="center"/>
              <w:rPr>
                <w:b/>
                <w:sz w:val="20"/>
                <w:szCs w:val="20"/>
              </w:rPr>
            </w:pPr>
            <w:r>
              <w:rPr>
                <w:b/>
                <w:sz w:val="20"/>
                <w:szCs w:val="20"/>
              </w:rPr>
              <w:t>RR 3.61</w:t>
            </w:r>
            <w:r>
              <w:rPr>
                <w:b/>
                <w:sz w:val="20"/>
                <w:szCs w:val="20"/>
              </w:rPr>
              <w:br/>
              <w:t xml:space="preserve">(1.33 to 9.80) </w:t>
            </w:r>
          </w:p>
        </w:tc>
        <w:tc>
          <w:tcPr>
            <w:tcW w:w="1778" w:type="dxa"/>
            <w:tcBorders>
              <w:top w:val="single" w:sz="6" w:space="0" w:color="000000"/>
              <w:left w:val="single" w:sz="6" w:space="0" w:color="000000"/>
              <w:bottom w:val="single" w:sz="6" w:space="0" w:color="000000"/>
              <w:right w:val="single" w:sz="6" w:space="0" w:color="000000"/>
            </w:tcBorders>
          </w:tcPr>
          <w:p w14:paraId="34434BBB" w14:textId="77777777" w:rsidR="002D58E4" w:rsidRDefault="00F721D4">
            <w:pPr>
              <w:jc w:val="center"/>
              <w:rPr>
                <w:b/>
                <w:sz w:val="20"/>
                <w:szCs w:val="20"/>
              </w:rPr>
            </w:pPr>
            <w:r>
              <w:rPr>
                <w:b/>
                <w:sz w:val="20"/>
                <w:szCs w:val="20"/>
              </w:rPr>
              <w:t>316 more per 1,000</w:t>
            </w:r>
            <w:r>
              <w:rPr>
                <w:b/>
                <w:sz w:val="20"/>
                <w:szCs w:val="20"/>
              </w:rPr>
              <w:br/>
              <w:t xml:space="preserve">(from 112 more to 521 more) </w:t>
            </w:r>
          </w:p>
        </w:tc>
        <w:tc>
          <w:tcPr>
            <w:tcW w:w="1170" w:type="dxa"/>
            <w:tcBorders>
              <w:top w:val="single" w:sz="6" w:space="0" w:color="000000"/>
              <w:left w:val="single" w:sz="6" w:space="0" w:color="000000"/>
              <w:bottom w:val="single" w:sz="6" w:space="0" w:color="000000"/>
              <w:right w:val="single" w:sz="6" w:space="0" w:color="000000"/>
            </w:tcBorders>
          </w:tcPr>
          <w:p w14:paraId="14BD030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40" w:type="dxa"/>
            <w:gridSpan w:val="2"/>
            <w:tcBorders>
              <w:top w:val="single" w:sz="6" w:space="0" w:color="000000"/>
              <w:left w:val="single" w:sz="6" w:space="0" w:color="000000"/>
              <w:bottom w:val="single" w:sz="6" w:space="0" w:color="000000"/>
              <w:right w:val="single" w:sz="6" w:space="0" w:color="000000"/>
            </w:tcBorders>
          </w:tcPr>
          <w:p w14:paraId="322AD374" w14:textId="77777777" w:rsidR="002D58E4" w:rsidRDefault="00F721D4">
            <w:pPr>
              <w:rPr>
                <w:sz w:val="20"/>
                <w:szCs w:val="20"/>
              </w:rPr>
            </w:pPr>
            <w:r>
              <w:rPr>
                <w:sz w:val="20"/>
                <w:szCs w:val="20"/>
              </w:rPr>
              <w:t xml:space="preserve">CRITICAL </w:t>
            </w:r>
          </w:p>
        </w:tc>
      </w:tr>
      <w:tr w:rsidR="002D58E4" w14:paraId="5D64D1D1"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5ECF9A71" w14:textId="77777777" w:rsidR="002D58E4" w:rsidRDefault="00F721D4">
            <w:pPr>
              <w:rPr>
                <w:sz w:val="20"/>
                <w:szCs w:val="20"/>
              </w:rPr>
            </w:pPr>
            <w:r>
              <w:rPr>
                <w:b/>
                <w:sz w:val="20"/>
                <w:szCs w:val="20"/>
              </w:rPr>
              <w:t>Time to Resolution of Erythema Migrans</w:t>
            </w:r>
            <w:r>
              <w:rPr>
                <w:sz w:val="20"/>
                <w:szCs w:val="20"/>
              </w:rPr>
              <w:t xml:space="preserve"> (Days since treatment initiation: Mean times to resolution are shown in the order of reference)</w:t>
            </w:r>
          </w:p>
        </w:tc>
      </w:tr>
      <w:tr w:rsidR="002D58E4" w14:paraId="1803311C" w14:textId="77777777" w:rsidTr="00E70FE5">
        <w:tc>
          <w:tcPr>
            <w:tcW w:w="728" w:type="dxa"/>
            <w:tcBorders>
              <w:top w:val="single" w:sz="6" w:space="0" w:color="000000"/>
              <w:left w:val="single" w:sz="6" w:space="0" w:color="000000"/>
              <w:bottom w:val="single" w:sz="6" w:space="0" w:color="000000"/>
              <w:right w:val="single" w:sz="6" w:space="0" w:color="000000"/>
            </w:tcBorders>
          </w:tcPr>
          <w:p w14:paraId="7FD226EC" w14:textId="77777777" w:rsidR="002D58E4" w:rsidRDefault="00F721D4">
            <w:pPr>
              <w:rPr>
                <w:sz w:val="20"/>
                <w:szCs w:val="20"/>
              </w:rPr>
            </w:pPr>
            <w:r>
              <w:rPr>
                <w:sz w:val="20"/>
                <w:szCs w:val="20"/>
              </w:rPr>
              <w:t xml:space="preserve">2 </w:t>
            </w:r>
          </w:p>
        </w:tc>
        <w:tc>
          <w:tcPr>
            <w:tcW w:w="827" w:type="dxa"/>
            <w:tcBorders>
              <w:top w:val="single" w:sz="6" w:space="0" w:color="000000"/>
              <w:left w:val="single" w:sz="6" w:space="0" w:color="000000"/>
              <w:bottom w:val="single" w:sz="6" w:space="0" w:color="000000"/>
              <w:right w:val="single" w:sz="6" w:space="0" w:color="000000"/>
            </w:tcBorders>
          </w:tcPr>
          <w:p w14:paraId="3C2C306F" w14:textId="77777777" w:rsidR="002D58E4" w:rsidRDefault="00F721D4">
            <w:pPr>
              <w:rPr>
                <w:sz w:val="20"/>
                <w:szCs w:val="20"/>
              </w:rPr>
            </w:pPr>
            <w:r>
              <w:rPr>
                <w:sz w:val="20"/>
                <w:szCs w:val="20"/>
              </w:rPr>
              <w:t xml:space="preserve">RCT </w:t>
            </w:r>
            <w:r>
              <w:rPr>
                <w:sz w:val="20"/>
                <w:szCs w:val="20"/>
                <w:vertAlign w:val="superscript"/>
              </w:rPr>
              <w:t>1,3</w:t>
            </w:r>
          </w:p>
        </w:tc>
        <w:tc>
          <w:tcPr>
            <w:tcW w:w="991" w:type="dxa"/>
            <w:tcBorders>
              <w:top w:val="single" w:sz="6" w:space="0" w:color="000000"/>
              <w:left w:val="single" w:sz="6" w:space="0" w:color="000000"/>
              <w:bottom w:val="single" w:sz="6" w:space="0" w:color="000000"/>
              <w:right w:val="single" w:sz="6" w:space="0" w:color="000000"/>
            </w:tcBorders>
          </w:tcPr>
          <w:p w14:paraId="064AE02E" w14:textId="77777777" w:rsidR="002D58E4" w:rsidRDefault="00F721D4">
            <w:pPr>
              <w:rPr>
                <w:sz w:val="20"/>
                <w:szCs w:val="20"/>
                <w:vertAlign w:val="superscript"/>
              </w:rPr>
            </w:pPr>
            <w:r>
              <w:rPr>
                <w:sz w:val="20"/>
                <w:szCs w:val="20"/>
              </w:rPr>
              <w:t xml:space="preserve">serious </w:t>
            </w:r>
            <w:r>
              <w:rPr>
                <w:sz w:val="20"/>
                <w:szCs w:val="20"/>
                <w:vertAlign w:val="superscript"/>
              </w:rPr>
              <w:t>b</w:t>
            </w:r>
          </w:p>
        </w:tc>
        <w:tc>
          <w:tcPr>
            <w:tcW w:w="991" w:type="dxa"/>
            <w:tcBorders>
              <w:top w:val="single" w:sz="6" w:space="0" w:color="000000"/>
              <w:left w:val="single" w:sz="6" w:space="0" w:color="000000"/>
              <w:bottom w:val="single" w:sz="6" w:space="0" w:color="000000"/>
              <w:right w:val="single" w:sz="6" w:space="0" w:color="000000"/>
            </w:tcBorders>
          </w:tcPr>
          <w:p w14:paraId="0186EDA0" w14:textId="77777777" w:rsidR="002D58E4" w:rsidRDefault="00F721D4">
            <w:pPr>
              <w:rPr>
                <w:sz w:val="20"/>
                <w:szCs w:val="20"/>
              </w:rPr>
            </w:pPr>
            <w:r>
              <w:rPr>
                <w:sz w:val="20"/>
                <w:szCs w:val="20"/>
              </w:rPr>
              <w:t xml:space="preserve">not serious </w:t>
            </w:r>
          </w:p>
        </w:tc>
        <w:tc>
          <w:tcPr>
            <w:tcW w:w="1116" w:type="dxa"/>
            <w:tcBorders>
              <w:top w:val="single" w:sz="6" w:space="0" w:color="000000"/>
              <w:left w:val="single" w:sz="6" w:space="0" w:color="000000"/>
              <w:bottom w:val="single" w:sz="6" w:space="0" w:color="000000"/>
              <w:right w:val="single" w:sz="6" w:space="0" w:color="000000"/>
            </w:tcBorders>
          </w:tcPr>
          <w:p w14:paraId="3056CD58"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0D1087FC" w14:textId="77777777" w:rsidR="002D58E4" w:rsidRDefault="00F721D4">
            <w:pPr>
              <w:rPr>
                <w:sz w:val="20"/>
                <w:szCs w:val="20"/>
              </w:rPr>
            </w:pPr>
            <w:r>
              <w:rPr>
                <w:sz w:val="20"/>
                <w:szCs w:val="20"/>
              </w:rPr>
              <w:t xml:space="preserve">serious </w:t>
            </w:r>
            <w:r>
              <w:rPr>
                <w:sz w:val="20"/>
                <w:szCs w:val="20"/>
                <w:vertAlign w:val="superscript"/>
              </w:rPr>
              <w:t>c</w:t>
            </w:r>
          </w:p>
        </w:tc>
        <w:tc>
          <w:tcPr>
            <w:tcW w:w="938" w:type="dxa"/>
            <w:tcBorders>
              <w:top w:val="single" w:sz="6" w:space="0" w:color="000000"/>
              <w:left w:val="single" w:sz="6" w:space="0" w:color="000000"/>
              <w:bottom w:val="single" w:sz="6" w:space="0" w:color="000000"/>
              <w:right w:val="single" w:sz="6" w:space="0" w:color="000000"/>
            </w:tcBorders>
          </w:tcPr>
          <w:p w14:paraId="4E3D7373"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2682DB02" w14:textId="77777777" w:rsidR="002D58E4" w:rsidRDefault="00F721D4">
            <w:pPr>
              <w:jc w:val="center"/>
              <w:rPr>
                <w:sz w:val="20"/>
                <w:szCs w:val="20"/>
              </w:rPr>
            </w:pPr>
            <w:r>
              <w:rPr>
                <w:sz w:val="20"/>
                <w:szCs w:val="20"/>
              </w:rPr>
              <w:t>5.6, 8.6</w:t>
            </w:r>
          </w:p>
        </w:tc>
        <w:tc>
          <w:tcPr>
            <w:tcW w:w="1052" w:type="dxa"/>
            <w:gridSpan w:val="2"/>
            <w:tcBorders>
              <w:top w:val="single" w:sz="6" w:space="0" w:color="000000"/>
              <w:left w:val="single" w:sz="6" w:space="0" w:color="000000"/>
              <w:bottom w:val="single" w:sz="6" w:space="0" w:color="000000"/>
              <w:right w:val="single" w:sz="6" w:space="0" w:color="000000"/>
            </w:tcBorders>
          </w:tcPr>
          <w:p w14:paraId="05189DD1" w14:textId="77777777" w:rsidR="002D58E4" w:rsidRDefault="00F721D4">
            <w:pPr>
              <w:jc w:val="center"/>
              <w:rPr>
                <w:sz w:val="20"/>
                <w:szCs w:val="20"/>
              </w:rPr>
            </w:pPr>
            <w:r>
              <w:rPr>
                <w:sz w:val="20"/>
                <w:szCs w:val="20"/>
              </w:rPr>
              <w:t>6.3, 10.5</w:t>
            </w:r>
          </w:p>
        </w:tc>
        <w:tc>
          <w:tcPr>
            <w:tcW w:w="3288" w:type="dxa"/>
            <w:gridSpan w:val="2"/>
            <w:tcBorders>
              <w:top w:val="single" w:sz="6" w:space="0" w:color="000000"/>
              <w:left w:val="single" w:sz="6" w:space="0" w:color="000000"/>
              <w:bottom w:val="single" w:sz="6" w:space="0" w:color="000000"/>
              <w:right w:val="single" w:sz="6" w:space="0" w:color="000000"/>
            </w:tcBorders>
          </w:tcPr>
          <w:p w14:paraId="1C6B1659" w14:textId="77777777" w:rsidR="002D58E4" w:rsidRDefault="00F721D4">
            <w:pPr>
              <w:jc w:val="center"/>
              <w:rPr>
                <w:sz w:val="20"/>
                <w:szCs w:val="20"/>
              </w:rPr>
            </w:pPr>
            <w:r>
              <w:rPr>
                <w:sz w:val="20"/>
                <w:szCs w:val="20"/>
              </w:rPr>
              <w:t>MD 1.59 lower</w:t>
            </w:r>
            <w:r>
              <w:rPr>
                <w:sz w:val="20"/>
                <w:szCs w:val="20"/>
              </w:rPr>
              <w:br/>
              <w:t xml:space="preserve">(4.16 lower to 0.98 higher) </w:t>
            </w:r>
          </w:p>
        </w:tc>
        <w:tc>
          <w:tcPr>
            <w:tcW w:w="1170" w:type="dxa"/>
            <w:tcBorders>
              <w:top w:val="single" w:sz="6" w:space="0" w:color="000000"/>
              <w:left w:val="single" w:sz="6" w:space="0" w:color="000000"/>
              <w:bottom w:val="single" w:sz="6" w:space="0" w:color="000000"/>
              <w:right w:val="single" w:sz="6" w:space="0" w:color="000000"/>
            </w:tcBorders>
          </w:tcPr>
          <w:p w14:paraId="5345096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1A85BF28" w14:textId="77777777" w:rsidR="002D58E4" w:rsidRDefault="00F721D4">
            <w:pPr>
              <w:rPr>
                <w:sz w:val="20"/>
                <w:szCs w:val="20"/>
              </w:rPr>
            </w:pPr>
            <w:r>
              <w:rPr>
                <w:sz w:val="20"/>
                <w:szCs w:val="20"/>
              </w:rPr>
              <w:t xml:space="preserve">IMPORTANT </w:t>
            </w:r>
          </w:p>
        </w:tc>
      </w:tr>
      <w:tr w:rsidR="002D58E4" w14:paraId="3665A272"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4D7FAEE7" w14:textId="77777777" w:rsidR="002D58E4" w:rsidRDefault="00F721D4">
            <w:pPr>
              <w:rPr>
                <w:sz w:val="20"/>
                <w:szCs w:val="20"/>
              </w:rPr>
            </w:pPr>
            <w:r>
              <w:rPr>
                <w:b/>
                <w:sz w:val="20"/>
                <w:szCs w:val="20"/>
              </w:rPr>
              <w:t xml:space="preserve">Patients Experiencing Objective Findings of Lyme </w:t>
            </w:r>
            <w:r>
              <w:rPr>
                <w:sz w:val="20"/>
                <w:szCs w:val="20"/>
              </w:rPr>
              <w:t>(at 6 months and beyond)</w:t>
            </w:r>
          </w:p>
        </w:tc>
      </w:tr>
      <w:tr w:rsidR="002D58E4" w14:paraId="724373BF" w14:textId="77777777" w:rsidTr="00E70FE5">
        <w:tc>
          <w:tcPr>
            <w:tcW w:w="728" w:type="dxa"/>
            <w:tcBorders>
              <w:top w:val="single" w:sz="6" w:space="0" w:color="000000"/>
              <w:left w:val="single" w:sz="6" w:space="0" w:color="000000"/>
              <w:bottom w:val="single" w:sz="6" w:space="0" w:color="000000"/>
              <w:right w:val="single" w:sz="6" w:space="0" w:color="000000"/>
            </w:tcBorders>
          </w:tcPr>
          <w:p w14:paraId="7415B0AC" w14:textId="77777777" w:rsidR="002D58E4" w:rsidRDefault="00F721D4">
            <w:pPr>
              <w:rPr>
                <w:sz w:val="20"/>
                <w:szCs w:val="20"/>
              </w:rPr>
            </w:pPr>
            <w:r>
              <w:rPr>
                <w:sz w:val="20"/>
                <w:szCs w:val="20"/>
              </w:rPr>
              <w:t xml:space="preserve">2 </w:t>
            </w:r>
          </w:p>
        </w:tc>
        <w:tc>
          <w:tcPr>
            <w:tcW w:w="827" w:type="dxa"/>
            <w:tcBorders>
              <w:top w:val="single" w:sz="6" w:space="0" w:color="000000"/>
              <w:left w:val="single" w:sz="6" w:space="0" w:color="000000"/>
              <w:bottom w:val="single" w:sz="6" w:space="0" w:color="000000"/>
              <w:right w:val="single" w:sz="6" w:space="0" w:color="000000"/>
            </w:tcBorders>
          </w:tcPr>
          <w:p w14:paraId="7F27BEB3" w14:textId="77777777" w:rsidR="002D58E4" w:rsidRDefault="00F721D4">
            <w:pPr>
              <w:rPr>
                <w:sz w:val="20"/>
                <w:szCs w:val="20"/>
              </w:rPr>
            </w:pPr>
            <w:r>
              <w:rPr>
                <w:sz w:val="20"/>
                <w:szCs w:val="20"/>
              </w:rPr>
              <w:t xml:space="preserve">RCT </w:t>
            </w:r>
            <w:r>
              <w:rPr>
                <w:sz w:val="20"/>
                <w:szCs w:val="20"/>
                <w:vertAlign w:val="superscript"/>
              </w:rPr>
              <w:t>1,3</w:t>
            </w:r>
          </w:p>
        </w:tc>
        <w:tc>
          <w:tcPr>
            <w:tcW w:w="991" w:type="dxa"/>
            <w:tcBorders>
              <w:top w:val="single" w:sz="6" w:space="0" w:color="000000"/>
              <w:left w:val="single" w:sz="6" w:space="0" w:color="000000"/>
              <w:bottom w:val="single" w:sz="6" w:space="0" w:color="000000"/>
              <w:right w:val="single" w:sz="6" w:space="0" w:color="000000"/>
            </w:tcBorders>
          </w:tcPr>
          <w:p w14:paraId="32CBE1EC" w14:textId="77777777" w:rsidR="002D58E4" w:rsidRDefault="00F721D4">
            <w:pPr>
              <w:rPr>
                <w:sz w:val="20"/>
                <w:szCs w:val="20"/>
              </w:rPr>
            </w:pPr>
            <w:r>
              <w:rPr>
                <w:sz w:val="20"/>
                <w:szCs w:val="20"/>
              </w:rPr>
              <w:t xml:space="preserve">serious </w:t>
            </w:r>
            <w:r>
              <w:rPr>
                <w:sz w:val="20"/>
                <w:szCs w:val="20"/>
                <w:vertAlign w:val="superscript"/>
              </w:rPr>
              <w:t>b</w:t>
            </w:r>
          </w:p>
        </w:tc>
        <w:tc>
          <w:tcPr>
            <w:tcW w:w="991" w:type="dxa"/>
            <w:tcBorders>
              <w:top w:val="single" w:sz="6" w:space="0" w:color="000000"/>
              <w:left w:val="single" w:sz="6" w:space="0" w:color="000000"/>
              <w:bottom w:val="single" w:sz="6" w:space="0" w:color="000000"/>
              <w:right w:val="single" w:sz="6" w:space="0" w:color="000000"/>
            </w:tcBorders>
          </w:tcPr>
          <w:p w14:paraId="52A6EF2E" w14:textId="77777777" w:rsidR="002D58E4" w:rsidRDefault="00F721D4">
            <w:pPr>
              <w:rPr>
                <w:sz w:val="20"/>
                <w:szCs w:val="20"/>
              </w:rPr>
            </w:pPr>
            <w:r>
              <w:rPr>
                <w:sz w:val="20"/>
                <w:szCs w:val="20"/>
              </w:rPr>
              <w:t xml:space="preserve">not serious </w:t>
            </w:r>
          </w:p>
        </w:tc>
        <w:tc>
          <w:tcPr>
            <w:tcW w:w="1116" w:type="dxa"/>
            <w:tcBorders>
              <w:top w:val="single" w:sz="6" w:space="0" w:color="000000"/>
              <w:left w:val="single" w:sz="6" w:space="0" w:color="000000"/>
              <w:bottom w:val="single" w:sz="6" w:space="0" w:color="000000"/>
              <w:right w:val="single" w:sz="6" w:space="0" w:color="000000"/>
            </w:tcBorders>
          </w:tcPr>
          <w:p w14:paraId="69328662"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525A532A" w14:textId="77777777" w:rsidR="002D58E4" w:rsidRDefault="00F721D4">
            <w:pPr>
              <w:rPr>
                <w:sz w:val="20"/>
                <w:szCs w:val="20"/>
              </w:rPr>
            </w:pPr>
            <w:r>
              <w:rPr>
                <w:sz w:val="20"/>
                <w:szCs w:val="20"/>
              </w:rPr>
              <w:t xml:space="preserve">serious </w:t>
            </w:r>
            <w:r>
              <w:rPr>
                <w:sz w:val="20"/>
                <w:szCs w:val="20"/>
                <w:vertAlign w:val="superscript"/>
              </w:rPr>
              <w:t>c</w:t>
            </w:r>
          </w:p>
        </w:tc>
        <w:tc>
          <w:tcPr>
            <w:tcW w:w="938" w:type="dxa"/>
            <w:tcBorders>
              <w:top w:val="single" w:sz="6" w:space="0" w:color="000000"/>
              <w:left w:val="single" w:sz="6" w:space="0" w:color="000000"/>
              <w:bottom w:val="single" w:sz="6" w:space="0" w:color="000000"/>
              <w:right w:val="single" w:sz="6" w:space="0" w:color="000000"/>
            </w:tcBorders>
          </w:tcPr>
          <w:p w14:paraId="6E354BDF"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0DAC8D25" w14:textId="77777777" w:rsidR="002D58E4" w:rsidRDefault="00F721D4">
            <w:pPr>
              <w:jc w:val="center"/>
              <w:rPr>
                <w:sz w:val="20"/>
                <w:szCs w:val="20"/>
              </w:rPr>
            </w:pPr>
            <w:r>
              <w:rPr>
                <w:sz w:val="20"/>
                <w:szCs w:val="20"/>
              </w:rPr>
              <w:t xml:space="preserve">1/60 </w:t>
            </w:r>
          </w:p>
          <w:p w14:paraId="2FAF83E8" w14:textId="77777777" w:rsidR="002D58E4" w:rsidRDefault="00F721D4">
            <w:pPr>
              <w:jc w:val="center"/>
              <w:rPr>
                <w:sz w:val="20"/>
                <w:szCs w:val="20"/>
              </w:rPr>
            </w:pPr>
            <w:r>
              <w:rPr>
                <w:sz w:val="20"/>
                <w:szCs w:val="20"/>
              </w:rPr>
              <w:t xml:space="preserve">(1.7%) </w:t>
            </w:r>
          </w:p>
        </w:tc>
        <w:tc>
          <w:tcPr>
            <w:tcW w:w="1052" w:type="dxa"/>
            <w:gridSpan w:val="2"/>
            <w:tcBorders>
              <w:top w:val="single" w:sz="6" w:space="0" w:color="000000"/>
              <w:left w:val="single" w:sz="6" w:space="0" w:color="000000"/>
              <w:bottom w:val="single" w:sz="6" w:space="0" w:color="000000"/>
              <w:right w:val="single" w:sz="6" w:space="0" w:color="000000"/>
            </w:tcBorders>
          </w:tcPr>
          <w:p w14:paraId="7B642F59" w14:textId="77777777" w:rsidR="002D58E4" w:rsidRDefault="00F721D4">
            <w:pPr>
              <w:jc w:val="center"/>
              <w:rPr>
                <w:sz w:val="20"/>
                <w:szCs w:val="20"/>
              </w:rPr>
            </w:pPr>
            <w:r>
              <w:rPr>
                <w:sz w:val="20"/>
                <w:szCs w:val="20"/>
              </w:rPr>
              <w:t>3/62</w:t>
            </w:r>
          </w:p>
          <w:p w14:paraId="4D7961E4" w14:textId="77777777" w:rsidR="002D58E4" w:rsidRDefault="00F721D4">
            <w:pPr>
              <w:jc w:val="center"/>
              <w:rPr>
                <w:sz w:val="20"/>
                <w:szCs w:val="20"/>
              </w:rPr>
            </w:pPr>
            <w:r>
              <w:rPr>
                <w:sz w:val="20"/>
                <w:szCs w:val="20"/>
              </w:rPr>
              <w:t xml:space="preserve"> (4.8%) </w:t>
            </w:r>
          </w:p>
        </w:tc>
        <w:tc>
          <w:tcPr>
            <w:tcW w:w="1510" w:type="dxa"/>
            <w:tcBorders>
              <w:top w:val="single" w:sz="6" w:space="0" w:color="000000"/>
              <w:left w:val="single" w:sz="6" w:space="0" w:color="000000"/>
              <w:bottom w:val="single" w:sz="6" w:space="0" w:color="000000"/>
              <w:right w:val="single" w:sz="6" w:space="0" w:color="000000"/>
            </w:tcBorders>
          </w:tcPr>
          <w:p w14:paraId="44AD4BB5" w14:textId="77777777" w:rsidR="002D58E4" w:rsidRDefault="00F721D4">
            <w:pPr>
              <w:jc w:val="center"/>
              <w:rPr>
                <w:sz w:val="20"/>
                <w:szCs w:val="20"/>
              </w:rPr>
            </w:pPr>
            <w:r>
              <w:rPr>
                <w:sz w:val="20"/>
                <w:szCs w:val="20"/>
              </w:rPr>
              <w:t>RR 0.50</w:t>
            </w:r>
            <w:r>
              <w:rPr>
                <w:sz w:val="20"/>
                <w:szCs w:val="20"/>
              </w:rPr>
              <w:br/>
              <w:t xml:space="preserve">(0.07 to 3.71) </w:t>
            </w:r>
          </w:p>
        </w:tc>
        <w:tc>
          <w:tcPr>
            <w:tcW w:w="1778" w:type="dxa"/>
            <w:tcBorders>
              <w:top w:val="single" w:sz="6" w:space="0" w:color="000000"/>
              <w:left w:val="single" w:sz="6" w:space="0" w:color="000000"/>
              <w:bottom w:val="single" w:sz="6" w:space="0" w:color="000000"/>
              <w:right w:val="single" w:sz="6" w:space="0" w:color="000000"/>
            </w:tcBorders>
          </w:tcPr>
          <w:p w14:paraId="473E3D77" w14:textId="77777777" w:rsidR="002D58E4" w:rsidRDefault="00F721D4">
            <w:pPr>
              <w:jc w:val="center"/>
              <w:rPr>
                <w:sz w:val="20"/>
                <w:szCs w:val="20"/>
              </w:rPr>
            </w:pPr>
            <w:r>
              <w:rPr>
                <w:sz w:val="20"/>
                <w:szCs w:val="20"/>
              </w:rPr>
              <w:t>24 fewer per 1,000</w:t>
            </w:r>
            <w:r>
              <w:rPr>
                <w:sz w:val="20"/>
                <w:szCs w:val="20"/>
              </w:rPr>
              <w:br/>
              <w:t xml:space="preserve">(from 45 fewer to 131 more) </w:t>
            </w:r>
          </w:p>
        </w:tc>
        <w:tc>
          <w:tcPr>
            <w:tcW w:w="1170" w:type="dxa"/>
            <w:tcBorders>
              <w:top w:val="single" w:sz="6" w:space="0" w:color="000000"/>
              <w:left w:val="single" w:sz="6" w:space="0" w:color="000000"/>
              <w:bottom w:val="single" w:sz="6" w:space="0" w:color="000000"/>
              <w:right w:val="single" w:sz="6" w:space="0" w:color="000000"/>
            </w:tcBorders>
          </w:tcPr>
          <w:p w14:paraId="39C8C87C"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66C0171C" w14:textId="77777777" w:rsidR="002D58E4" w:rsidRDefault="00F721D4">
            <w:pPr>
              <w:rPr>
                <w:sz w:val="20"/>
                <w:szCs w:val="20"/>
              </w:rPr>
            </w:pPr>
            <w:r>
              <w:rPr>
                <w:sz w:val="20"/>
                <w:szCs w:val="20"/>
              </w:rPr>
              <w:t xml:space="preserve">CRITICAL </w:t>
            </w:r>
          </w:p>
        </w:tc>
      </w:tr>
      <w:tr w:rsidR="002D58E4" w14:paraId="74CCF6A4"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20BC59C7" w14:textId="77777777" w:rsidR="002D58E4" w:rsidRDefault="00F721D4">
            <w:pPr>
              <w:rPr>
                <w:sz w:val="20"/>
                <w:szCs w:val="20"/>
              </w:rPr>
            </w:pPr>
            <w:r>
              <w:rPr>
                <w:b/>
                <w:sz w:val="20"/>
                <w:szCs w:val="20"/>
              </w:rPr>
              <w:t>Patients Withdrawing due to Adverse Events</w:t>
            </w:r>
            <w:r>
              <w:rPr>
                <w:sz w:val="20"/>
                <w:szCs w:val="20"/>
              </w:rPr>
              <w:t xml:space="preserve"> </w:t>
            </w:r>
          </w:p>
        </w:tc>
      </w:tr>
      <w:tr w:rsidR="002D58E4" w14:paraId="7AF4560C" w14:textId="77777777" w:rsidTr="00E70FE5">
        <w:tc>
          <w:tcPr>
            <w:tcW w:w="728" w:type="dxa"/>
            <w:tcBorders>
              <w:top w:val="single" w:sz="6" w:space="0" w:color="000000"/>
              <w:left w:val="single" w:sz="6" w:space="0" w:color="000000"/>
              <w:bottom w:val="single" w:sz="6" w:space="0" w:color="000000"/>
              <w:right w:val="single" w:sz="6" w:space="0" w:color="000000"/>
            </w:tcBorders>
          </w:tcPr>
          <w:p w14:paraId="761ED920" w14:textId="77777777" w:rsidR="002D58E4" w:rsidRDefault="00F721D4">
            <w:pPr>
              <w:rPr>
                <w:sz w:val="20"/>
                <w:szCs w:val="20"/>
              </w:rPr>
            </w:pPr>
            <w:r>
              <w:rPr>
                <w:sz w:val="20"/>
                <w:szCs w:val="20"/>
              </w:rPr>
              <w:t xml:space="preserve">2 </w:t>
            </w:r>
          </w:p>
        </w:tc>
        <w:tc>
          <w:tcPr>
            <w:tcW w:w="827" w:type="dxa"/>
            <w:tcBorders>
              <w:top w:val="single" w:sz="6" w:space="0" w:color="000000"/>
              <w:left w:val="single" w:sz="6" w:space="0" w:color="000000"/>
              <w:bottom w:val="single" w:sz="6" w:space="0" w:color="000000"/>
              <w:right w:val="single" w:sz="6" w:space="0" w:color="000000"/>
            </w:tcBorders>
          </w:tcPr>
          <w:p w14:paraId="187CA207" w14:textId="77777777" w:rsidR="002D58E4" w:rsidRDefault="00F721D4">
            <w:pPr>
              <w:rPr>
                <w:sz w:val="20"/>
                <w:szCs w:val="20"/>
              </w:rPr>
            </w:pPr>
            <w:r>
              <w:rPr>
                <w:sz w:val="20"/>
                <w:szCs w:val="20"/>
              </w:rPr>
              <w:t xml:space="preserve">RCT </w:t>
            </w:r>
            <w:r>
              <w:rPr>
                <w:sz w:val="20"/>
                <w:szCs w:val="20"/>
                <w:vertAlign w:val="superscript"/>
              </w:rPr>
              <w:t>1,2</w:t>
            </w:r>
          </w:p>
        </w:tc>
        <w:tc>
          <w:tcPr>
            <w:tcW w:w="991" w:type="dxa"/>
            <w:tcBorders>
              <w:top w:val="single" w:sz="6" w:space="0" w:color="000000"/>
              <w:left w:val="single" w:sz="6" w:space="0" w:color="000000"/>
              <w:bottom w:val="single" w:sz="6" w:space="0" w:color="000000"/>
              <w:right w:val="single" w:sz="6" w:space="0" w:color="000000"/>
            </w:tcBorders>
          </w:tcPr>
          <w:p w14:paraId="0060B4B3" w14:textId="77777777" w:rsidR="002D58E4" w:rsidRDefault="00F721D4">
            <w:pPr>
              <w:rPr>
                <w:sz w:val="20"/>
                <w:szCs w:val="20"/>
              </w:rPr>
            </w:pPr>
            <w:r>
              <w:rPr>
                <w:sz w:val="20"/>
                <w:szCs w:val="20"/>
              </w:rPr>
              <w:t xml:space="preserve">serious </w:t>
            </w:r>
            <w:r>
              <w:rPr>
                <w:sz w:val="20"/>
                <w:szCs w:val="20"/>
                <w:vertAlign w:val="superscript"/>
              </w:rPr>
              <w:t>b, d</w:t>
            </w:r>
          </w:p>
        </w:tc>
        <w:tc>
          <w:tcPr>
            <w:tcW w:w="991" w:type="dxa"/>
            <w:tcBorders>
              <w:top w:val="single" w:sz="6" w:space="0" w:color="000000"/>
              <w:left w:val="single" w:sz="6" w:space="0" w:color="000000"/>
              <w:bottom w:val="single" w:sz="6" w:space="0" w:color="000000"/>
              <w:right w:val="single" w:sz="6" w:space="0" w:color="000000"/>
            </w:tcBorders>
          </w:tcPr>
          <w:p w14:paraId="1900D573" w14:textId="77777777" w:rsidR="002D58E4" w:rsidRDefault="00F721D4">
            <w:pPr>
              <w:rPr>
                <w:sz w:val="20"/>
                <w:szCs w:val="20"/>
              </w:rPr>
            </w:pPr>
            <w:r>
              <w:rPr>
                <w:sz w:val="20"/>
                <w:szCs w:val="20"/>
              </w:rPr>
              <w:t xml:space="preserve">not serious </w:t>
            </w:r>
          </w:p>
        </w:tc>
        <w:tc>
          <w:tcPr>
            <w:tcW w:w="1116" w:type="dxa"/>
            <w:tcBorders>
              <w:top w:val="single" w:sz="6" w:space="0" w:color="000000"/>
              <w:left w:val="single" w:sz="6" w:space="0" w:color="000000"/>
              <w:bottom w:val="single" w:sz="6" w:space="0" w:color="000000"/>
              <w:right w:val="single" w:sz="6" w:space="0" w:color="000000"/>
            </w:tcBorders>
          </w:tcPr>
          <w:p w14:paraId="50096CE0"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14A2BC41" w14:textId="77777777" w:rsidR="002D58E4" w:rsidRDefault="00F721D4">
            <w:pPr>
              <w:rPr>
                <w:sz w:val="20"/>
                <w:szCs w:val="20"/>
              </w:rPr>
            </w:pPr>
            <w:r>
              <w:rPr>
                <w:sz w:val="20"/>
                <w:szCs w:val="20"/>
              </w:rPr>
              <w:t xml:space="preserve">serious </w:t>
            </w:r>
            <w:r>
              <w:rPr>
                <w:sz w:val="20"/>
                <w:szCs w:val="20"/>
                <w:vertAlign w:val="superscript"/>
              </w:rPr>
              <w:t>c</w:t>
            </w:r>
          </w:p>
        </w:tc>
        <w:tc>
          <w:tcPr>
            <w:tcW w:w="938" w:type="dxa"/>
            <w:tcBorders>
              <w:top w:val="single" w:sz="6" w:space="0" w:color="000000"/>
              <w:left w:val="single" w:sz="6" w:space="0" w:color="000000"/>
              <w:bottom w:val="single" w:sz="6" w:space="0" w:color="000000"/>
              <w:right w:val="single" w:sz="6" w:space="0" w:color="000000"/>
            </w:tcBorders>
          </w:tcPr>
          <w:p w14:paraId="421CBE5D"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63BFCAD4" w14:textId="77777777" w:rsidR="002D58E4" w:rsidRDefault="00F721D4">
            <w:pPr>
              <w:jc w:val="center"/>
              <w:rPr>
                <w:sz w:val="20"/>
                <w:szCs w:val="20"/>
              </w:rPr>
            </w:pPr>
            <w:r>
              <w:rPr>
                <w:sz w:val="20"/>
                <w:szCs w:val="20"/>
              </w:rPr>
              <w:t xml:space="preserve">1/74 </w:t>
            </w:r>
          </w:p>
          <w:p w14:paraId="4FD50713" w14:textId="77777777" w:rsidR="002D58E4" w:rsidRDefault="00F721D4">
            <w:pPr>
              <w:jc w:val="center"/>
              <w:rPr>
                <w:sz w:val="20"/>
                <w:szCs w:val="20"/>
              </w:rPr>
            </w:pPr>
            <w:r>
              <w:rPr>
                <w:sz w:val="20"/>
                <w:szCs w:val="20"/>
              </w:rPr>
              <w:t xml:space="preserve">(1.4%) </w:t>
            </w:r>
          </w:p>
        </w:tc>
        <w:tc>
          <w:tcPr>
            <w:tcW w:w="1052" w:type="dxa"/>
            <w:gridSpan w:val="2"/>
            <w:tcBorders>
              <w:top w:val="single" w:sz="6" w:space="0" w:color="000000"/>
              <w:left w:val="single" w:sz="6" w:space="0" w:color="000000"/>
              <w:bottom w:val="single" w:sz="6" w:space="0" w:color="000000"/>
              <w:right w:val="single" w:sz="6" w:space="0" w:color="000000"/>
            </w:tcBorders>
          </w:tcPr>
          <w:p w14:paraId="3A7D387F" w14:textId="77777777" w:rsidR="002D58E4" w:rsidRDefault="00F721D4">
            <w:pPr>
              <w:jc w:val="center"/>
              <w:rPr>
                <w:sz w:val="20"/>
                <w:szCs w:val="20"/>
              </w:rPr>
            </w:pPr>
            <w:r>
              <w:rPr>
                <w:sz w:val="20"/>
                <w:szCs w:val="20"/>
              </w:rPr>
              <w:t xml:space="preserve">0/75 </w:t>
            </w:r>
          </w:p>
          <w:p w14:paraId="70ED3CBF" w14:textId="77777777" w:rsidR="002D58E4" w:rsidRDefault="00F721D4">
            <w:pPr>
              <w:jc w:val="center"/>
              <w:rPr>
                <w:sz w:val="20"/>
                <w:szCs w:val="20"/>
              </w:rPr>
            </w:pPr>
            <w:r>
              <w:rPr>
                <w:sz w:val="20"/>
                <w:szCs w:val="20"/>
              </w:rPr>
              <w:t xml:space="preserve">(0.0%) </w:t>
            </w:r>
          </w:p>
        </w:tc>
        <w:tc>
          <w:tcPr>
            <w:tcW w:w="1510" w:type="dxa"/>
            <w:tcBorders>
              <w:top w:val="single" w:sz="6" w:space="0" w:color="000000"/>
              <w:left w:val="single" w:sz="6" w:space="0" w:color="000000"/>
              <w:bottom w:val="single" w:sz="6" w:space="0" w:color="000000"/>
              <w:right w:val="single" w:sz="6" w:space="0" w:color="000000"/>
            </w:tcBorders>
          </w:tcPr>
          <w:p w14:paraId="584058B5"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3797F231" w14:textId="77777777" w:rsidR="002D58E4" w:rsidRDefault="00F721D4">
            <w:pPr>
              <w:jc w:val="center"/>
              <w:rPr>
                <w:sz w:val="20"/>
                <w:szCs w:val="20"/>
              </w:rPr>
            </w:pPr>
            <w:r>
              <w:rPr>
                <w:sz w:val="20"/>
                <w:szCs w:val="20"/>
              </w:rPr>
              <w:t xml:space="preserve"> </w:t>
            </w:r>
          </w:p>
        </w:tc>
        <w:tc>
          <w:tcPr>
            <w:tcW w:w="1778" w:type="dxa"/>
            <w:tcBorders>
              <w:top w:val="single" w:sz="6" w:space="0" w:color="000000"/>
              <w:left w:val="single" w:sz="6" w:space="0" w:color="000000"/>
              <w:bottom w:val="single" w:sz="6" w:space="0" w:color="000000"/>
              <w:right w:val="single" w:sz="6" w:space="0" w:color="000000"/>
            </w:tcBorders>
          </w:tcPr>
          <w:p w14:paraId="5B3324DB" w14:textId="77777777" w:rsidR="002D58E4" w:rsidRDefault="00F721D4">
            <w:pPr>
              <w:jc w:val="center"/>
              <w:rPr>
                <w:sz w:val="20"/>
                <w:szCs w:val="20"/>
              </w:rPr>
            </w:pPr>
            <w:r>
              <w:rPr>
                <w:sz w:val="20"/>
                <w:szCs w:val="20"/>
              </w:rPr>
              <w:t>14 more per 1,000</w:t>
            </w:r>
          </w:p>
          <w:p w14:paraId="5419C458" w14:textId="77777777" w:rsidR="002D58E4" w:rsidRDefault="002D58E4">
            <w:pPr>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7B8E353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199B6EBF" w14:textId="77777777" w:rsidR="002D58E4" w:rsidRDefault="00F721D4">
            <w:pPr>
              <w:rPr>
                <w:sz w:val="20"/>
                <w:szCs w:val="20"/>
              </w:rPr>
            </w:pPr>
            <w:r>
              <w:rPr>
                <w:sz w:val="20"/>
                <w:szCs w:val="20"/>
              </w:rPr>
              <w:t xml:space="preserve">CRITICAL </w:t>
            </w:r>
          </w:p>
        </w:tc>
      </w:tr>
      <w:tr w:rsidR="002D58E4" w14:paraId="37B8B84D"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0A960133" w14:textId="77777777" w:rsidR="002D58E4" w:rsidRDefault="00F721D4">
            <w:pPr>
              <w:rPr>
                <w:sz w:val="20"/>
                <w:szCs w:val="20"/>
              </w:rPr>
            </w:pPr>
            <w:r>
              <w:rPr>
                <w:b/>
                <w:sz w:val="20"/>
                <w:szCs w:val="20"/>
              </w:rPr>
              <w:t>Total Adverse Events</w:t>
            </w:r>
            <w:r>
              <w:rPr>
                <w:sz w:val="20"/>
                <w:szCs w:val="20"/>
              </w:rPr>
              <w:t xml:space="preserve"> </w:t>
            </w:r>
          </w:p>
        </w:tc>
      </w:tr>
      <w:tr w:rsidR="002D58E4" w14:paraId="324C4A04" w14:textId="77777777" w:rsidTr="00E70FE5">
        <w:tc>
          <w:tcPr>
            <w:tcW w:w="728" w:type="dxa"/>
            <w:tcBorders>
              <w:top w:val="single" w:sz="6" w:space="0" w:color="000000"/>
              <w:left w:val="single" w:sz="6" w:space="0" w:color="000000"/>
              <w:bottom w:val="single" w:sz="6" w:space="0" w:color="000000"/>
              <w:right w:val="single" w:sz="6" w:space="0" w:color="000000"/>
            </w:tcBorders>
          </w:tcPr>
          <w:p w14:paraId="44833358" w14:textId="77777777" w:rsidR="002D58E4" w:rsidRDefault="00F721D4">
            <w:pPr>
              <w:rPr>
                <w:sz w:val="20"/>
                <w:szCs w:val="20"/>
              </w:rPr>
            </w:pPr>
            <w:r>
              <w:rPr>
                <w:sz w:val="20"/>
                <w:szCs w:val="20"/>
              </w:rPr>
              <w:lastRenderedPageBreak/>
              <w:t xml:space="preserve">1 </w:t>
            </w:r>
          </w:p>
        </w:tc>
        <w:tc>
          <w:tcPr>
            <w:tcW w:w="827" w:type="dxa"/>
            <w:tcBorders>
              <w:top w:val="single" w:sz="6" w:space="0" w:color="000000"/>
              <w:left w:val="single" w:sz="6" w:space="0" w:color="000000"/>
              <w:bottom w:val="single" w:sz="6" w:space="0" w:color="000000"/>
              <w:right w:val="single" w:sz="6" w:space="0" w:color="000000"/>
            </w:tcBorders>
          </w:tcPr>
          <w:p w14:paraId="78559AD8" w14:textId="77777777" w:rsidR="002D58E4" w:rsidRDefault="00F721D4">
            <w:pPr>
              <w:rPr>
                <w:sz w:val="20"/>
                <w:szCs w:val="20"/>
              </w:rPr>
            </w:pPr>
            <w:r>
              <w:rPr>
                <w:sz w:val="20"/>
                <w:szCs w:val="20"/>
              </w:rPr>
              <w:t xml:space="preserve">RCT </w:t>
            </w:r>
            <w:r>
              <w:rPr>
                <w:sz w:val="20"/>
                <w:szCs w:val="20"/>
                <w:vertAlign w:val="superscript"/>
              </w:rPr>
              <w:t>2</w:t>
            </w:r>
          </w:p>
        </w:tc>
        <w:tc>
          <w:tcPr>
            <w:tcW w:w="991" w:type="dxa"/>
            <w:tcBorders>
              <w:top w:val="single" w:sz="6" w:space="0" w:color="000000"/>
              <w:left w:val="single" w:sz="6" w:space="0" w:color="000000"/>
              <w:bottom w:val="single" w:sz="6" w:space="0" w:color="000000"/>
              <w:right w:val="single" w:sz="6" w:space="0" w:color="000000"/>
            </w:tcBorders>
          </w:tcPr>
          <w:p w14:paraId="0722558C" w14:textId="77777777" w:rsidR="002D58E4" w:rsidRDefault="00F721D4">
            <w:pPr>
              <w:rPr>
                <w:sz w:val="20"/>
                <w:szCs w:val="20"/>
              </w:rPr>
            </w:pPr>
            <w:r>
              <w:rPr>
                <w:sz w:val="20"/>
                <w:szCs w:val="20"/>
              </w:rPr>
              <w:t xml:space="preserve">serious </w:t>
            </w:r>
            <w:r>
              <w:rPr>
                <w:sz w:val="20"/>
                <w:szCs w:val="20"/>
                <w:vertAlign w:val="superscript"/>
              </w:rPr>
              <w:t>d</w:t>
            </w:r>
          </w:p>
        </w:tc>
        <w:tc>
          <w:tcPr>
            <w:tcW w:w="991" w:type="dxa"/>
            <w:tcBorders>
              <w:top w:val="single" w:sz="6" w:space="0" w:color="000000"/>
              <w:left w:val="single" w:sz="6" w:space="0" w:color="000000"/>
              <w:bottom w:val="single" w:sz="6" w:space="0" w:color="000000"/>
              <w:right w:val="single" w:sz="6" w:space="0" w:color="000000"/>
            </w:tcBorders>
          </w:tcPr>
          <w:p w14:paraId="4B387FC0" w14:textId="77777777" w:rsidR="002D58E4" w:rsidRDefault="00F721D4">
            <w:pPr>
              <w:rPr>
                <w:sz w:val="20"/>
                <w:szCs w:val="20"/>
              </w:rPr>
            </w:pPr>
            <w:r>
              <w:rPr>
                <w:sz w:val="20"/>
                <w:szCs w:val="20"/>
              </w:rPr>
              <w:t>not serious</w:t>
            </w:r>
          </w:p>
        </w:tc>
        <w:tc>
          <w:tcPr>
            <w:tcW w:w="1116" w:type="dxa"/>
            <w:tcBorders>
              <w:top w:val="single" w:sz="6" w:space="0" w:color="000000"/>
              <w:left w:val="single" w:sz="6" w:space="0" w:color="000000"/>
              <w:bottom w:val="single" w:sz="6" w:space="0" w:color="000000"/>
              <w:right w:val="single" w:sz="6" w:space="0" w:color="000000"/>
            </w:tcBorders>
          </w:tcPr>
          <w:p w14:paraId="5189C2D0"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2D038C24" w14:textId="77777777" w:rsidR="002D58E4" w:rsidRDefault="00F721D4">
            <w:pPr>
              <w:rPr>
                <w:sz w:val="20"/>
                <w:szCs w:val="20"/>
              </w:rPr>
            </w:pPr>
            <w:r>
              <w:rPr>
                <w:sz w:val="20"/>
                <w:szCs w:val="20"/>
              </w:rPr>
              <w:t xml:space="preserve">serious </w:t>
            </w:r>
            <w:r>
              <w:rPr>
                <w:sz w:val="20"/>
                <w:szCs w:val="20"/>
                <w:vertAlign w:val="superscript"/>
              </w:rPr>
              <w:t>c</w:t>
            </w:r>
          </w:p>
        </w:tc>
        <w:tc>
          <w:tcPr>
            <w:tcW w:w="938" w:type="dxa"/>
            <w:tcBorders>
              <w:top w:val="single" w:sz="6" w:space="0" w:color="000000"/>
              <w:left w:val="single" w:sz="6" w:space="0" w:color="000000"/>
              <w:bottom w:val="single" w:sz="6" w:space="0" w:color="000000"/>
              <w:right w:val="single" w:sz="6" w:space="0" w:color="000000"/>
            </w:tcBorders>
          </w:tcPr>
          <w:p w14:paraId="7C240E1A"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0E3DF129" w14:textId="77777777" w:rsidR="002D58E4" w:rsidRDefault="00F721D4">
            <w:pPr>
              <w:jc w:val="center"/>
              <w:rPr>
                <w:sz w:val="20"/>
                <w:szCs w:val="20"/>
              </w:rPr>
            </w:pPr>
            <w:r>
              <w:rPr>
                <w:sz w:val="20"/>
                <w:szCs w:val="20"/>
              </w:rPr>
              <w:t xml:space="preserve">12/32 </w:t>
            </w:r>
          </w:p>
          <w:p w14:paraId="79597327" w14:textId="77777777" w:rsidR="002D58E4" w:rsidRDefault="00F721D4">
            <w:pPr>
              <w:jc w:val="center"/>
              <w:rPr>
                <w:sz w:val="20"/>
                <w:szCs w:val="20"/>
              </w:rPr>
            </w:pPr>
            <w:r>
              <w:rPr>
                <w:sz w:val="20"/>
                <w:szCs w:val="20"/>
              </w:rPr>
              <w:t xml:space="preserve">(37.5%) </w:t>
            </w:r>
          </w:p>
        </w:tc>
        <w:tc>
          <w:tcPr>
            <w:tcW w:w="1052" w:type="dxa"/>
            <w:gridSpan w:val="2"/>
            <w:tcBorders>
              <w:top w:val="single" w:sz="6" w:space="0" w:color="000000"/>
              <w:left w:val="single" w:sz="6" w:space="0" w:color="000000"/>
              <w:bottom w:val="single" w:sz="6" w:space="0" w:color="000000"/>
              <w:right w:val="single" w:sz="6" w:space="0" w:color="000000"/>
            </w:tcBorders>
          </w:tcPr>
          <w:p w14:paraId="77A3A762" w14:textId="77777777" w:rsidR="002D58E4" w:rsidRDefault="00F721D4">
            <w:pPr>
              <w:jc w:val="center"/>
              <w:rPr>
                <w:sz w:val="20"/>
                <w:szCs w:val="20"/>
              </w:rPr>
            </w:pPr>
            <w:r>
              <w:rPr>
                <w:sz w:val="20"/>
                <w:szCs w:val="20"/>
              </w:rPr>
              <w:t xml:space="preserve">5/33 (15.2%) </w:t>
            </w:r>
          </w:p>
        </w:tc>
        <w:tc>
          <w:tcPr>
            <w:tcW w:w="1510" w:type="dxa"/>
            <w:tcBorders>
              <w:top w:val="single" w:sz="6" w:space="0" w:color="000000"/>
              <w:left w:val="single" w:sz="6" w:space="0" w:color="000000"/>
              <w:bottom w:val="single" w:sz="6" w:space="0" w:color="000000"/>
              <w:right w:val="single" w:sz="6" w:space="0" w:color="000000"/>
            </w:tcBorders>
          </w:tcPr>
          <w:p w14:paraId="5C59637F" w14:textId="77777777" w:rsidR="002D58E4" w:rsidRDefault="00F721D4">
            <w:pPr>
              <w:jc w:val="center"/>
              <w:rPr>
                <w:sz w:val="20"/>
                <w:szCs w:val="20"/>
              </w:rPr>
            </w:pPr>
            <w:r>
              <w:rPr>
                <w:sz w:val="20"/>
                <w:szCs w:val="20"/>
              </w:rPr>
              <w:t>RR 2.47</w:t>
            </w:r>
            <w:r>
              <w:rPr>
                <w:sz w:val="20"/>
                <w:szCs w:val="20"/>
              </w:rPr>
              <w:br/>
              <w:t xml:space="preserve">(0.98 to 6.23) </w:t>
            </w:r>
          </w:p>
        </w:tc>
        <w:tc>
          <w:tcPr>
            <w:tcW w:w="1778" w:type="dxa"/>
            <w:tcBorders>
              <w:top w:val="single" w:sz="6" w:space="0" w:color="000000"/>
              <w:left w:val="single" w:sz="6" w:space="0" w:color="000000"/>
              <w:bottom w:val="single" w:sz="6" w:space="0" w:color="000000"/>
              <w:right w:val="single" w:sz="6" w:space="0" w:color="000000"/>
            </w:tcBorders>
          </w:tcPr>
          <w:p w14:paraId="6C4AD394" w14:textId="77777777" w:rsidR="002D58E4" w:rsidRDefault="00F721D4">
            <w:pPr>
              <w:jc w:val="center"/>
              <w:rPr>
                <w:sz w:val="20"/>
                <w:szCs w:val="20"/>
              </w:rPr>
            </w:pPr>
            <w:r>
              <w:rPr>
                <w:sz w:val="20"/>
                <w:szCs w:val="20"/>
              </w:rPr>
              <w:t>223 more per 1,000</w:t>
            </w:r>
            <w:r>
              <w:rPr>
                <w:sz w:val="20"/>
                <w:szCs w:val="20"/>
              </w:rPr>
              <w:br/>
              <w:t xml:space="preserve">(from 3 fewer to 792 more) </w:t>
            </w:r>
          </w:p>
        </w:tc>
        <w:tc>
          <w:tcPr>
            <w:tcW w:w="1170" w:type="dxa"/>
            <w:tcBorders>
              <w:top w:val="single" w:sz="6" w:space="0" w:color="000000"/>
              <w:left w:val="single" w:sz="6" w:space="0" w:color="000000"/>
              <w:bottom w:val="single" w:sz="6" w:space="0" w:color="000000"/>
              <w:right w:val="single" w:sz="6" w:space="0" w:color="000000"/>
            </w:tcBorders>
          </w:tcPr>
          <w:p w14:paraId="0DA3C9C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5F81B32F" w14:textId="77777777" w:rsidR="002D58E4" w:rsidRDefault="00F721D4">
            <w:pPr>
              <w:rPr>
                <w:sz w:val="20"/>
                <w:szCs w:val="20"/>
              </w:rPr>
            </w:pPr>
            <w:r>
              <w:rPr>
                <w:sz w:val="20"/>
                <w:szCs w:val="20"/>
              </w:rPr>
              <w:t>IMPORTANT</w:t>
            </w:r>
          </w:p>
          <w:p w14:paraId="0DC3F9A1" w14:textId="77777777" w:rsidR="002D58E4" w:rsidRDefault="002D58E4">
            <w:pPr>
              <w:rPr>
                <w:sz w:val="20"/>
                <w:szCs w:val="20"/>
              </w:rPr>
            </w:pPr>
          </w:p>
        </w:tc>
      </w:tr>
      <w:tr w:rsidR="002D58E4" w14:paraId="70BAFC46"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33C03B98" w14:textId="77777777" w:rsidR="002D58E4" w:rsidRDefault="00F721D4">
            <w:pPr>
              <w:rPr>
                <w:sz w:val="20"/>
                <w:szCs w:val="20"/>
              </w:rPr>
            </w:pPr>
            <w:r>
              <w:rPr>
                <w:b/>
                <w:sz w:val="20"/>
                <w:szCs w:val="20"/>
              </w:rPr>
              <w:t>Serious Adverse Events</w:t>
            </w:r>
            <w:r>
              <w:rPr>
                <w:sz w:val="20"/>
                <w:szCs w:val="20"/>
              </w:rPr>
              <w:t xml:space="preserve"> </w:t>
            </w:r>
          </w:p>
        </w:tc>
      </w:tr>
      <w:tr w:rsidR="002D58E4" w14:paraId="61C3B71A" w14:textId="77777777" w:rsidTr="00E70FE5">
        <w:tc>
          <w:tcPr>
            <w:tcW w:w="728" w:type="dxa"/>
            <w:tcBorders>
              <w:top w:val="single" w:sz="6" w:space="0" w:color="000000"/>
              <w:left w:val="single" w:sz="6" w:space="0" w:color="000000"/>
              <w:bottom w:val="single" w:sz="6" w:space="0" w:color="000000"/>
              <w:right w:val="single" w:sz="6" w:space="0" w:color="000000"/>
            </w:tcBorders>
          </w:tcPr>
          <w:p w14:paraId="506D0343" w14:textId="77777777" w:rsidR="002D58E4" w:rsidRDefault="00F721D4">
            <w:pPr>
              <w:rPr>
                <w:sz w:val="20"/>
                <w:szCs w:val="20"/>
              </w:rPr>
            </w:pPr>
            <w:r>
              <w:rPr>
                <w:sz w:val="20"/>
                <w:szCs w:val="20"/>
              </w:rPr>
              <w:t xml:space="preserve">2 </w:t>
            </w:r>
          </w:p>
        </w:tc>
        <w:tc>
          <w:tcPr>
            <w:tcW w:w="827" w:type="dxa"/>
            <w:tcBorders>
              <w:top w:val="single" w:sz="6" w:space="0" w:color="000000"/>
              <w:left w:val="single" w:sz="6" w:space="0" w:color="000000"/>
              <w:bottom w:val="single" w:sz="6" w:space="0" w:color="000000"/>
              <w:right w:val="single" w:sz="6" w:space="0" w:color="000000"/>
            </w:tcBorders>
          </w:tcPr>
          <w:p w14:paraId="012308AC" w14:textId="77777777" w:rsidR="002D58E4" w:rsidRDefault="00F721D4">
            <w:pPr>
              <w:rPr>
                <w:sz w:val="20"/>
                <w:szCs w:val="20"/>
              </w:rPr>
            </w:pPr>
            <w:r>
              <w:rPr>
                <w:sz w:val="20"/>
                <w:szCs w:val="20"/>
              </w:rPr>
              <w:t xml:space="preserve">RCT </w:t>
            </w:r>
            <w:r>
              <w:rPr>
                <w:sz w:val="20"/>
                <w:szCs w:val="20"/>
                <w:vertAlign w:val="superscript"/>
              </w:rPr>
              <w:t>1,2</w:t>
            </w:r>
          </w:p>
        </w:tc>
        <w:tc>
          <w:tcPr>
            <w:tcW w:w="991" w:type="dxa"/>
            <w:tcBorders>
              <w:top w:val="single" w:sz="6" w:space="0" w:color="000000"/>
              <w:left w:val="single" w:sz="6" w:space="0" w:color="000000"/>
              <w:bottom w:val="single" w:sz="6" w:space="0" w:color="000000"/>
              <w:right w:val="single" w:sz="6" w:space="0" w:color="000000"/>
            </w:tcBorders>
          </w:tcPr>
          <w:p w14:paraId="38104E1B" w14:textId="77777777" w:rsidR="002D58E4" w:rsidRDefault="00F721D4">
            <w:pPr>
              <w:rPr>
                <w:sz w:val="20"/>
                <w:szCs w:val="20"/>
              </w:rPr>
            </w:pPr>
            <w:r>
              <w:rPr>
                <w:sz w:val="20"/>
                <w:szCs w:val="20"/>
              </w:rPr>
              <w:t xml:space="preserve">serious </w:t>
            </w:r>
            <w:r>
              <w:rPr>
                <w:sz w:val="20"/>
                <w:szCs w:val="20"/>
                <w:vertAlign w:val="superscript"/>
              </w:rPr>
              <w:t>b, d</w:t>
            </w:r>
          </w:p>
        </w:tc>
        <w:tc>
          <w:tcPr>
            <w:tcW w:w="991" w:type="dxa"/>
            <w:tcBorders>
              <w:top w:val="single" w:sz="6" w:space="0" w:color="000000"/>
              <w:left w:val="single" w:sz="6" w:space="0" w:color="000000"/>
              <w:bottom w:val="single" w:sz="6" w:space="0" w:color="000000"/>
              <w:right w:val="single" w:sz="6" w:space="0" w:color="000000"/>
            </w:tcBorders>
          </w:tcPr>
          <w:p w14:paraId="64912E4F" w14:textId="77777777" w:rsidR="002D58E4" w:rsidRDefault="00F721D4">
            <w:pPr>
              <w:rPr>
                <w:sz w:val="20"/>
                <w:szCs w:val="20"/>
              </w:rPr>
            </w:pPr>
            <w:r>
              <w:rPr>
                <w:sz w:val="20"/>
                <w:szCs w:val="20"/>
              </w:rPr>
              <w:t xml:space="preserve">not serious </w:t>
            </w:r>
          </w:p>
        </w:tc>
        <w:tc>
          <w:tcPr>
            <w:tcW w:w="1116" w:type="dxa"/>
            <w:tcBorders>
              <w:top w:val="single" w:sz="6" w:space="0" w:color="000000"/>
              <w:left w:val="single" w:sz="6" w:space="0" w:color="000000"/>
              <w:bottom w:val="single" w:sz="6" w:space="0" w:color="000000"/>
              <w:right w:val="single" w:sz="6" w:space="0" w:color="000000"/>
            </w:tcBorders>
          </w:tcPr>
          <w:p w14:paraId="30AA8376"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18821BE3" w14:textId="77777777" w:rsidR="002D58E4" w:rsidRDefault="00F721D4">
            <w:pPr>
              <w:rPr>
                <w:sz w:val="20"/>
                <w:szCs w:val="20"/>
              </w:rPr>
            </w:pPr>
            <w:r>
              <w:rPr>
                <w:sz w:val="20"/>
                <w:szCs w:val="20"/>
              </w:rPr>
              <w:t xml:space="preserve">serious </w:t>
            </w:r>
            <w:r>
              <w:rPr>
                <w:sz w:val="20"/>
                <w:szCs w:val="20"/>
                <w:vertAlign w:val="superscript"/>
              </w:rPr>
              <w:t>c</w:t>
            </w:r>
          </w:p>
        </w:tc>
        <w:tc>
          <w:tcPr>
            <w:tcW w:w="938" w:type="dxa"/>
            <w:tcBorders>
              <w:top w:val="single" w:sz="6" w:space="0" w:color="000000"/>
              <w:left w:val="single" w:sz="6" w:space="0" w:color="000000"/>
              <w:bottom w:val="single" w:sz="6" w:space="0" w:color="000000"/>
              <w:right w:val="single" w:sz="6" w:space="0" w:color="000000"/>
            </w:tcBorders>
          </w:tcPr>
          <w:p w14:paraId="52749B05"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5E6BFA90" w14:textId="77777777" w:rsidR="002D58E4" w:rsidRDefault="00F721D4">
            <w:pPr>
              <w:jc w:val="center"/>
              <w:rPr>
                <w:sz w:val="20"/>
                <w:szCs w:val="20"/>
              </w:rPr>
            </w:pPr>
            <w:r>
              <w:rPr>
                <w:sz w:val="20"/>
                <w:szCs w:val="20"/>
              </w:rPr>
              <w:t xml:space="preserve">0/72 </w:t>
            </w:r>
          </w:p>
          <w:p w14:paraId="6F7847CB" w14:textId="77777777" w:rsidR="002D58E4" w:rsidRDefault="00F721D4">
            <w:pPr>
              <w:jc w:val="center"/>
              <w:rPr>
                <w:sz w:val="20"/>
                <w:szCs w:val="20"/>
              </w:rPr>
            </w:pPr>
            <w:r>
              <w:rPr>
                <w:sz w:val="20"/>
                <w:szCs w:val="20"/>
              </w:rPr>
              <w:t xml:space="preserve">(0.0%) </w:t>
            </w:r>
          </w:p>
        </w:tc>
        <w:tc>
          <w:tcPr>
            <w:tcW w:w="1052" w:type="dxa"/>
            <w:gridSpan w:val="2"/>
            <w:tcBorders>
              <w:top w:val="single" w:sz="6" w:space="0" w:color="000000"/>
              <w:left w:val="single" w:sz="6" w:space="0" w:color="000000"/>
              <w:bottom w:val="single" w:sz="6" w:space="0" w:color="000000"/>
              <w:right w:val="single" w:sz="6" w:space="0" w:color="000000"/>
            </w:tcBorders>
          </w:tcPr>
          <w:p w14:paraId="74671CA5" w14:textId="77777777" w:rsidR="002D58E4" w:rsidRDefault="00F721D4">
            <w:pPr>
              <w:jc w:val="center"/>
              <w:rPr>
                <w:sz w:val="20"/>
                <w:szCs w:val="20"/>
              </w:rPr>
            </w:pPr>
            <w:r>
              <w:rPr>
                <w:sz w:val="20"/>
                <w:szCs w:val="20"/>
              </w:rPr>
              <w:t xml:space="preserve">0/74 </w:t>
            </w:r>
          </w:p>
          <w:p w14:paraId="32C2E758" w14:textId="77777777" w:rsidR="002D58E4" w:rsidRDefault="00F721D4">
            <w:pPr>
              <w:jc w:val="center"/>
              <w:rPr>
                <w:sz w:val="20"/>
                <w:szCs w:val="20"/>
              </w:rPr>
            </w:pPr>
            <w:r>
              <w:rPr>
                <w:sz w:val="20"/>
                <w:szCs w:val="20"/>
              </w:rPr>
              <w:t xml:space="preserve">(0.0%) </w:t>
            </w:r>
          </w:p>
        </w:tc>
        <w:tc>
          <w:tcPr>
            <w:tcW w:w="1510" w:type="dxa"/>
            <w:tcBorders>
              <w:top w:val="single" w:sz="6" w:space="0" w:color="000000"/>
              <w:left w:val="single" w:sz="6" w:space="0" w:color="000000"/>
              <w:bottom w:val="single" w:sz="6" w:space="0" w:color="000000"/>
              <w:right w:val="single" w:sz="6" w:space="0" w:color="000000"/>
            </w:tcBorders>
          </w:tcPr>
          <w:p w14:paraId="7A31E91E"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67C90F0B" w14:textId="77777777" w:rsidR="002D58E4" w:rsidRDefault="002D58E4">
            <w:pPr>
              <w:jc w:val="center"/>
              <w:rPr>
                <w:sz w:val="20"/>
                <w:szCs w:val="20"/>
              </w:rPr>
            </w:pPr>
          </w:p>
        </w:tc>
        <w:tc>
          <w:tcPr>
            <w:tcW w:w="1778" w:type="dxa"/>
            <w:tcBorders>
              <w:top w:val="single" w:sz="6" w:space="0" w:color="000000"/>
              <w:left w:val="single" w:sz="6" w:space="0" w:color="000000"/>
              <w:bottom w:val="single" w:sz="6" w:space="0" w:color="000000"/>
              <w:right w:val="single" w:sz="6" w:space="0" w:color="000000"/>
            </w:tcBorders>
          </w:tcPr>
          <w:p w14:paraId="27530F9C" w14:textId="77777777" w:rsidR="002D58E4" w:rsidRDefault="00F721D4">
            <w:pPr>
              <w:jc w:val="center"/>
              <w:rPr>
                <w:sz w:val="20"/>
                <w:szCs w:val="20"/>
              </w:rPr>
            </w:pPr>
            <w:r>
              <w:rPr>
                <w:sz w:val="20"/>
                <w:szCs w:val="20"/>
              </w:rPr>
              <w:t>0 per 1,000</w:t>
            </w:r>
          </w:p>
        </w:tc>
        <w:tc>
          <w:tcPr>
            <w:tcW w:w="1170" w:type="dxa"/>
            <w:tcBorders>
              <w:top w:val="single" w:sz="6" w:space="0" w:color="000000"/>
              <w:left w:val="single" w:sz="6" w:space="0" w:color="000000"/>
              <w:bottom w:val="single" w:sz="6" w:space="0" w:color="000000"/>
              <w:right w:val="single" w:sz="6" w:space="0" w:color="000000"/>
            </w:tcBorders>
          </w:tcPr>
          <w:p w14:paraId="388A9BC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38860AEA" w14:textId="77777777" w:rsidR="002D58E4" w:rsidRDefault="00F721D4">
            <w:pPr>
              <w:rPr>
                <w:sz w:val="20"/>
                <w:szCs w:val="20"/>
              </w:rPr>
            </w:pPr>
            <w:r>
              <w:rPr>
                <w:sz w:val="20"/>
                <w:szCs w:val="20"/>
              </w:rPr>
              <w:t>CRITICAL</w:t>
            </w:r>
          </w:p>
          <w:p w14:paraId="095D77A5" w14:textId="77777777" w:rsidR="002D58E4" w:rsidRDefault="002D58E4">
            <w:pPr>
              <w:rPr>
                <w:sz w:val="20"/>
                <w:szCs w:val="20"/>
              </w:rPr>
            </w:pPr>
          </w:p>
        </w:tc>
      </w:tr>
      <w:tr w:rsidR="002D58E4" w14:paraId="3888DA75" w14:textId="77777777" w:rsidTr="00E70FE5">
        <w:trPr>
          <w:trHeight w:val="20"/>
        </w:trPr>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2C544932" w14:textId="77777777" w:rsidR="002D58E4" w:rsidRDefault="00F721D4">
            <w:pPr>
              <w:rPr>
                <w:sz w:val="20"/>
                <w:szCs w:val="20"/>
              </w:rPr>
            </w:pPr>
            <w:r>
              <w:rPr>
                <w:b/>
                <w:sz w:val="20"/>
                <w:szCs w:val="20"/>
              </w:rPr>
              <w:t>Gastrointestinal Adverse Events</w:t>
            </w:r>
          </w:p>
        </w:tc>
      </w:tr>
      <w:tr w:rsidR="002D58E4" w14:paraId="2B9C16A4" w14:textId="77777777" w:rsidTr="00E70FE5">
        <w:tc>
          <w:tcPr>
            <w:tcW w:w="728" w:type="dxa"/>
            <w:tcBorders>
              <w:top w:val="single" w:sz="6" w:space="0" w:color="000000"/>
              <w:left w:val="single" w:sz="6" w:space="0" w:color="000000"/>
              <w:bottom w:val="single" w:sz="6" w:space="0" w:color="000000"/>
              <w:right w:val="single" w:sz="6" w:space="0" w:color="000000"/>
            </w:tcBorders>
          </w:tcPr>
          <w:p w14:paraId="7531856E" w14:textId="77777777" w:rsidR="002D58E4" w:rsidRDefault="00F721D4">
            <w:pPr>
              <w:rPr>
                <w:sz w:val="20"/>
                <w:szCs w:val="20"/>
              </w:rPr>
            </w:pPr>
            <w:r>
              <w:rPr>
                <w:sz w:val="20"/>
                <w:szCs w:val="20"/>
              </w:rPr>
              <w:t xml:space="preserve">3 </w:t>
            </w:r>
          </w:p>
        </w:tc>
        <w:tc>
          <w:tcPr>
            <w:tcW w:w="827" w:type="dxa"/>
            <w:tcBorders>
              <w:top w:val="single" w:sz="6" w:space="0" w:color="000000"/>
              <w:left w:val="single" w:sz="6" w:space="0" w:color="000000"/>
              <w:bottom w:val="single" w:sz="6" w:space="0" w:color="000000"/>
              <w:right w:val="single" w:sz="6" w:space="0" w:color="000000"/>
            </w:tcBorders>
          </w:tcPr>
          <w:p w14:paraId="07D8BF61" w14:textId="77777777" w:rsidR="002D58E4" w:rsidRDefault="00F721D4">
            <w:pPr>
              <w:rPr>
                <w:sz w:val="20"/>
                <w:szCs w:val="20"/>
              </w:rPr>
            </w:pPr>
            <w:r>
              <w:rPr>
                <w:sz w:val="20"/>
                <w:szCs w:val="20"/>
              </w:rPr>
              <w:t xml:space="preserve">RCT </w:t>
            </w:r>
            <w:r>
              <w:rPr>
                <w:sz w:val="20"/>
                <w:szCs w:val="20"/>
                <w:vertAlign w:val="superscript"/>
              </w:rPr>
              <w:t>1-3</w:t>
            </w:r>
          </w:p>
        </w:tc>
        <w:tc>
          <w:tcPr>
            <w:tcW w:w="991" w:type="dxa"/>
            <w:tcBorders>
              <w:top w:val="single" w:sz="6" w:space="0" w:color="000000"/>
              <w:left w:val="single" w:sz="6" w:space="0" w:color="000000"/>
              <w:bottom w:val="single" w:sz="6" w:space="0" w:color="000000"/>
              <w:right w:val="single" w:sz="6" w:space="0" w:color="000000"/>
            </w:tcBorders>
          </w:tcPr>
          <w:p w14:paraId="2132ADCE" w14:textId="77777777" w:rsidR="002D58E4" w:rsidRDefault="00F721D4">
            <w:pPr>
              <w:rPr>
                <w:sz w:val="20"/>
                <w:szCs w:val="20"/>
              </w:rPr>
            </w:pPr>
            <w:r>
              <w:rPr>
                <w:sz w:val="20"/>
                <w:szCs w:val="20"/>
              </w:rPr>
              <w:t xml:space="preserve">serious </w:t>
            </w:r>
            <w:r>
              <w:rPr>
                <w:sz w:val="20"/>
                <w:szCs w:val="20"/>
                <w:vertAlign w:val="superscript"/>
              </w:rPr>
              <w:t>b, d</w:t>
            </w:r>
          </w:p>
        </w:tc>
        <w:tc>
          <w:tcPr>
            <w:tcW w:w="991" w:type="dxa"/>
            <w:tcBorders>
              <w:top w:val="single" w:sz="6" w:space="0" w:color="000000"/>
              <w:left w:val="single" w:sz="6" w:space="0" w:color="000000"/>
              <w:bottom w:val="single" w:sz="6" w:space="0" w:color="000000"/>
              <w:right w:val="single" w:sz="6" w:space="0" w:color="000000"/>
            </w:tcBorders>
          </w:tcPr>
          <w:p w14:paraId="304268D7" w14:textId="77777777" w:rsidR="002D58E4" w:rsidRDefault="00F721D4">
            <w:pPr>
              <w:rPr>
                <w:sz w:val="20"/>
                <w:szCs w:val="20"/>
              </w:rPr>
            </w:pPr>
            <w:r>
              <w:rPr>
                <w:sz w:val="20"/>
                <w:szCs w:val="20"/>
              </w:rPr>
              <w:t xml:space="preserve">not serious </w:t>
            </w:r>
          </w:p>
        </w:tc>
        <w:tc>
          <w:tcPr>
            <w:tcW w:w="1116" w:type="dxa"/>
            <w:tcBorders>
              <w:top w:val="single" w:sz="6" w:space="0" w:color="000000"/>
              <w:left w:val="single" w:sz="6" w:space="0" w:color="000000"/>
              <w:bottom w:val="single" w:sz="6" w:space="0" w:color="000000"/>
              <w:right w:val="single" w:sz="6" w:space="0" w:color="000000"/>
            </w:tcBorders>
          </w:tcPr>
          <w:p w14:paraId="7EBCD200"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2CD1384C" w14:textId="77777777" w:rsidR="002D58E4" w:rsidRDefault="00F721D4">
            <w:pPr>
              <w:rPr>
                <w:sz w:val="20"/>
                <w:szCs w:val="20"/>
                <w:vertAlign w:val="superscript"/>
              </w:rPr>
            </w:pPr>
            <w:r>
              <w:rPr>
                <w:sz w:val="20"/>
                <w:szCs w:val="20"/>
              </w:rPr>
              <w:t xml:space="preserve">serious </w:t>
            </w:r>
            <w:r>
              <w:rPr>
                <w:sz w:val="20"/>
                <w:szCs w:val="20"/>
                <w:vertAlign w:val="superscript"/>
              </w:rPr>
              <w:t>a</w:t>
            </w:r>
          </w:p>
        </w:tc>
        <w:tc>
          <w:tcPr>
            <w:tcW w:w="938" w:type="dxa"/>
            <w:tcBorders>
              <w:top w:val="single" w:sz="6" w:space="0" w:color="000000"/>
              <w:left w:val="single" w:sz="6" w:space="0" w:color="000000"/>
              <w:bottom w:val="single" w:sz="6" w:space="0" w:color="000000"/>
              <w:right w:val="single" w:sz="6" w:space="0" w:color="000000"/>
            </w:tcBorders>
          </w:tcPr>
          <w:p w14:paraId="71697D78"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76FF57D5" w14:textId="77777777" w:rsidR="002D58E4" w:rsidRDefault="00F721D4">
            <w:pPr>
              <w:jc w:val="center"/>
              <w:rPr>
                <w:sz w:val="20"/>
                <w:szCs w:val="20"/>
              </w:rPr>
            </w:pPr>
            <w:r>
              <w:rPr>
                <w:sz w:val="20"/>
                <w:szCs w:val="20"/>
              </w:rPr>
              <w:t xml:space="preserve">17/92 </w:t>
            </w:r>
          </w:p>
          <w:p w14:paraId="3CD96E4E" w14:textId="77777777" w:rsidR="002D58E4" w:rsidRDefault="00F721D4">
            <w:pPr>
              <w:jc w:val="center"/>
              <w:rPr>
                <w:sz w:val="20"/>
                <w:szCs w:val="20"/>
              </w:rPr>
            </w:pPr>
            <w:r>
              <w:rPr>
                <w:sz w:val="20"/>
                <w:szCs w:val="20"/>
              </w:rPr>
              <w:t xml:space="preserve">(18.5%) </w:t>
            </w:r>
          </w:p>
        </w:tc>
        <w:tc>
          <w:tcPr>
            <w:tcW w:w="1052" w:type="dxa"/>
            <w:gridSpan w:val="2"/>
            <w:tcBorders>
              <w:top w:val="single" w:sz="6" w:space="0" w:color="000000"/>
              <w:left w:val="single" w:sz="6" w:space="0" w:color="000000"/>
              <w:bottom w:val="single" w:sz="6" w:space="0" w:color="000000"/>
              <w:right w:val="single" w:sz="6" w:space="0" w:color="000000"/>
            </w:tcBorders>
          </w:tcPr>
          <w:p w14:paraId="7C697DC6" w14:textId="77777777" w:rsidR="002D58E4" w:rsidRDefault="00F721D4">
            <w:pPr>
              <w:jc w:val="center"/>
              <w:rPr>
                <w:sz w:val="20"/>
                <w:szCs w:val="20"/>
              </w:rPr>
            </w:pPr>
            <w:r>
              <w:rPr>
                <w:sz w:val="20"/>
                <w:szCs w:val="20"/>
              </w:rPr>
              <w:t xml:space="preserve">8/95 </w:t>
            </w:r>
          </w:p>
          <w:p w14:paraId="760B1428" w14:textId="77777777" w:rsidR="002D58E4" w:rsidRDefault="00F721D4">
            <w:pPr>
              <w:jc w:val="center"/>
              <w:rPr>
                <w:sz w:val="20"/>
                <w:szCs w:val="20"/>
              </w:rPr>
            </w:pPr>
            <w:r>
              <w:rPr>
                <w:sz w:val="20"/>
                <w:szCs w:val="20"/>
              </w:rPr>
              <w:t xml:space="preserve">(8.4%) </w:t>
            </w:r>
          </w:p>
        </w:tc>
        <w:tc>
          <w:tcPr>
            <w:tcW w:w="1510" w:type="dxa"/>
            <w:tcBorders>
              <w:top w:val="single" w:sz="6" w:space="0" w:color="000000"/>
              <w:left w:val="single" w:sz="6" w:space="0" w:color="000000"/>
              <w:bottom w:val="single" w:sz="6" w:space="0" w:color="000000"/>
              <w:right w:val="single" w:sz="6" w:space="0" w:color="000000"/>
            </w:tcBorders>
          </w:tcPr>
          <w:p w14:paraId="22112CDB" w14:textId="77777777" w:rsidR="002D58E4" w:rsidRDefault="00F721D4">
            <w:pPr>
              <w:jc w:val="center"/>
              <w:rPr>
                <w:b/>
                <w:sz w:val="20"/>
                <w:szCs w:val="20"/>
              </w:rPr>
            </w:pPr>
            <w:r>
              <w:rPr>
                <w:b/>
                <w:sz w:val="20"/>
                <w:szCs w:val="20"/>
              </w:rPr>
              <w:t>RR 2.19</w:t>
            </w:r>
            <w:r>
              <w:rPr>
                <w:b/>
                <w:sz w:val="20"/>
                <w:szCs w:val="20"/>
              </w:rPr>
              <w:br/>
              <w:t xml:space="preserve">(1.00 to 4.83) </w:t>
            </w:r>
          </w:p>
        </w:tc>
        <w:tc>
          <w:tcPr>
            <w:tcW w:w="1778" w:type="dxa"/>
            <w:tcBorders>
              <w:top w:val="single" w:sz="6" w:space="0" w:color="000000"/>
              <w:left w:val="single" w:sz="6" w:space="0" w:color="000000"/>
              <w:bottom w:val="single" w:sz="6" w:space="0" w:color="000000"/>
              <w:right w:val="single" w:sz="6" w:space="0" w:color="000000"/>
            </w:tcBorders>
          </w:tcPr>
          <w:p w14:paraId="07F29DCF" w14:textId="77777777" w:rsidR="002D58E4" w:rsidRDefault="00F721D4">
            <w:pPr>
              <w:jc w:val="center"/>
              <w:rPr>
                <w:b/>
                <w:sz w:val="20"/>
                <w:szCs w:val="20"/>
              </w:rPr>
            </w:pPr>
            <w:r>
              <w:rPr>
                <w:b/>
                <w:sz w:val="20"/>
                <w:szCs w:val="20"/>
              </w:rPr>
              <w:t>100 more per 1,000</w:t>
            </w:r>
            <w:r>
              <w:rPr>
                <w:b/>
                <w:sz w:val="20"/>
                <w:szCs w:val="20"/>
              </w:rPr>
              <w:br/>
              <w:t xml:space="preserve">(from 4 more to 198 more) </w:t>
            </w:r>
          </w:p>
        </w:tc>
        <w:tc>
          <w:tcPr>
            <w:tcW w:w="1170" w:type="dxa"/>
            <w:tcBorders>
              <w:top w:val="single" w:sz="6" w:space="0" w:color="000000"/>
              <w:left w:val="single" w:sz="6" w:space="0" w:color="000000"/>
              <w:bottom w:val="single" w:sz="6" w:space="0" w:color="000000"/>
              <w:right w:val="single" w:sz="6" w:space="0" w:color="000000"/>
            </w:tcBorders>
          </w:tcPr>
          <w:p w14:paraId="019CD64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78D557F4" w14:textId="77777777" w:rsidR="002D58E4" w:rsidRDefault="00F721D4">
            <w:pPr>
              <w:rPr>
                <w:sz w:val="20"/>
                <w:szCs w:val="20"/>
              </w:rPr>
            </w:pPr>
            <w:r>
              <w:rPr>
                <w:sz w:val="20"/>
                <w:szCs w:val="20"/>
              </w:rPr>
              <w:t>IMPORTANT</w:t>
            </w:r>
          </w:p>
        </w:tc>
      </w:tr>
      <w:tr w:rsidR="002D58E4" w14:paraId="67DD0E7E"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1E1D5F48" w14:textId="77777777" w:rsidR="002D58E4" w:rsidRDefault="00F721D4">
            <w:pPr>
              <w:rPr>
                <w:sz w:val="20"/>
                <w:szCs w:val="20"/>
              </w:rPr>
            </w:pPr>
            <w:r>
              <w:rPr>
                <w:b/>
                <w:sz w:val="20"/>
                <w:szCs w:val="20"/>
              </w:rPr>
              <w:t xml:space="preserve">Allergic Reaction </w:t>
            </w:r>
          </w:p>
        </w:tc>
      </w:tr>
      <w:tr w:rsidR="002D58E4" w14:paraId="30722DCF" w14:textId="77777777" w:rsidTr="00E70FE5">
        <w:tc>
          <w:tcPr>
            <w:tcW w:w="728" w:type="dxa"/>
            <w:tcBorders>
              <w:top w:val="single" w:sz="6" w:space="0" w:color="000000"/>
              <w:left w:val="single" w:sz="6" w:space="0" w:color="000000"/>
              <w:bottom w:val="single" w:sz="6" w:space="0" w:color="000000"/>
              <w:right w:val="single" w:sz="6" w:space="0" w:color="000000"/>
            </w:tcBorders>
          </w:tcPr>
          <w:p w14:paraId="2681E09A" w14:textId="77777777" w:rsidR="002D58E4" w:rsidRDefault="00F721D4">
            <w:pPr>
              <w:rPr>
                <w:sz w:val="20"/>
                <w:szCs w:val="20"/>
              </w:rPr>
            </w:pPr>
            <w:r>
              <w:rPr>
                <w:sz w:val="20"/>
                <w:szCs w:val="20"/>
              </w:rPr>
              <w:t xml:space="preserve">2 </w:t>
            </w:r>
          </w:p>
        </w:tc>
        <w:tc>
          <w:tcPr>
            <w:tcW w:w="827" w:type="dxa"/>
            <w:tcBorders>
              <w:top w:val="single" w:sz="6" w:space="0" w:color="000000"/>
              <w:left w:val="single" w:sz="6" w:space="0" w:color="000000"/>
              <w:bottom w:val="single" w:sz="6" w:space="0" w:color="000000"/>
              <w:right w:val="single" w:sz="6" w:space="0" w:color="000000"/>
            </w:tcBorders>
          </w:tcPr>
          <w:p w14:paraId="5F922BD7" w14:textId="77777777" w:rsidR="002D58E4" w:rsidRDefault="00F721D4">
            <w:pPr>
              <w:rPr>
                <w:sz w:val="20"/>
                <w:szCs w:val="20"/>
              </w:rPr>
            </w:pPr>
            <w:r>
              <w:rPr>
                <w:sz w:val="20"/>
                <w:szCs w:val="20"/>
              </w:rPr>
              <w:t xml:space="preserve">RCT </w:t>
            </w:r>
            <w:r>
              <w:rPr>
                <w:sz w:val="20"/>
                <w:szCs w:val="20"/>
                <w:vertAlign w:val="superscript"/>
              </w:rPr>
              <w:t>2,3</w:t>
            </w:r>
          </w:p>
        </w:tc>
        <w:tc>
          <w:tcPr>
            <w:tcW w:w="991" w:type="dxa"/>
            <w:tcBorders>
              <w:top w:val="single" w:sz="6" w:space="0" w:color="000000"/>
              <w:left w:val="single" w:sz="6" w:space="0" w:color="000000"/>
              <w:bottom w:val="single" w:sz="6" w:space="0" w:color="000000"/>
              <w:right w:val="single" w:sz="6" w:space="0" w:color="000000"/>
            </w:tcBorders>
          </w:tcPr>
          <w:p w14:paraId="05A8C448" w14:textId="77777777" w:rsidR="002D58E4" w:rsidRDefault="00F721D4">
            <w:pPr>
              <w:rPr>
                <w:sz w:val="20"/>
                <w:szCs w:val="20"/>
              </w:rPr>
            </w:pPr>
            <w:r>
              <w:rPr>
                <w:sz w:val="20"/>
                <w:szCs w:val="20"/>
              </w:rPr>
              <w:t xml:space="preserve">serious </w:t>
            </w:r>
            <w:r>
              <w:rPr>
                <w:sz w:val="20"/>
                <w:szCs w:val="20"/>
                <w:vertAlign w:val="superscript"/>
              </w:rPr>
              <w:t>b, d</w:t>
            </w:r>
          </w:p>
        </w:tc>
        <w:tc>
          <w:tcPr>
            <w:tcW w:w="991" w:type="dxa"/>
            <w:tcBorders>
              <w:top w:val="single" w:sz="6" w:space="0" w:color="000000"/>
              <w:left w:val="single" w:sz="6" w:space="0" w:color="000000"/>
              <w:bottom w:val="single" w:sz="6" w:space="0" w:color="000000"/>
              <w:right w:val="single" w:sz="6" w:space="0" w:color="000000"/>
            </w:tcBorders>
          </w:tcPr>
          <w:p w14:paraId="367EA439" w14:textId="77777777" w:rsidR="002D58E4" w:rsidRDefault="00F721D4">
            <w:pPr>
              <w:rPr>
                <w:sz w:val="20"/>
                <w:szCs w:val="20"/>
              </w:rPr>
            </w:pPr>
            <w:r>
              <w:rPr>
                <w:sz w:val="20"/>
                <w:szCs w:val="20"/>
              </w:rPr>
              <w:t xml:space="preserve">not serious </w:t>
            </w:r>
          </w:p>
        </w:tc>
        <w:tc>
          <w:tcPr>
            <w:tcW w:w="1116" w:type="dxa"/>
            <w:tcBorders>
              <w:top w:val="single" w:sz="6" w:space="0" w:color="000000"/>
              <w:left w:val="single" w:sz="6" w:space="0" w:color="000000"/>
              <w:bottom w:val="single" w:sz="6" w:space="0" w:color="000000"/>
              <w:right w:val="single" w:sz="6" w:space="0" w:color="000000"/>
            </w:tcBorders>
          </w:tcPr>
          <w:p w14:paraId="336EDCAC"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3F1494A4" w14:textId="77777777" w:rsidR="002D58E4" w:rsidRDefault="00F721D4">
            <w:pPr>
              <w:rPr>
                <w:sz w:val="20"/>
                <w:szCs w:val="20"/>
              </w:rPr>
            </w:pPr>
            <w:r>
              <w:rPr>
                <w:sz w:val="20"/>
                <w:szCs w:val="20"/>
              </w:rPr>
              <w:t xml:space="preserve">serious </w:t>
            </w:r>
            <w:r>
              <w:rPr>
                <w:sz w:val="20"/>
                <w:szCs w:val="20"/>
                <w:vertAlign w:val="superscript"/>
              </w:rPr>
              <w:t>c</w:t>
            </w:r>
          </w:p>
        </w:tc>
        <w:tc>
          <w:tcPr>
            <w:tcW w:w="938" w:type="dxa"/>
            <w:tcBorders>
              <w:top w:val="single" w:sz="6" w:space="0" w:color="000000"/>
              <w:left w:val="single" w:sz="6" w:space="0" w:color="000000"/>
              <w:bottom w:val="single" w:sz="6" w:space="0" w:color="000000"/>
              <w:right w:val="single" w:sz="6" w:space="0" w:color="000000"/>
            </w:tcBorders>
          </w:tcPr>
          <w:p w14:paraId="13972F79"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2A04EAE8" w14:textId="77777777" w:rsidR="002D58E4" w:rsidRDefault="00F721D4">
            <w:pPr>
              <w:jc w:val="center"/>
              <w:rPr>
                <w:sz w:val="20"/>
                <w:szCs w:val="20"/>
              </w:rPr>
            </w:pPr>
            <w:r>
              <w:rPr>
                <w:sz w:val="20"/>
                <w:szCs w:val="20"/>
              </w:rPr>
              <w:t xml:space="preserve">2/52 </w:t>
            </w:r>
          </w:p>
          <w:p w14:paraId="19B497BB" w14:textId="77777777" w:rsidR="002D58E4" w:rsidRDefault="00F721D4">
            <w:pPr>
              <w:jc w:val="center"/>
              <w:rPr>
                <w:sz w:val="20"/>
                <w:szCs w:val="20"/>
              </w:rPr>
            </w:pPr>
            <w:r>
              <w:rPr>
                <w:sz w:val="20"/>
                <w:szCs w:val="20"/>
              </w:rPr>
              <w:t xml:space="preserve">(3.8%) </w:t>
            </w:r>
          </w:p>
        </w:tc>
        <w:tc>
          <w:tcPr>
            <w:tcW w:w="1052" w:type="dxa"/>
            <w:gridSpan w:val="2"/>
            <w:tcBorders>
              <w:top w:val="single" w:sz="6" w:space="0" w:color="000000"/>
              <w:left w:val="single" w:sz="6" w:space="0" w:color="000000"/>
              <w:bottom w:val="single" w:sz="6" w:space="0" w:color="000000"/>
              <w:right w:val="single" w:sz="6" w:space="0" w:color="000000"/>
            </w:tcBorders>
          </w:tcPr>
          <w:p w14:paraId="402DA56B" w14:textId="77777777" w:rsidR="002D58E4" w:rsidRDefault="00F721D4">
            <w:pPr>
              <w:jc w:val="center"/>
              <w:rPr>
                <w:sz w:val="20"/>
                <w:szCs w:val="20"/>
              </w:rPr>
            </w:pPr>
            <w:r>
              <w:rPr>
                <w:sz w:val="20"/>
                <w:szCs w:val="20"/>
              </w:rPr>
              <w:t>0/54</w:t>
            </w:r>
          </w:p>
          <w:p w14:paraId="322FD476" w14:textId="77777777" w:rsidR="002D58E4" w:rsidRDefault="00F721D4">
            <w:pPr>
              <w:jc w:val="center"/>
              <w:rPr>
                <w:sz w:val="20"/>
                <w:szCs w:val="20"/>
              </w:rPr>
            </w:pPr>
            <w:r>
              <w:rPr>
                <w:sz w:val="20"/>
                <w:szCs w:val="20"/>
              </w:rPr>
              <w:t xml:space="preserve"> (0.0%) </w:t>
            </w:r>
          </w:p>
        </w:tc>
        <w:tc>
          <w:tcPr>
            <w:tcW w:w="1510" w:type="dxa"/>
            <w:tcBorders>
              <w:top w:val="single" w:sz="6" w:space="0" w:color="000000"/>
              <w:left w:val="single" w:sz="6" w:space="0" w:color="000000"/>
              <w:bottom w:val="single" w:sz="6" w:space="0" w:color="000000"/>
              <w:right w:val="single" w:sz="6" w:space="0" w:color="000000"/>
            </w:tcBorders>
          </w:tcPr>
          <w:p w14:paraId="6FF67D7E"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5E3947AD" w14:textId="77777777" w:rsidR="002D58E4" w:rsidRDefault="002D58E4">
            <w:pPr>
              <w:jc w:val="center"/>
              <w:rPr>
                <w:sz w:val="20"/>
                <w:szCs w:val="20"/>
              </w:rPr>
            </w:pPr>
          </w:p>
        </w:tc>
        <w:tc>
          <w:tcPr>
            <w:tcW w:w="1778" w:type="dxa"/>
            <w:tcBorders>
              <w:top w:val="single" w:sz="6" w:space="0" w:color="000000"/>
              <w:left w:val="single" w:sz="6" w:space="0" w:color="000000"/>
              <w:bottom w:val="single" w:sz="6" w:space="0" w:color="000000"/>
              <w:right w:val="single" w:sz="6" w:space="0" w:color="000000"/>
            </w:tcBorders>
          </w:tcPr>
          <w:p w14:paraId="567FB042" w14:textId="77777777" w:rsidR="002D58E4" w:rsidRDefault="00F721D4">
            <w:pPr>
              <w:jc w:val="center"/>
              <w:rPr>
                <w:sz w:val="20"/>
                <w:szCs w:val="20"/>
              </w:rPr>
            </w:pPr>
            <w:r>
              <w:rPr>
                <w:sz w:val="20"/>
                <w:szCs w:val="20"/>
              </w:rPr>
              <w:t xml:space="preserve">38 more per 1,000 </w:t>
            </w:r>
          </w:p>
          <w:p w14:paraId="7B99A9D7" w14:textId="77777777" w:rsidR="002D58E4" w:rsidRDefault="002D58E4">
            <w:pPr>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5115A374"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462C66D7" w14:textId="77777777" w:rsidR="002D58E4" w:rsidRDefault="00F721D4">
            <w:pPr>
              <w:rPr>
                <w:sz w:val="20"/>
                <w:szCs w:val="20"/>
              </w:rPr>
            </w:pPr>
            <w:r>
              <w:rPr>
                <w:sz w:val="20"/>
                <w:szCs w:val="20"/>
              </w:rPr>
              <w:t>IMPORTANT</w:t>
            </w:r>
          </w:p>
        </w:tc>
      </w:tr>
      <w:tr w:rsidR="002D58E4" w14:paraId="6175D1A7" w14:textId="77777777" w:rsidTr="00E70FE5">
        <w:tc>
          <w:tcPr>
            <w:tcW w:w="14602"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275420AA" w14:textId="77777777" w:rsidR="002D58E4" w:rsidRDefault="00F721D4">
            <w:pPr>
              <w:rPr>
                <w:sz w:val="20"/>
                <w:szCs w:val="20"/>
              </w:rPr>
            </w:pPr>
            <w:r>
              <w:rPr>
                <w:b/>
                <w:sz w:val="20"/>
                <w:szCs w:val="20"/>
              </w:rPr>
              <w:t>Diarrhea</w:t>
            </w:r>
            <w:r>
              <w:rPr>
                <w:sz w:val="20"/>
                <w:szCs w:val="20"/>
              </w:rPr>
              <w:t xml:space="preserve"> </w:t>
            </w:r>
          </w:p>
        </w:tc>
      </w:tr>
      <w:tr w:rsidR="002D58E4" w14:paraId="5AA7E822" w14:textId="77777777" w:rsidTr="00E70FE5">
        <w:tc>
          <w:tcPr>
            <w:tcW w:w="728" w:type="dxa"/>
            <w:tcBorders>
              <w:top w:val="single" w:sz="6" w:space="0" w:color="000000"/>
              <w:left w:val="single" w:sz="6" w:space="0" w:color="000000"/>
              <w:bottom w:val="single" w:sz="6" w:space="0" w:color="000000"/>
              <w:right w:val="single" w:sz="6" w:space="0" w:color="000000"/>
            </w:tcBorders>
          </w:tcPr>
          <w:p w14:paraId="7FF8E0D6" w14:textId="77777777" w:rsidR="002D58E4" w:rsidRDefault="00F721D4">
            <w:pPr>
              <w:rPr>
                <w:sz w:val="20"/>
                <w:szCs w:val="20"/>
              </w:rPr>
            </w:pPr>
            <w:r>
              <w:rPr>
                <w:sz w:val="20"/>
                <w:szCs w:val="20"/>
              </w:rPr>
              <w:t xml:space="preserve">1 </w:t>
            </w:r>
          </w:p>
        </w:tc>
        <w:tc>
          <w:tcPr>
            <w:tcW w:w="827" w:type="dxa"/>
            <w:tcBorders>
              <w:top w:val="single" w:sz="6" w:space="0" w:color="000000"/>
              <w:left w:val="single" w:sz="6" w:space="0" w:color="000000"/>
              <w:bottom w:val="single" w:sz="6" w:space="0" w:color="000000"/>
              <w:right w:val="single" w:sz="6" w:space="0" w:color="000000"/>
            </w:tcBorders>
          </w:tcPr>
          <w:p w14:paraId="09D66489" w14:textId="77777777" w:rsidR="002D58E4" w:rsidRDefault="00F721D4">
            <w:pPr>
              <w:rPr>
                <w:sz w:val="20"/>
                <w:szCs w:val="20"/>
              </w:rPr>
            </w:pPr>
            <w:r>
              <w:rPr>
                <w:sz w:val="20"/>
                <w:szCs w:val="20"/>
              </w:rPr>
              <w:t xml:space="preserve">RCT </w:t>
            </w:r>
            <w:r>
              <w:rPr>
                <w:sz w:val="20"/>
                <w:szCs w:val="20"/>
                <w:vertAlign w:val="superscript"/>
              </w:rPr>
              <w:t>2</w:t>
            </w:r>
          </w:p>
        </w:tc>
        <w:tc>
          <w:tcPr>
            <w:tcW w:w="991" w:type="dxa"/>
            <w:tcBorders>
              <w:top w:val="single" w:sz="6" w:space="0" w:color="000000"/>
              <w:left w:val="single" w:sz="6" w:space="0" w:color="000000"/>
              <w:bottom w:val="single" w:sz="6" w:space="0" w:color="000000"/>
              <w:right w:val="single" w:sz="6" w:space="0" w:color="000000"/>
            </w:tcBorders>
          </w:tcPr>
          <w:p w14:paraId="00DB99BD" w14:textId="77777777" w:rsidR="002D58E4" w:rsidRDefault="00F721D4">
            <w:pPr>
              <w:rPr>
                <w:sz w:val="20"/>
                <w:szCs w:val="20"/>
              </w:rPr>
            </w:pPr>
            <w:r>
              <w:rPr>
                <w:sz w:val="20"/>
                <w:szCs w:val="20"/>
              </w:rPr>
              <w:t xml:space="preserve">serious </w:t>
            </w:r>
            <w:r>
              <w:rPr>
                <w:sz w:val="20"/>
                <w:szCs w:val="20"/>
                <w:vertAlign w:val="superscript"/>
              </w:rPr>
              <w:t>d</w:t>
            </w:r>
          </w:p>
        </w:tc>
        <w:tc>
          <w:tcPr>
            <w:tcW w:w="991" w:type="dxa"/>
            <w:tcBorders>
              <w:top w:val="single" w:sz="6" w:space="0" w:color="000000"/>
              <w:left w:val="single" w:sz="6" w:space="0" w:color="000000"/>
              <w:bottom w:val="single" w:sz="6" w:space="0" w:color="000000"/>
              <w:right w:val="single" w:sz="6" w:space="0" w:color="000000"/>
            </w:tcBorders>
          </w:tcPr>
          <w:p w14:paraId="03A5A375" w14:textId="77777777" w:rsidR="002D58E4" w:rsidRDefault="00F721D4">
            <w:pPr>
              <w:rPr>
                <w:sz w:val="20"/>
                <w:szCs w:val="20"/>
              </w:rPr>
            </w:pPr>
            <w:r>
              <w:rPr>
                <w:sz w:val="20"/>
                <w:szCs w:val="20"/>
              </w:rPr>
              <w:t xml:space="preserve">not serious </w:t>
            </w:r>
          </w:p>
        </w:tc>
        <w:tc>
          <w:tcPr>
            <w:tcW w:w="1116" w:type="dxa"/>
            <w:tcBorders>
              <w:top w:val="single" w:sz="6" w:space="0" w:color="000000"/>
              <w:left w:val="single" w:sz="6" w:space="0" w:color="000000"/>
              <w:bottom w:val="single" w:sz="6" w:space="0" w:color="000000"/>
              <w:right w:val="single" w:sz="6" w:space="0" w:color="000000"/>
            </w:tcBorders>
          </w:tcPr>
          <w:p w14:paraId="047C7109" w14:textId="77777777" w:rsidR="002D58E4" w:rsidRDefault="00F721D4">
            <w:pPr>
              <w:rPr>
                <w:sz w:val="20"/>
                <w:szCs w:val="20"/>
              </w:rPr>
            </w:pPr>
            <w:r>
              <w:rPr>
                <w:sz w:val="20"/>
                <w:szCs w:val="20"/>
              </w:rPr>
              <w:t xml:space="preserve">not serious </w:t>
            </w:r>
          </w:p>
        </w:tc>
        <w:tc>
          <w:tcPr>
            <w:tcW w:w="1072" w:type="dxa"/>
            <w:tcBorders>
              <w:top w:val="single" w:sz="6" w:space="0" w:color="000000"/>
              <w:left w:val="single" w:sz="6" w:space="0" w:color="000000"/>
              <w:bottom w:val="single" w:sz="6" w:space="0" w:color="000000"/>
              <w:right w:val="single" w:sz="6" w:space="0" w:color="000000"/>
            </w:tcBorders>
          </w:tcPr>
          <w:p w14:paraId="350927B7" w14:textId="77777777" w:rsidR="002D58E4" w:rsidRDefault="00F721D4">
            <w:pPr>
              <w:rPr>
                <w:sz w:val="20"/>
                <w:szCs w:val="20"/>
              </w:rPr>
            </w:pPr>
            <w:r>
              <w:rPr>
                <w:sz w:val="20"/>
                <w:szCs w:val="20"/>
              </w:rPr>
              <w:t xml:space="preserve">serious </w:t>
            </w:r>
            <w:r>
              <w:rPr>
                <w:sz w:val="20"/>
                <w:szCs w:val="20"/>
                <w:vertAlign w:val="superscript"/>
              </w:rPr>
              <w:t>c</w:t>
            </w:r>
          </w:p>
        </w:tc>
        <w:tc>
          <w:tcPr>
            <w:tcW w:w="938" w:type="dxa"/>
            <w:tcBorders>
              <w:top w:val="single" w:sz="6" w:space="0" w:color="000000"/>
              <w:left w:val="single" w:sz="6" w:space="0" w:color="000000"/>
              <w:bottom w:val="single" w:sz="6" w:space="0" w:color="000000"/>
              <w:right w:val="single" w:sz="6" w:space="0" w:color="000000"/>
            </w:tcBorders>
          </w:tcPr>
          <w:p w14:paraId="3B456FF3" w14:textId="77777777" w:rsidR="002D58E4" w:rsidRDefault="00F721D4">
            <w:pPr>
              <w:rPr>
                <w:sz w:val="20"/>
                <w:szCs w:val="20"/>
              </w:rPr>
            </w:pPr>
            <w:r>
              <w:rPr>
                <w:sz w:val="20"/>
                <w:szCs w:val="20"/>
              </w:rPr>
              <w:t xml:space="preserve">none </w:t>
            </w:r>
          </w:p>
        </w:tc>
        <w:tc>
          <w:tcPr>
            <w:tcW w:w="1188" w:type="dxa"/>
            <w:tcBorders>
              <w:top w:val="single" w:sz="6" w:space="0" w:color="000000"/>
              <w:left w:val="single" w:sz="6" w:space="0" w:color="000000"/>
              <w:bottom w:val="single" w:sz="6" w:space="0" w:color="000000"/>
              <w:right w:val="single" w:sz="6" w:space="0" w:color="000000"/>
            </w:tcBorders>
          </w:tcPr>
          <w:p w14:paraId="71E484D5" w14:textId="77777777" w:rsidR="002D58E4" w:rsidRDefault="00F721D4">
            <w:pPr>
              <w:jc w:val="center"/>
              <w:rPr>
                <w:sz w:val="20"/>
                <w:szCs w:val="20"/>
              </w:rPr>
            </w:pPr>
            <w:r>
              <w:rPr>
                <w:sz w:val="20"/>
                <w:szCs w:val="20"/>
              </w:rPr>
              <w:t xml:space="preserve">4/32 </w:t>
            </w:r>
          </w:p>
          <w:p w14:paraId="66C8CB20" w14:textId="77777777" w:rsidR="002D58E4" w:rsidRDefault="00F721D4">
            <w:pPr>
              <w:jc w:val="center"/>
              <w:rPr>
                <w:sz w:val="20"/>
                <w:szCs w:val="20"/>
              </w:rPr>
            </w:pPr>
            <w:r>
              <w:rPr>
                <w:sz w:val="20"/>
                <w:szCs w:val="20"/>
              </w:rPr>
              <w:t xml:space="preserve">(12.5%) </w:t>
            </w:r>
          </w:p>
        </w:tc>
        <w:tc>
          <w:tcPr>
            <w:tcW w:w="1052" w:type="dxa"/>
            <w:gridSpan w:val="2"/>
            <w:tcBorders>
              <w:top w:val="single" w:sz="6" w:space="0" w:color="000000"/>
              <w:left w:val="single" w:sz="6" w:space="0" w:color="000000"/>
              <w:bottom w:val="single" w:sz="6" w:space="0" w:color="000000"/>
              <w:right w:val="single" w:sz="6" w:space="0" w:color="000000"/>
            </w:tcBorders>
          </w:tcPr>
          <w:p w14:paraId="40256C42" w14:textId="77777777" w:rsidR="002D58E4" w:rsidRDefault="00F721D4">
            <w:pPr>
              <w:jc w:val="center"/>
              <w:rPr>
                <w:sz w:val="20"/>
                <w:szCs w:val="20"/>
              </w:rPr>
            </w:pPr>
            <w:r>
              <w:rPr>
                <w:sz w:val="20"/>
                <w:szCs w:val="20"/>
              </w:rPr>
              <w:t xml:space="preserve">3/33 </w:t>
            </w:r>
          </w:p>
          <w:p w14:paraId="76B6ED73" w14:textId="77777777" w:rsidR="002D58E4" w:rsidRDefault="00F721D4">
            <w:pPr>
              <w:jc w:val="center"/>
              <w:rPr>
                <w:sz w:val="20"/>
                <w:szCs w:val="20"/>
              </w:rPr>
            </w:pPr>
            <w:r>
              <w:rPr>
                <w:sz w:val="20"/>
                <w:szCs w:val="20"/>
              </w:rPr>
              <w:t xml:space="preserve">(9.1%) </w:t>
            </w:r>
          </w:p>
        </w:tc>
        <w:tc>
          <w:tcPr>
            <w:tcW w:w="1510" w:type="dxa"/>
            <w:tcBorders>
              <w:top w:val="single" w:sz="6" w:space="0" w:color="000000"/>
              <w:left w:val="single" w:sz="6" w:space="0" w:color="000000"/>
              <w:bottom w:val="single" w:sz="6" w:space="0" w:color="000000"/>
              <w:right w:val="single" w:sz="6" w:space="0" w:color="000000"/>
            </w:tcBorders>
          </w:tcPr>
          <w:p w14:paraId="62C04DEF" w14:textId="77777777" w:rsidR="002D58E4" w:rsidRDefault="00F721D4">
            <w:pPr>
              <w:jc w:val="center"/>
              <w:rPr>
                <w:sz w:val="20"/>
                <w:szCs w:val="20"/>
              </w:rPr>
            </w:pPr>
            <w:r>
              <w:rPr>
                <w:sz w:val="20"/>
                <w:szCs w:val="20"/>
              </w:rPr>
              <w:t>RR 1.38</w:t>
            </w:r>
            <w:r>
              <w:rPr>
                <w:sz w:val="20"/>
                <w:szCs w:val="20"/>
              </w:rPr>
              <w:br/>
              <w:t xml:space="preserve">(0.33 to 5.66) </w:t>
            </w:r>
          </w:p>
        </w:tc>
        <w:tc>
          <w:tcPr>
            <w:tcW w:w="1778" w:type="dxa"/>
            <w:tcBorders>
              <w:top w:val="single" w:sz="6" w:space="0" w:color="000000"/>
              <w:left w:val="single" w:sz="6" w:space="0" w:color="000000"/>
              <w:bottom w:val="single" w:sz="6" w:space="0" w:color="000000"/>
              <w:right w:val="single" w:sz="6" w:space="0" w:color="000000"/>
            </w:tcBorders>
          </w:tcPr>
          <w:p w14:paraId="067ABF17" w14:textId="77777777" w:rsidR="002D58E4" w:rsidRDefault="00F721D4">
            <w:pPr>
              <w:jc w:val="center"/>
              <w:rPr>
                <w:sz w:val="20"/>
                <w:szCs w:val="20"/>
              </w:rPr>
            </w:pPr>
            <w:r>
              <w:rPr>
                <w:sz w:val="20"/>
                <w:szCs w:val="20"/>
              </w:rPr>
              <w:t>35 more per 1,000</w:t>
            </w:r>
            <w:r>
              <w:rPr>
                <w:sz w:val="20"/>
                <w:szCs w:val="20"/>
              </w:rPr>
              <w:br/>
              <w:t xml:space="preserve">(from 61 fewer to 424 more) </w:t>
            </w:r>
          </w:p>
        </w:tc>
        <w:tc>
          <w:tcPr>
            <w:tcW w:w="1170" w:type="dxa"/>
            <w:tcBorders>
              <w:top w:val="single" w:sz="6" w:space="0" w:color="000000"/>
              <w:left w:val="single" w:sz="6" w:space="0" w:color="000000"/>
              <w:bottom w:val="single" w:sz="6" w:space="0" w:color="000000"/>
              <w:right w:val="single" w:sz="6" w:space="0" w:color="000000"/>
            </w:tcBorders>
          </w:tcPr>
          <w:p w14:paraId="2E01931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40" w:type="dxa"/>
            <w:gridSpan w:val="2"/>
            <w:tcBorders>
              <w:top w:val="single" w:sz="6" w:space="0" w:color="000000"/>
              <w:left w:val="single" w:sz="6" w:space="0" w:color="000000"/>
              <w:bottom w:val="single" w:sz="6" w:space="0" w:color="000000"/>
              <w:right w:val="single" w:sz="6" w:space="0" w:color="000000"/>
            </w:tcBorders>
          </w:tcPr>
          <w:p w14:paraId="0D74F356" w14:textId="77777777" w:rsidR="002D58E4" w:rsidRDefault="00F721D4">
            <w:pPr>
              <w:rPr>
                <w:sz w:val="20"/>
                <w:szCs w:val="20"/>
              </w:rPr>
            </w:pPr>
            <w:r>
              <w:rPr>
                <w:sz w:val="20"/>
                <w:szCs w:val="20"/>
              </w:rPr>
              <w:t>IMPORTANT</w:t>
            </w:r>
          </w:p>
        </w:tc>
      </w:tr>
    </w:tbl>
    <w:p w14:paraId="76813B89" w14:textId="77777777" w:rsidR="002D58E4" w:rsidRDefault="00F721D4">
      <w:pP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 </w:t>
      </w:r>
      <w:r>
        <w:rPr>
          <w:b/>
          <w:color w:val="000000"/>
          <w:sz w:val="18"/>
          <w:szCs w:val="18"/>
        </w:rPr>
        <w:t>MD:</w:t>
      </w:r>
      <w:r>
        <w:rPr>
          <w:color w:val="000000"/>
          <w:sz w:val="18"/>
          <w:szCs w:val="18"/>
        </w:rPr>
        <w:t xml:space="preserve"> Mean difference</w:t>
      </w:r>
    </w:p>
    <w:p w14:paraId="56D5F925" w14:textId="77777777" w:rsidR="002D58E4" w:rsidRDefault="00F721D4">
      <w:pPr>
        <w:spacing w:before="280" w:after="0"/>
        <w:rPr>
          <w:b/>
          <w:color w:val="000000"/>
          <w:sz w:val="24"/>
          <w:szCs w:val="24"/>
        </w:rPr>
      </w:pPr>
      <w:r>
        <w:rPr>
          <w:b/>
          <w:color w:val="000000"/>
          <w:sz w:val="24"/>
          <w:szCs w:val="24"/>
        </w:rPr>
        <w:t>Explanations</w:t>
      </w:r>
    </w:p>
    <w:p w14:paraId="69C3DC60" w14:textId="77777777" w:rsidR="002D58E4" w:rsidRDefault="00F721D4">
      <w:pPr>
        <w:spacing w:after="0" w:line="240" w:lineRule="auto"/>
        <w:rPr>
          <w:sz w:val="18"/>
          <w:szCs w:val="18"/>
        </w:rPr>
      </w:pPr>
      <w:r>
        <w:rPr>
          <w:color w:val="000000"/>
          <w:sz w:val="18"/>
          <w:szCs w:val="18"/>
        </w:rPr>
        <w:t>a. Fragility due to small number of events</w:t>
      </w:r>
      <w:r>
        <w:rPr>
          <w:sz w:val="18"/>
          <w:szCs w:val="18"/>
        </w:rPr>
        <w:t>.</w:t>
      </w:r>
    </w:p>
    <w:p w14:paraId="19EA4A36" w14:textId="6C676A7E" w:rsidR="002D58E4" w:rsidRDefault="00F721D4">
      <w:pPr>
        <w:spacing w:after="0" w:line="240" w:lineRule="auto"/>
        <w:rPr>
          <w:sz w:val="18"/>
          <w:szCs w:val="18"/>
        </w:rPr>
      </w:pPr>
      <w:r>
        <w:rPr>
          <w:sz w:val="18"/>
          <w:szCs w:val="18"/>
        </w:rPr>
        <w:t>b. Anez 2002</w:t>
      </w:r>
      <w:r>
        <w:rPr>
          <w:color w:val="000000"/>
          <w:sz w:val="18"/>
          <w:szCs w:val="18"/>
        </w:rPr>
        <w:t xml:space="preserve"> and Strle 1992 studies both received high risk of bias ratings due to inadequate randomization technique (sequence generation and allocation sequence concealment). </w:t>
      </w:r>
    </w:p>
    <w:p w14:paraId="4C2DAC58" w14:textId="77777777" w:rsidR="002D58E4" w:rsidRDefault="00F721D4">
      <w:pPr>
        <w:spacing w:after="0" w:line="240" w:lineRule="auto"/>
        <w:rPr>
          <w:color w:val="000000"/>
          <w:sz w:val="18"/>
          <w:szCs w:val="18"/>
        </w:rPr>
      </w:pPr>
      <w:r>
        <w:rPr>
          <w:color w:val="000000"/>
          <w:sz w:val="18"/>
          <w:szCs w:val="18"/>
        </w:rPr>
        <w:t>c. Low event rate, 95% CI is wide and crossing the null value.</w:t>
      </w:r>
    </w:p>
    <w:p w14:paraId="0F3984B0" w14:textId="39A4CD67" w:rsidR="002D58E4" w:rsidRDefault="00F721D4">
      <w:pPr>
        <w:spacing w:after="0" w:line="240" w:lineRule="auto"/>
        <w:rPr>
          <w:color w:val="000000"/>
          <w:sz w:val="18"/>
          <w:szCs w:val="18"/>
        </w:rPr>
      </w:pPr>
      <w:r>
        <w:rPr>
          <w:color w:val="000000"/>
          <w:sz w:val="18"/>
          <w:szCs w:val="18"/>
        </w:rPr>
        <w:t>d. All 3 studies received high risk of bias ratings due to potentially inadequate blinding (for self-reported outcomes).</w:t>
      </w:r>
    </w:p>
    <w:p w14:paraId="2CA409D0" w14:textId="77777777" w:rsidR="002D58E4" w:rsidRDefault="00F721D4">
      <w:pPr>
        <w:spacing w:after="0" w:line="240" w:lineRule="auto"/>
        <w:rPr>
          <w:color w:val="000000"/>
          <w:sz w:val="18"/>
          <w:szCs w:val="18"/>
        </w:rPr>
      </w:pPr>
      <w:r>
        <w:rPr>
          <w:color w:val="000000"/>
          <w:sz w:val="18"/>
          <w:szCs w:val="18"/>
        </w:rPr>
        <w:t xml:space="preserve">e. Due to zero events in one study arm, unable to estimate relative risk. </w:t>
      </w:r>
    </w:p>
    <w:p w14:paraId="2C193B0B" w14:textId="77777777" w:rsidR="002D58E4" w:rsidRDefault="00F721D4">
      <w:pPr>
        <w:rPr>
          <w:color w:val="000000"/>
          <w:sz w:val="18"/>
          <w:szCs w:val="18"/>
        </w:rPr>
      </w:pPr>
      <w:r>
        <w:br w:type="page"/>
      </w:r>
    </w:p>
    <w:p w14:paraId="5EFADD9A" w14:textId="77777777" w:rsidR="002D58E4" w:rsidRDefault="002D58E4">
      <w:pPr>
        <w:spacing w:after="0" w:line="240" w:lineRule="auto"/>
        <w:rPr>
          <w:color w:val="000000"/>
          <w:sz w:val="18"/>
          <w:szCs w:val="18"/>
        </w:rPr>
      </w:pPr>
    </w:p>
    <w:p w14:paraId="59143728" w14:textId="77777777" w:rsidR="002D58E4" w:rsidRDefault="00F721D4">
      <w:pPr>
        <w:spacing w:after="0"/>
        <w:rPr>
          <w:b/>
          <w:color w:val="000000"/>
          <w:sz w:val="24"/>
          <w:szCs w:val="24"/>
          <w:u w:val="single"/>
        </w:rPr>
      </w:pPr>
      <w:r>
        <w:rPr>
          <w:b/>
          <w:color w:val="000000"/>
          <w:sz w:val="24"/>
          <w:szCs w:val="24"/>
          <w:u w:val="single"/>
        </w:rPr>
        <w:t>AZITHROMYCIN vs. AMOXICILLIN</w:t>
      </w:r>
    </w:p>
    <w:p w14:paraId="7794EE0B" w14:textId="77777777" w:rsidR="002D58E4" w:rsidRDefault="00F721D4">
      <w:pPr>
        <w:spacing w:after="0"/>
        <w:rPr>
          <w:b/>
        </w:rPr>
      </w:pPr>
      <w:r>
        <w:rPr>
          <w:b/>
        </w:rPr>
        <w:t>In patients with erythema migrans, should Azithromycin be used over Amoxicillin?</w:t>
      </w:r>
    </w:p>
    <w:p w14:paraId="277D0725" w14:textId="77777777" w:rsidR="002D58E4" w:rsidRDefault="00F721D4">
      <w:pPr>
        <w:spacing w:after="0"/>
      </w:pPr>
      <w:r>
        <w:t xml:space="preserve">P: In patients with erythema migrans </w:t>
      </w:r>
    </w:p>
    <w:p w14:paraId="0287E6B2" w14:textId="77777777" w:rsidR="002D58E4" w:rsidRDefault="00F721D4">
      <w:pPr>
        <w:spacing w:after="0"/>
      </w:pPr>
      <w:r>
        <w:t>I: Azithromycin or clarithromycin or erythromycin)</w:t>
      </w:r>
    </w:p>
    <w:p w14:paraId="32A9DC62" w14:textId="77777777" w:rsidR="002D58E4" w:rsidRPr="002914A2" w:rsidRDefault="00F721D4">
      <w:pPr>
        <w:spacing w:after="0"/>
        <w:rPr>
          <w:lang w:val="fr-CA"/>
        </w:rPr>
      </w:pPr>
      <w:r w:rsidRPr="002914A2">
        <w:rPr>
          <w:lang w:val="fr-CA"/>
        </w:rPr>
        <w:t>C: Amoxicillin</w:t>
      </w:r>
    </w:p>
    <w:p w14:paraId="39786B67" w14:textId="77777777" w:rsidR="002D58E4" w:rsidRPr="002914A2" w:rsidRDefault="002D58E4">
      <w:pPr>
        <w:spacing w:after="0"/>
        <w:rPr>
          <w:b/>
          <w:color w:val="000000"/>
          <w:sz w:val="18"/>
          <w:szCs w:val="18"/>
          <w:lang w:val="fr-CA"/>
        </w:rPr>
      </w:pPr>
    </w:p>
    <w:p w14:paraId="5BBD2A0E" w14:textId="77777777" w:rsidR="002D58E4" w:rsidRDefault="00F721D4" w:rsidP="00DE33EC">
      <w:pPr>
        <w:spacing w:line="240" w:lineRule="auto"/>
        <w:rPr>
          <w:color w:val="000000"/>
          <w:sz w:val="18"/>
          <w:szCs w:val="18"/>
        </w:rPr>
      </w:pPr>
      <w:r w:rsidRPr="002914A2">
        <w:rPr>
          <w:b/>
          <w:color w:val="000000"/>
          <w:sz w:val="18"/>
          <w:szCs w:val="18"/>
          <w:lang w:val="fr-CA"/>
        </w:rPr>
        <w:t>Bibliography</w:t>
      </w:r>
      <w:r w:rsidRPr="002914A2">
        <w:rPr>
          <w:color w:val="000000"/>
          <w:sz w:val="18"/>
          <w:szCs w:val="18"/>
          <w:lang w:val="fr-CA"/>
        </w:rPr>
        <w:t xml:space="preserve">: 1. Arnez, et al. </w:t>
      </w:r>
      <w:r>
        <w:rPr>
          <w:color w:val="000000"/>
          <w:sz w:val="18"/>
          <w:szCs w:val="18"/>
        </w:rPr>
        <w:t>Pediatr Infect Dis J. 2015 Oct;34(10):1045-8; 2. Luft, et al. Ann Intern Med. 1996 May 1;124(9):785-91; 3. Massarotti, et al. Am J Med. 1992 Apr;92(4):396-403.</w:t>
      </w:r>
    </w:p>
    <w:tbl>
      <w:tblPr>
        <w:tblStyle w:val="af5"/>
        <w:tblW w:w="14603"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7"/>
        <w:gridCol w:w="828"/>
        <w:gridCol w:w="994"/>
        <w:gridCol w:w="988"/>
        <w:gridCol w:w="991"/>
        <w:gridCol w:w="1073"/>
        <w:gridCol w:w="831"/>
        <w:gridCol w:w="6"/>
        <w:gridCol w:w="1188"/>
        <w:gridCol w:w="1021"/>
        <w:gridCol w:w="1283"/>
        <w:gridCol w:w="2119"/>
        <w:gridCol w:w="1174"/>
        <w:gridCol w:w="1380"/>
      </w:tblGrid>
      <w:tr w:rsidR="00FF641A" w14:paraId="1CB45693" w14:textId="77777777" w:rsidTr="00E70FE5">
        <w:tc>
          <w:tcPr>
            <w:tcW w:w="6438" w:type="dxa"/>
            <w:gridSpan w:val="8"/>
            <w:tcBorders>
              <w:top w:val="single" w:sz="6" w:space="0" w:color="000000"/>
              <w:left w:val="single" w:sz="6" w:space="0" w:color="000000"/>
              <w:bottom w:val="single" w:sz="6" w:space="0" w:color="000000"/>
              <w:right w:val="single" w:sz="6" w:space="0" w:color="000000"/>
            </w:tcBorders>
            <w:shd w:val="clear" w:color="auto" w:fill="DDDDDD"/>
            <w:vAlign w:val="center"/>
          </w:tcPr>
          <w:p w14:paraId="03033A8C" w14:textId="77777777" w:rsidR="00FF641A" w:rsidRDefault="00FF641A">
            <w:pPr>
              <w:jc w:val="center"/>
              <w:rPr>
                <w:b/>
                <w:sz w:val="20"/>
                <w:szCs w:val="20"/>
              </w:rPr>
            </w:pPr>
            <w:r>
              <w:rPr>
                <w:b/>
                <w:sz w:val="20"/>
                <w:szCs w:val="20"/>
              </w:rPr>
              <w:t>Certainty assessment</w:t>
            </w:r>
          </w:p>
        </w:tc>
        <w:tc>
          <w:tcPr>
            <w:tcW w:w="2209"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DE9D012" w14:textId="77777777" w:rsidR="00FF641A" w:rsidRDefault="00FF641A">
            <w:pPr>
              <w:jc w:val="center"/>
              <w:rPr>
                <w:b/>
                <w:sz w:val="20"/>
                <w:szCs w:val="20"/>
              </w:rPr>
            </w:pPr>
            <w:r>
              <w:rPr>
                <w:b/>
                <w:sz w:val="18"/>
                <w:szCs w:val="18"/>
              </w:rPr>
              <w:t>№ of Events/№ of patients</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7DE019C1" w14:textId="77777777" w:rsidR="00FF641A" w:rsidRDefault="00FF641A">
            <w:pPr>
              <w:jc w:val="center"/>
              <w:rPr>
                <w:b/>
                <w:sz w:val="20"/>
                <w:szCs w:val="20"/>
              </w:rPr>
            </w:pPr>
            <w:r>
              <w:rPr>
                <w:b/>
                <w:sz w:val="20"/>
                <w:szCs w:val="20"/>
              </w:rPr>
              <w:t>Effect</w:t>
            </w:r>
          </w:p>
        </w:tc>
        <w:tc>
          <w:tcPr>
            <w:tcW w:w="1174" w:type="dxa"/>
            <w:vMerge w:val="restart"/>
            <w:tcBorders>
              <w:top w:val="single" w:sz="6" w:space="0" w:color="000000"/>
              <w:left w:val="single" w:sz="6" w:space="0" w:color="000000"/>
              <w:right w:val="single" w:sz="6" w:space="0" w:color="000000"/>
            </w:tcBorders>
            <w:shd w:val="clear" w:color="auto" w:fill="DDDDDD"/>
            <w:vAlign w:val="center"/>
          </w:tcPr>
          <w:p w14:paraId="19490271" w14:textId="77777777" w:rsidR="00FF641A" w:rsidRDefault="00FF641A">
            <w:pPr>
              <w:jc w:val="center"/>
              <w:rPr>
                <w:b/>
                <w:sz w:val="20"/>
                <w:szCs w:val="20"/>
              </w:rPr>
            </w:pPr>
            <w:r>
              <w:rPr>
                <w:b/>
                <w:sz w:val="20"/>
                <w:szCs w:val="20"/>
              </w:rPr>
              <w:t>Certainty</w:t>
            </w:r>
          </w:p>
        </w:tc>
        <w:tc>
          <w:tcPr>
            <w:tcW w:w="1377" w:type="dxa"/>
            <w:vMerge w:val="restart"/>
            <w:tcBorders>
              <w:top w:val="single" w:sz="6" w:space="0" w:color="000000"/>
              <w:left w:val="single" w:sz="6" w:space="0" w:color="000000"/>
              <w:right w:val="single" w:sz="6" w:space="0" w:color="000000"/>
            </w:tcBorders>
            <w:shd w:val="clear" w:color="auto" w:fill="DDDDDD"/>
            <w:vAlign w:val="center"/>
          </w:tcPr>
          <w:p w14:paraId="20EF704F" w14:textId="77777777" w:rsidR="00FF641A" w:rsidRDefault="00FF641A">
            <w:pPr>
              <w:jc w:val="center"/>
              <w:rPr>
                <w:b/>
                <w:sz w:val="20"/>
                <w:szCs w:val="20"/>
              </w:rPr>
            </w:pPr>
            <w:r>
              <w:rPr>
                <w:b/>
                <w:sz w:val="20"/>
                <w:szCs w:val="20"/>
              </w:rPr>
              <w:t>Importance</w:t>
            </w:r>
          </w:p>
        </w:tc>
      </w:tr>
      <w:tr w:rsidR="00FF641A" w14:paraId="186B8C58" w14:textId="77777777" w:rsidTr="00E70FE5">
        <w:tc>
          <w:tcPr>
            <w:tcW w:w="72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D6A1101" w14:textId="77777777" w:rsidR="00FF641A" w:rsidRDefault="00FF641A">
            <w:pPr>
              <w:jc w:val="center"/>
              <w:rPr>
                <w:b/>
                <w:sz w:val="20"/>
                <w:szCs w:val="20"/>
              </w:rPr>
            </w:pPr>
            <w:r>
              <w:rPr>
                <w:b/>
                <w:sz w:val="20"/>
                <w:szCs w:val="20"/>
              </w:rPr>
              <w:t>№ of studies</w:t>
            </w:r>
          </w:p>
        </w:tc>
        <w:tc>
          <w:tcPr>
            <w:tcW w:w="82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91B37C4" w14:textId="77777777" w:rsidR="00FF641A" w:rsidRDefault="00FF641A">
            <w:pPr>
              <w:jc w:val="center"/>
              <w:rPr>
                <w:b/>
                <w:sz w:val="20"/>
                <w:szCs w:val="20"/>
              </w:rPr>
            </w:pPr>
            <w:r>
              <w:rPr>
                <w:b/>
                <w:sz w:val="20"/>
                <w:szCs w:val="20"/>
              </w:rPr>
              <w:t>Study design</w:t>
            </w:r>
          </w:p>
        </w:tc>
        <w:tc>
          <w:tcPr>
            <w:tcW w:w="99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4374354" w14:textId="77777777" w:rsidR="00FF641A" w:rsidRDefault="00FF641A">
            <w:pPr>
              <w:jc w:val="center"/>
              <w:rPr>
                <w:b/>
                <w:sz w:val="20"/>
                <w:szCs w:val="20"/>
              </w:rPr>
            </w:pPr>
            <w:r>
              <w:rPr>
                <w:b/>
                <w:sz w:val="20"/>
                <w:szCs w:val="20"/>
              </w:rPr>
              <w:t>Risk of bias</w:t>
            </w:r>
          </w:p>
        </w:tc>
        <w:tc>
          <w:tcPr>
            <w:tcW w:w="98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71EC15B" w14:textId="77777777" w:rsidR="00FF641A" w:rsidRDefault="00FF641A">
            <w:pPr>
              <w:jc w:val="center"/>
              <w:rPr>
                <w:b/>
                <w:sz w:val="20"/>
                <w:szCs w:val="20"/>
              </w:rPr>
            </w:pPr>
            <w:r>
              <w:rPr>
                <w:b/>
                <w:sz w:val="20"/>
                <w:szCs w:val="20"/>
              </w:rPr>
              <w:t>Inconsistency</w:t>
            </w:r>
          </w:p>
        </w:tc>
        <w:tc>
          <w:tcPr>
            <w:tcW w:w="99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1ECCA13" w14:textId="77777777" w:rsidR="00FF641A" w:rsidRDefault="00FF641A">
            <w:pPr>
              <w:jc w:val="center"/>
              <w:rPr>
                <w:b/>
                <w:sz w:val="20"/>
                <w:szCs w:val="20"/>
              </w:rPr>
            </w:pPr>
            <w:r>
              <w:rPr>
                <w:b/>
                <w:sz w:val="20"/>
                <w:szCs w:val="20"/>
              </w:rPr>
              <w:t>Indirectness</w:t>
            </w:r>
          </w:p>
        </w:tc>
        <w:tc>
          <w:tcPr>
            <w:tcW w:w="107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4112B39" w14:textId="77777777" w:rsidR="00FF641A" w:rsidRDefault="00FF641A">
            <w:pPr>
              <w:jc w:val="center"/>
              <w:rPr>
                <w:b/>
                <w:sz w:val="20"/>
                <w:szCs w:val="20"/>
              </w:rPr>
            </w:pPr>
            <w:r>
              <w:rPr>
                <w:b/>
                <w:sz w:val="20"/>
                <w:szCs w:val="20"/>
              </w:rPr>
              <w:t>Imprecision</w:t>
            </w:r>
          </w:p>
        </w:tc>
        <w:tc>
          <w:tcPr>
            <w:tcW w:w="83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1B3E7F9" w14:textId="77777777" w:rsidR="00FF641A" w:rsidRDefault="00FF641A">
            <w:pPr>
              <w:jc w:val="center"/>
              <w:rPr>
                <w:b/>
                <w:sz w:val="20"/>
                <w:szCs w:val="20"/>
              </w:rPr>
            </w:pPr>
            <w:r>
              <w:rPr>
                <w:b/>
                <w:sz w:val="20"/>
                <w:szCs w:val="20"/>
              </w:rPr>
              <w:t>Other considerations</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DD71320" w14:textId="77777777" w:rsidR="00FF641A" w:rsidRDefault="00FF641A">
            <w:pPr>
              <w:jc w:val="center"/>
              <w:rPr>
                <w:b/>
                <w:sz w:val="20"/>
                <w:szCs w:val="20"/>
              </w:rPr>
            </w:pPr>
            <w:r>
              <w:rPr>
                <w:b/>
                <w:sz w:val="20"/>
                <w:szCs w:val="20"/>
              </w:rPr>
              <w:t>Azithromycin</w:t>
            </w:r>
          </w:p>
        </w:tc>
        <w:tc>
          <w:tcPr>
            <w:tcW w:w="102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F057A08" w14:textId="77777777" w:rsidR="00FF641A" w:rsidRDefault="00FF641A">
            <w:pPr>
              <w:jc w:val="center"/>
              <w:rPr>
                <w:b/>
                <w:sz w:val="20"/>
                <w:szCs w:val="20"/>
              </w:rPr>
            </w:pPr>
            <w:r>
              <w:rPr>
                <w:b/>
                <w:sz w:val="20"/>
                <w:szCs w:val="20"/>
              </w:rPr>
              <w:t>Amoxicillin</w:t>
            </w:r>
          </w:p>
        </w:tc>
        <w:tc>
          <w:tcPr>
            <w:tcW w:w="128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02762B8" w14:textId="77777777" w:rsidR="00FF641A" w:rsidRDefault="00FF641A">
            <w:pPr>
              <w:jc w:val="center"/>
              <w:rPr>
                <w:b/>
                <w:sz w:val="20"/>
                <w:szCs w:val="20"/>
              </w:rPr>
            </w:pPr>
            <w:r>
              <w:rPr>
                <w:b/>
                <w:sz w:val="20"/>
                <w:szCs w:val="20"/>
              </w:rPr>
              <w:t>Relative</w:t>
            </w:r>
            <w:r>
              <w:rPr>
                <w:b/>
                <w:sz w:val="20"/>
                <w:szCs w:val="20"/>
              </w:rPr>
              <w:br/>
              <w:t>(95% CI)</w:t>
            </w:r>
          </w:p>
        </w:tc>
        <w:tc>
          <w:tcPr>
            <w:tcW w:w="211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202F035" w14:textId="77777777" w:rsidR="00FF641A" w:rsidRDefault="00FF641A">
            <w:pPr>
              <w:jc w:val="center"/>
              <w:rPr>
                <w:b/>
                <w:sz w:val="20"/>
                <w:szCs w:val="20"/>
              </w:rPr>
            </w:pPr>
            <w:r>
              <w:rPr>
                <w:b/>
                <w:sz w:val="20"/>
                <w:szCs w:val="20"/>
              </w:rPr>
              <w:t>Absolute</w:t>
            </w:r>
            <w:r>
              <w:rPr>
                <w:b/>
                <w:sz w:val="20"/>
                <w:szCs w:val="20"/>
              </w:rPr>
              <w:br/>
              <w:t>(95% CI)</w:t>
            </w:r>
          </w:p>
        </w:tc>
        <w:tc>
          <w:tcPr>
            <w:tcW w:w="1174" w:type="dxa"/>
            <w:vMerge/>
            <w:tcBorders>
              <w:left w:val="single" w:sz="6" w:space="0" w:color="000000"/>
              <w:bottom w:val="single" w:sz="6" w:space="0" w:color="000000"/>
              <w:right w:val="single" w:sz="6" w:space="0" w:color="000000"/>
            </w:tcBorders>
            <w:shd w:val="clear" w:color="auto" w:fill="DDDDDD"/>
            <w:vAlign w:val="center"/>
          </w:tcPr>
          <w:p w14:paraId="45C5E00C" w14:textId="77777777" w:rsidR="00FF641A" w:rsidRDefault="00FF641A">
            <w:pPr>
              <w:rPr>
                <w:b/>
                <w:sz w:val="20"/>
                <w:szCs w:val="20"/>
              </w:rPr>
            </w:pPr>
          </w:p>
        </w:tc>
        <w:tc>
          <w:tcPr>
            <w:tcW w:w="1377" w:type="dxa"/>
            <w:vMerge/>
            <w:tcBorders>
              <w:left w:val="single" w:sz="6" w:space="0" w:color="000000"/>
              <w:bottom w:val="single" w:sz="6" w:space="0" w:color="000000"/>
              <w:right w:val="single" w:sz="6" w:space="0" w:color="000000"/>
            </w:tcBorders>
            <w:shd w:val="clear" w:color="auto" w:fill="DDDDDD"/>
            <w:vAlign w:val="center"/>
          </w:tcPr>
          <w:p w14:paraId="5330F673" w14:textId="77777777" w:rsidR="00FF641A" w:rsidRDefault="00FF641A">
            <w:pPr>
              <w:rPr>
                <w:b/>
                <w:sz w:val="20"/>
                <w:szCs w:val="20"/>
              </w:rPr>
            </w:pPr>
          </w:p>
        </w:tc>
      </w:tr>
      <w:tr w:rsidR="002D58E4" w14:paraId="563479D9"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70F3DB64" w14:textId="77777777" w:rsidR="002D58E4" w:rsidRDefault="00F721D4">
            <w:pPr>
              <w:rPr>
                <w:sz w:val="20"/>
                <w:szCs w:val="20"/>
              </w:rPr>
            </w:pPr>
            <w:r>
              <w:rPr>
                <w:b/>
                <w:sz w:val="20"/>
                <w:szCs w:val="20"/>
              </w:rPr>
              <w:t xml:space="preserve">Resolution of Erythema Migrans </w:t>
            </w:r>
            <w:r>
              <w:rPr>
                <w:sz w:val="20"/>
                <w:szCs w:val="20"/>
              </w:rPr>
              <w:t xml:space="preserve">(at 20 days) </w:t>
            </w:r>
          </w:p>
        </w:tc>
      </w:tr>
      <w:tr w:rsidR="002D58E4" w14:paraId="53B90C2A" w14:textId="77777777" w:rsidTr="00E70FE5">
        <w:tc>
          <w:tcPr>
            <w:tcW w:w="727" w:type="dxa"/>
            <w:tcBorders>
              <w:top w:val="single" w:sz="6" w:space="0" w:color="000000"/>
              <w:left w:val="single" w:sz="6" w:space="0" w:color="000000"/>
              <w:bottom w:val="single" w:sz="6" w:space="0" w:color="000000"/>
              <w:right w:val="single" w:sz="6" w:space="0" w:color="000000"/>
            </w:tcBorders>
          </w:tcPr>
          <w:p w14:paraId="363350AD"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69AAC454" w14:textId="77777777" w:rsidR="002D58E4" w:rsidRDefault="00F721D4">
            <w:pPr>
              <w:rPr>
                <w:sz w:val="20"/>
                <w:szCs w:val="20"/>
              </w:rPr>
            </w:pPr>
            <w:r>
              <w:rPr>
                <w:sz w:val="20"/>
                <w:szCs w:val="20"/>
              </w:rPr>
              <w:t xml:space="preserve">RCT </w:t>
            </w:r>
            <w:r>
              <w:rPr>
                <w:sz w:val="20"/>
                <w:szCs w:val="20"/>
                <w:vertAlign w:val="superscript"/>
              </w:rPr>
              <w:t>2,3</w:t>
            </w:r>
          </w:p>
        </w:tc>
        <w:tc>
          <w:tcPr>
            <w:tcW w:w="994" w:type="dxa"/>
            <w:tcBorders>
              <w:top w:val="single" w:sz="6" w:space="0" w:color="000000"/>
              <w:left w:val="single" w:sz="6" w:space="0" w:color="000000"/>
              <w:bottom w:val="single" w:sz="6" w:space="0" w:color="000000"/>
              <w:right w:val="single" w:sz="6" w:space="0" w:color="000000"/>
            </w:tcBorders>
          </w:tcPr>
          <w:p w14:paraId="573AAF4B" w14:textId="77777777" w:rsidR="002D58E4" w:rsidRDefault="00F721D4">
            <w:pPr>
              <w:rPr>
                <w:sz w:val="20"/>
                <w:szCs w:val="20"/>
              </w:rPr>
            </w:pPr>
            <w:r>
              <w:rPr>
                <w:sz w:val="20"/>
                <w:szCs w:val="20"/>
              </w:rPr>
              <w:t xml:space="preserve">not serious </w:t>
            </w:r>
          </w:p>
        </w:tc>
        <w:tc>
          <w:tcPr>
            <w:tcW w:w="988" w:type="dxa"/>
            <w:tcBorders>
              <w:top w:val="single" w:sz="6" w:space="0" w:color="000000"/>
              <w:left w:val="single" w:sz="6" w:space="0" w:color="000000"/>
              <w:bottom w:val="single" w:sz="6" w:space="0" w:color="000000"/>
              <w:right w:val="single" w:sz="6" w:space="0" w:color="000000"/>
            </w:tcBorders>
          </w:tcPr>
          <w:p w14:paraId="0163B5DA"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69442B5C"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774046FB" w14:textId="77777777" w:rsidR="002D58E4" w:rsidRDefault="00F721D4">
            <w:pPr>
              <w:rPr>
                <w:sz w:val="20"/>
                <w:szCs w:val="20"/>
              </w:rPr>
            </w:pPr>
            <w:r>
              <w:rPr>
                <w:sz w:val="20"/>
                <w:szCs w:val="20"/>
              </w:rPr>
              <w:t xml:space="preserve">serious </w:t>
            </w:r>
            <w:r>
              <w:rPr>
                <w:sz w:val="20"/>
                <w:szCs w:val="20"/>
                <w:vertAlign w:val="superscript"/>
              </w:rPr>
              <w:t>a</w:t>
            </w:r>
          </w:p>
        </w:tc>
        <w:tc>
          <w:tcPr>
            <w:tcW w:w="831" w:type="dxa"/>
            <w:tcBorders>
              <w:top w:val="single" w:sz="6" w:space="0" w:color="000000"/>
              <w:left w:val="single" w:sz="6" w:space="0" w:color="000000"/>
              <w:bottom w:val="single" w:sz="6" w:space="0" w:color="000000"/>
              <w:right w:val="single" w:sz="6" w:space="0" w:color="000000"/>
            </w:tcBorders>
          </w:tcPr>
          <w:p w14:paraId="77EFF953"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4C3CE5F4" w14:textId="77777777" w:rsidR="002D58E4" w:rsidRDefault="00F721D4">
            <w:pPr>
              <w:jc w:val="center"/>
              <w:rPr>
                <w:sz w:val="20"/>
                <w:szCs w:val="20"/>
              </w:rPr>
            </w:pPr>
            <w:r>
              <w:rPr>
                <w:sz w:val="20"/>
                <w:szCs w:val="20"/>
              </w:rPr>
              <w:t xml:space="preserve">97/127 (76.4%) </w:t>
            </w:r>
          </w:p>
        </w:tc>
        <w:tc>
          <w:tcPr>
            <w:tcW w:w="1021" w:type="dxa"/>
            <w:tcBorders>
              <w:top w:val="single" w:sz="6" w:space="0" w:color="000000"/>
              <w:left w:val="single" w:sz="6" w:space="0" w:color="000000"/>
              <w:bottom w:val="single" w:sz="6" w:space="0" w:color="000000"/>
              <w:right w:val="single" w:sz="6" w:space="0" w:color="000000"/>
            </w:tcBorders>
          </w:tcPr>
          <w:p w14:paraId="574EA4C5" w14:textId="77777777" w:rsidR="002D58E4" w:rsidRDefault="00F721D4">
            <w:pPr>
              <w:jc w:val="center"/>
              <w:rPr>
                <w:sz w:val="20"/>
                <w:szCs w:val="20"/>
              </w:rPr>
            </w:pPr>
            <w:r>
              <w:rPr>
                <w:sz w:val="20"/>
                <w:szCs w:val="20"/>
              </w:rPr>
              <w:t>109/125 (87.2%)</w:t>
            </w:r>
          </w:p>
        </w:tc>
        <w:tc>
          <w:tcPr>
            <w:tcW w:w="1283" w:type="dxa"/>
            <w:tcBorders>
              <w:top w:val="single" w:sz="6" w:space="0" w:color="000000"/>
              <w:left w:val="single" w:sz="6" w:space="0" w:color="000000"/>
              <w:bottom w:val="single" w:sz="6" w:space="0" w:color="000000"/>
              <w:right w:val="single" w:sz="6" w:space="0" w:color="000000"/>
            </w:tcBorders>
          </w:tcPr>
          <w:p w14:paraId="7F13FF51" w14:textId="77777777" w:rsidR="002D58E4" w:rsidRDefault="00F721D4">
            <w:pPr>
              <w:jc w:val="center"/>
              <w:rPr>
                <w:b/>
                <w:sz w:val="20"/>
                <w:szCs w:val="20"/>
              </w:rPr>
            </w:pPr>
            <w:r>
              <w:rPr>
                <w:b/>
                <w:sz w:val="20"/>
                <w:szCs w:val="20"/>
              </w:rPr>
              <w:t>RR 0.88</w:t>
            </w:r>
            <w:r>
              <w:rPr>
                <w:b/>
                <w:sz w:val="20"/>
                <w:szCs w:val="20"/>
              </w:rPr>
              <w:br/>
              <w:t xml:space="preserve">(0.78 to 0.99) </w:t>
            </w:r>
          </w:p>
        </w:tc>
        <w:tc>
          <w:tcPr>
            <w:tcW w:w="2119" w:type="dxa"/>
            <w:tcBorders>
              <w:top w:val="single" w:sz="6" w:space="0" w:color="000000"/>
              <w:left w:val="single" w:sz="6" w:space="0" w:color="000000"/>
              <w:bottom w:val="single" w:sz="6" w:space="0" w:color="000000"/>
              <w:right w:val="single" w:sz="6" w:space="0" w:color="000000"/>
            </w:tcBorders>
          </w:tcPr>
          <w:p w14:paraId="3D36B9E4" w14:textId="77777777" w:rsidR="002D58E4" w:rsidRDefault="00F721D4">
            <w:pPr>
              <w:jc w:val="center"/>
              <w:rPr>
                <w:b/>
                <w:sz w:val="20"/>
                <w:szCs w:val="20"/>
              </w:rPr>
            </w:pPr>
            <w:r>
              <w:rPr>
                <w:b/>
                <w:sz w:val="20"/>
                <w:szCs w:val="20"/>
              </w:rPr>
              <w:t>108 fewer per 1,000</w:t>
            </w:r>
            <w:r>
              <w:rPr>
                <w:b/>
                <w:sz w:val="20"/>
                <w:szCs w:val="20"/>
              </w:rPr>
              <w:br/>
              <w:t xml:space="preserve">(from 203 fewer to 14 fewer) </w:t>
            </w:r>
          </w:p>
        </w:tc>
        <w:tc>
          <w:tcPr>
            <w:tcW w:w="1174" w:type="dxa"/>
            <w:tcBorders>
              <w:top w:val="single" w:sz="6" w:space="0" w:color="000000"/>
              <w:left w:val="single" w:sz="6" w:space="0" w:color="000000"/>
              <w:bottom w:val="single" w:sz="6" w:space="0" w:color="000000"/>
              <w:right w:val="single" w:sz="6" w:space="0" w:color="000000"/>
            </w:tcBorders>
          </w:tcPr>
          <w:p w14:paraId="7786363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377" w:type="dxa"/>
            <w:tcBorders>
              <w:top w:val="single" w:sz="6" w:space="0" w:color="000000"/>
              <w:left w:val="single" w:sz="6" w:space="0" w:color="000000"/>
              <w:bottom w:val="single" w:sz="6" w:space="0" w:color="000000"/>
              <w:right w:val="single" w:sz="6" w:space="0" w:color="000000"/>
            </w:tcBorders>
          </w:tcPr>
          <w:p w14:paraId="72DAECBD" w14:textId="77777777" w:rsidR="002D58E4" w:rsidRDefault="00F721D4">
            <w:pPr>
              <w:rPr>
                <w:sz w:val="20"/>
                <w:szCs w:val="20"/>
              </w:rPr>
            </w:pPr>
            <w:r>
              <w:rPr>
                <w:sz w:val="20"/>
                <w:szCs w:val="20"/>
              </w:rPr>
              <w:t xml:space="preserve">CRITICAL </w:t>
            </w:r>
          </w:p>
        </w:tc>
      </w:tr>
      <w:tr w:rsidR="002D58E4" w14:paraId="18195D34"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7D148AAF" w14:textId="77777777" w:rsidR="002D58E4" w:rsidRDefault="00F721D4">
            <w:pPr>
              <w:rPr>
                <w:sz w:val="20"/>
                <w:szCs w:val="20"/>
              </w:rPr>
            </w:pPr>
            <w:r>
              <w:rPr>
                <w:b/>
                <w:sz w:val="20"/>
                <w:szCs w:val="20"/>
              </w:rPr>
              <w:t>Time to Resolution of Erythema Migrans</w:t>
            </w:r>
            <w:r>
              <w:rPr>
                <w:sz w:val="20"/>
                <w:szCs w:val="20"/>
              </w:rPr>
              <w:t xml:space="preserve"> (Days since treatment initiation)</w:t>
            </w:r>
          </w:p>
        </w:tc>
      </w:tr>
      <w:tr w:rsidR="002D58E4" w14:paraId="5912D3CF" w14:textId="77777777" w:rsidTr="00E70FE5">
        <w:tc>
          <w:tcPr>
            <w:tcW w:w="727" w:type="dxa"/>
            <w:tcBorders>
              <w:top w:val="single" w:sz="6" w:space="0" w:color="000000"/>
              <w:left w:val="single" w:sz="6" w:space="0" w:color="000000"/>
              <w:bottom w:val="single" w:sz="6" w:space="0" w:color="000000"/>
              <w:right w:val="single" w:sz="6" w:space="0" w:color="000000"/>
            </w:tcBorders>
          </w:tcPr>
          <w:p w14:paraId="201950A9" w14:textId="77777777" w:rsidR="002D58E4" w:rsidRDefault="00F721D4">
            <w:pPr>
              <w:rPr>
                <w:sz w:val="20"/>
                <w:szCs w:val="20"/>
              </w:rPr>
            </w:pPr>
            <w:r>
              <w:rPr>
                <w:sz w:val="20"/>
                <w:szCs w:val="20"/>
              </w:rPr>
              <w:t xml:space="preserve">1 </w:t>
            </w:r>
          </w:p>
        </w:tc>
        <w:tc>
          <w:tcPr>
            <w:tcW w:w="828" w:type="dxa"/>
            <w:tcBorders>
              <w:top w:val="single" w:sz="6" w:space="0" w:color="000000"/>
              <w:left w:val="single" w:sz="6" w:space="0" w:color="000000"/>
              <w:bottom w:val="single" w:sz="6" w:space="0" w:color="000000"/>
              <w:right w:val="single" w:sz="6" w:space="0" w:color="000000"/>
            </w:tcBorders>
          </w:tcPr>
          <w:p w14:paraId="063822CA" w14:textId="77777777" w:rsidR="002D58E4" w:rsidRDefault="00F721D4">
            <w:pPr>
              <w:rPr>
                <w:sz w:val="20"/>
                <w:szCs w:val="20"/>
              </w:rPr>
            </w:pPr>
            <w:r>
              <w:rPr>
                <w:sz w:val="20"/>
                <w:szCs w:val="20"/>
              </w:rPr>
              <w:t xml:space="preserve">RCT </w:t>
            </w:r>
            <w:r>
              <w:rPr>
                <w:sz w:val="20"/>
                <w:szCs w:val="20"/>
                <w:vertAlign w:val="superscript"/>
              </w:rPr>
              <w:t>1</w:t>
            </w:r>
          </w:p>
        </w:tc>
        <w:tc>
          <w:tcPr>
            <w:tcW w:w="994" w:type="dxa"/>
            <w:tcBorders>
              <w:top w:val="single" w:sz="6" w:space="0" w:color="000000"/>
              <w:left w:val="single" w:sz="6" w:space="0" w:color="000000"/>
              <w:bottom w:val="single" w:sz="6" w:space="0" w:color="000000"/>
              <w:right w:val="single" w:sz="6" w:space="0" w:color="000000"/>
            </w:tcBorders>
          </w:tcPr>
          <w:p w14:paraId="329B461F" w14:textId="77777777" w:rsidR="002D58E4" w:rsidRDefault="00F721D4">
            <w:pPr>
              <w:rPr>
                <w:sz w:val="20"/>
                <w:szCs w:val="20"/>
              </w:rPr>
            </w:pPr>
            <w:r>
              <w:rPr>
                <w:sz w:val="20"/>
                <w:szCs w:val="20"/>
              </w:rPr>
              <w:t xml:space="preserve">serious </w:t>
            </w:r>
            <w:r>
              <w:rPr>
                <w:sz w:val="20"/>
                <w:szCs w:val="20"/>
                <w:vertAlign w:val="superscript"/>
              </w:rPr>
              <w:t>b</w:t>
            </w:r>
          </w:p>
        </w:tc>
        <w:tc>
          <w:tcPr>
            <w:tcW w:w="988" w:type="dxa"/>
            <w:tcBorders>
              <w:top w:val="single" w:sz="6" w:space="0" w:color="000000"/>
              <w:left w:val="single" w:sz="6" w:space="0" w:color="000000"/>
              <w:bottom w:val="single" w:sz="6" w:space="0" w:color="000000"/>
              <w:right w:val="single" w:sz="6" w:space="0" w:color="000000"/>
            </w:tcBorders>
          </w:tcPr>
          <w:p w14:paraId="09DDE995"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2156B633"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1698776E" w14:textId="77777777" w:rsidR="002D58E4" w:rsidRDefault="00F721D4">
            <w:pPr>
              <w:rPr>
                <w:sz w:val="20"/>
                <w:szCs w:val="20"/>
              </w:rPr>
            </w:pPr>
            <w:r>
              <w:rPr>
                <w:sz w:val="20"/>
                <w:szCs w:val="20"/>
              </w:rPr>
              <w:t xml:space="preserve">serious </w:t>
            </w:r>
            <w:r>
              <w:rPr>
                <w:sz w:val="20"/>
                <w:szCs w:val="20"/>
                <w:vertAlign w:val="superscript"/>
              </w:rPr>
              <w:t>c</w:t>
            </w:r>
          </w:p>
        </w:tc>
        <w:tc>
          <w:tcPr>
            <w:tcW w:w="831" w:type="dxa"/>
            <w:tcBorders>
              <w:top w:val="single" w:sz="6" w:space="0" w:color="000000"/>
              <w:left w:val="single" w:sz="6" w:space="0" w:color="000000"/>
              <w:bottom w:val="single" w:sz="6" w:space="0" w:color="000000"/>
              <w:right w:val="single" w:sz="6" w:space="0" w:color="000000"/>
            </w:tcBorders>
          </w:tcPr>
          <w:p w14:paraId="722A7393"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61A0CC94" w14:textId="77777777" w:rsidR="002D58E4" w:rsidRDefault="00F721D4">
            <w:pPr>
              <w:jc w:val="center"/>
              <w:rPr>
                <w:sz w:val="20"/>
                <w:szCs w:val="20"/>
              </w:rPr>
            </w:pPr>
            <w:r>
              <w:rPr>
                <w:sz w:val="20"/>
                <w:szCs w:val="20"/>
              </w:rPr>
              <w:t xml:space="preserve">4.7 </w:t>
            </w:r>
          </w:p>
        </w:tc>
        <w:tc>
          <w:tcPr>
            <w:tcW w:w="1021" w:type="dxa"/>
            <w:tcBorders>
              <w:top w:val="single" w:sz="6" w:space="0" w:color="000000"/>
              <w:left w:val="single" w:sz="6" w:space="0" w:color="000000"/>
              <w:bottom w:val="single" w:sz="6" w:space="0" w:color="000000"/>
              <w:right w:val="single" w:sz="6" w:space="0" w:color="000000"/>
            </w:tcBorders>
          </w:tcPr>
          <w:p w14:paraId="70D54578" w14:textId="77777777" w:rsidR="002D58E4" w:rsidRDefault="00F721D4">
            <w:pPr>
              <w:jc w:val="center"/>
              <w:rPr>
                <w:sz w:val="20"/>
                <w:szCs w:val="20"/>
              </w:rPr>
            </w:pPr>
            <w:r>
              <w:rPr>
                <w:sz w:val="20"/>
                <w:szCs w:val="20"/>
              </w:rPr>
              <w:t>5.9</w:t>
            </w:r>
          </w:p>
        </w:tc>
        <w:tc>
          <w:tcPr>
            <w:tcW w:w="3402" w:type="dxa"/>
            <w:gridSpan w:val="2"/>
            <w:tcBorders>
              <w:top w:val="single" w:sz="6" w:space="0" w:color="000000"/>
              <w:left w:val="single" w:sz="6" w:space="0" w:color="000000"/>
              <w:bottom w:val="single" w:sz="6" w:space="0" w:color="000000"/>
              <w:right w:val="single" w:sz="6" w:space="0" w:color="000000"/>
            </w:tcBorders>
          </w:tcPr>
          <w:p w14:paraId="40D70887" w14:textId="77777777" w:rsidR="002D58E4" w:rsidRDefault="00F721D4">
            <w:pPr>
              <w:jc w:val="center"/>
              <w:rPr>
                <w:sz w:val="20"/>
                <w:szCs w:val="20"/>
              </w:rPr>
            </w:pPr>
            <w:r>
              <w:rPr>
                <w:sz w:val="20"/>
                <w:szCs w:val="20"/>
              </w:rPr>
              <w:t>MD 1.2 lower</w:t>
            </w:r>
            <w:r>
              <w:rPr>
                <w:sz w:val="20"/>
                <w:szCs w:val="20"/>
              </w:rPr>
              <w:br/>
              <w:t xml:space="preserve">(3.35 lower to 0.95 higher) </w:t>
            </w:r>
          </w:p>
        </w:tc>
        <w:tc>
          <w:tcPr>
            <w:tcW w:w="1174" w:type="dxa"/>
            <w:tcBorders>
              <w:top w:val="single" w:sz="6" w:space="0" w:color="000000"/>
              <w:left w:val="single" w:sz="6" w:space="0" w:color="000000"/>
              <w:bottom w:val="single" w:sz="6" w:space="0" w:color="000000"/>
              <w:right w:val="single" w:sz="6" w:space="0" w:color="000000"/>
            </w:tcBorders>
          </w:tcPr>
          <w:p w14:paraId="146EE74E"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77" w:type="dxa"/>
            <w:tcBorders>
              <w:top w:val="single" w:sz="6" w:space="0" w:color="000000"/>
              <w:left w:val="single" w:sz="6" w:space="0" w:color="000000"/>
              <w:bottom w:val="single" w:sz="6" w:space="0" w:color="000000"/>
              <w:right w:val="single" w:sz="6" w:space="0" w:color="000000"/>
            </w:tcBorders>
          </w:tcPr>
          <w:p w14:paraId="7DAC6104" w14:textId="77777777" w:rsidR="002D58E4" w:rsidRDefault="00F721D4">
            <w:pPr>
              <w:rPr>
                <w:sz w:val="20"/>
                <w:szCs w:val="20"/>
                <w:highlight w:val="yellow"/>
              </w:rPr>
            </w:pPr>
            <w:r>
              <w:rPr>
                <w:sz w:val="20"/>
                <w:szCs w:val="20"/>
              </w:rPr>
              <w:t>IMPORTANT</w:t>
            </w:r>
            <w:r>
              <w:rPr>
                <w:sz w:val="20"/>
                <w:szCs w:val="20"/>
                <w:highlight w:val="yellow"/>
              </w:rPr>
              <w:t xml:space="preserve"> </w:t>
            </w:r>
          </w:p>
        </w:tc>
      </w:tr>
      <w:tr w:rsidR="002D58E4" w14:paraId="3F0046CE"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25481B1" w14:textId="77777777" w:rsidR="002D58E4" w:rsidRDefault="00F721D4">
            <w:pPr>
              <w:rPr>
                <w:sz w:val="20"/>
                <w:szCs w:val="20"/>
              </w:rPr>
            </w:pPr>
            <w:r>
              <w:rPr>
                <w:b/>
                <w:sz w:val="20"/>
                <w:szCs w:val="20"/>
              </w:rPr>
              <w:t xml:space="preserve">Patients Experiencing Objective Findings of Lyme </w:t>
            </w:r>
            <w:r>
              <w:rPr>
                <w:sz w:val="20"/>
                <w:szCs w:val="20"/>
              </w:rPr>
              <w:t>(during treatment and up to 1 month)</w:t>
            </w:r>
          </w:p>
        </w:tc>
      </w:tr>
      <w:tr w:rsidR="002D58E4" w14:paraId="20B4A02C" w14:textId="77777777" w:rsidTr="00E70FE5">
        <w:tc>
          <w:tcPr>
            <w:tcW w:w="727" w:type="dxa"/>
            <w:tcBorders>
              <w:top w:val="single" w:sz="6" w:space="0" w:color="000000"/>
              <w:left w:val="single" w:sz="6" w:space="0" w:color="000000"/>
              <w:bottom w:val="single" w:sz="6" w:space="0" w:color="000000"/>
              <w:right w:val="single" w:sz="6" w:space="0" w:color="000000"/>
            </w:tcBorders>
          </w:tcPr>
          <w:p w14:paraId="08A92F12" w14:textId="77777777" w:rsidR="002D58E4" w:rsidRDefault="00F721D4">
            <w:pPr>
              <w:rPr>
                <w:sz w:val="20"/>
                <w:szCs w:val="20"/>
              </w:rPr>
            </w:pPr>
            <w:r>
              <w:rPr>
                <w:sz w:val="20"/>
                <w:szCs w:val="20"/>
              </w:rPr>
              <w:t xml:space="preserve">3 </w:t>
            </w:r>
          </w:p>
        </w:tc>
        <w:tc>
          <w:tcPr>
            <w:tcW w:w="828" w:type="dxa"/>
            <w:tcBorders>
              <w:top w:val="single" w:sz="6" w:space="0" w:color="000000"/>
              <w:left w:val="single" w:sz="6" w:space="0" w:color="000000"/>
              <w:bottom w:val="single" w:sz="6" w:space="0" w:color="000000"/>
              <w:right w:val="single" w:sz="6" w:space="0" w:color="000000"/>
            </w:tcBorders>
          </w:tcPr>
          <w:p w14:paraId="5D7F7E09" w14:textId="77777777" w:rsidR="002D58E4" w:rsidRDefault="00F721D4">
            <w:pPr>
              <w:rPr>
                <w:sz w:val="20"/>
                <w:szCs w:val="20"/>
              </w:rPr>
            </w:pPr>
            <w:r>
              <w:rPr>
                <w:sz w:val="20"/>
                <w:szCs w:val="20"/>
              </w:rPr>
              <w:t xml:space="preserve">RCT </w:t>
            </w:r>
            <w:r>
              <w:rPr>
                <w:sz w:val="20"/>
                <w:szCs w:val="20"/>
                <w:vertAlign w:val="superscript"/>
              </w:rPr>
              <w:t>1-3</w:t>
            </w:r>
          </w:p>
        </w:tc>
        <w:tc>
          <w:tcPr>
            <w:tcW w:w="994" w:type="dxa"/>
            <w:tcBorders>
              <w:top w:val="single" w:sz="6" w:space="0" w:color="000000"/>
              <w:left w:val="single" w:sz="6" w:space="0" w:color="000000"/>
              <w:bottom w:val="single" w:sz="6" w:space="0" w:color="000000"/>
              <w:right w:val="single" w:sz="6" w:space="0" w:color="000000"/>
            </w:tcBorders>
          </w:tcPr>
          <w:p w14:paraId="7F12F775" w14:textId="77777777" w:rsidR="002D58E4" w:rsidRDefault="00F721D4">
            <w:pPr>
              <w:rPr>
                <w:sz w:val="20"/>
                <w:szCs w:val="20"/>
              </w:rPr>
            </w:pPr>
            <w:r>
              <w:rPr>
                <w:sz w:val="20"/>
                <w:szCs w:val="20"/>
              </w:rPr>
              <w:t xml:space="preserve">serious </w:t>
            </w:r>
            <w:r>
              <w:rPr>
                <w:sz w:val="20"/>
                <w:szCs w:val="20"/>
                <w:vertAlign w:val="superscript"/>
              </w:rPr>
              <w:t>b</w:t>
            </w:r>
          </w:p>
        </w:tc>
        <w:tc>
          <w:tcPr>
            <w:tcW w:w="988" w:type="dxa"/>
            <w:tcBorders>
              <w:top w:val="single" w:sz="6" w:space="0" w:color="000000"/>
              <w:left w:val="single" w:sz="6" w:space="0" w:color="000000"/>
              <w:bottom w:val="single" w:sz="6" w:space="0" w:color="000000"/>
              <w:right w:val="single" w:sz="6" w:space="0" w:color="000000"/>
            </w:tcBorders>
          </w:tcPr>
          <w:p w14:paraId="15AC3BB1"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0B7AB644"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7DAF14AF" w14:textId="77777777" w:rsidR="002D58E4" w:rsidRDefault="00F721D4">
            <w:pPr>
              <w:rPr>
                <w:sz w:val="20"/>
                <w:szCs w:val="20"/>
              </w:rPr>
            </w:pPr>
            <w:r>
              <w:rPr>
                <w:sz w:val="20"/>
                <w:szCs w:val="20"/>
              </w:rPr>
              <w:t xml:space="preserve">serious </w:t>
            </w:r>
            <w:r>
              <w:rPr>
                <w:sz w:val="20"/>
                <w:szCs w:val="20"/>
                <w:vertAlign w:val="superscript"/>
              </w:rPr>
              <w:t>d</w:t>
            </w:r>
          </w:p>
        </w:tc>
        <w:tc>
          <w:tcPr>
            <w:tcW w:w="831" w:type="dxa"/>
            <w:tcBorders>
              <w:top w:val="single" w:sz="6" w:space="0" w:color="000000"/>
              <w:left w:val="single" w:sz="6" w:space="0" w:color="000000"/>
              <w:bottom w:val="single" w:sz="6" w:space="0" w:color="000000"/>
              <w:right w:val="single" w:sz="6" w:space="0" w:color="000000"/>
            </w:tcBorders>
          </w:tcPr>
          <w:p w14:paraId="40B97071"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251B6410" w14:textId="77777777" w:rsidR="002D58E4" w:rsidRDefault="00F721D4">
            <w:pPr>
              <w:jc w:val="center"/>
              <w:rPr>
                <w:sz w:val="20"/>
                <w:szCs w:val="20"/>
              </w:rPr>
            </w:pPr>
            <w:r>
              <w:rPr>
                <w:sz w:val="20"/>
                <w:szCs w:val="20"/>
              </w:rPr>
              <w:t xml:space="preserve">5/211 </w:t>
            </w:r>
          </w:p>
          <w:p w14:paraId="26DA7874" w14:textId="77777777" w:rsidR="002D58E4" w:rsidRDefault="00F721D4">
            <w:pPr>
              <w:jc w:val="center"/>
              <w:rPr>
                <w:sz w:val="20"/>
                <w:szCs w:val="20"/>
              </w:rPr>
            </w:pPr>
            <w:r>
              <w:rPr>
                <w:sz w:val="20"/>
                <w:szCs w:val="20"/>
              </w:rPr>
              <w:t xml:space="preserve">(2.4%) </w:t>
            </w:r>
          </w:p>
        </w:tc>
        <w:tc>
          <w:tcPr>
            <w:tcW w:w="1021" w:type="dxa"/>
            <w:tcBorders>
              <w:top w:val="single" w:sz="6" w:space="0" w:color="000000"/>
              <w:left w:val="single" w:sz="6" w:space="0" w:color="000000"/>
              <w:bottom w:val="single" w:sz="6" w:space="0" w:color="000000"/>
              <w:right w:val="single" w:sz="6" w:space="0" w:color="000000"/>
            </w:tcBorders>
          </w:tcPr>
          <w:p w14:paraId="264BCE49" w14:textId="77777777" w:rsidR="002D58E4" w:rsidRDefault="00F721D4">
            <w:pPr>
              <w:jc w:val="center"/>
              <w:rPr>
                <w:sz w:val="20"/>
                <w:szCs w:val="20"/>
              </w:rPr>
            </w:pPr>
            <w:r>
              <w:rPr>
                <w:sz w:val="20"/>
                <w:szCs w:val="20"/>
              </w:rPr>
              <w:t xml:space="preserve">2/209 </w:t>
            </w:r>
          </w:p>
          <w:p w14:paraId="45359FAF" w14:textId="77777777" w:rsidR="002D58E4" w:rsidRDefault="00F721D4">
            <w:pPr>
              <w:jc w:val="center"/>
              <w:rPr>
                <w:sz w:val="20"/>
                <w:szCs w:val="20"/>
              </w:rPr>
            </w:pPr>
            <w:r>
              <w:rPr>
                <w:sz w:val="20"/>
                <w:szCs w:val="20"/>
              </w:rPr>
              <w:t xml:space="preserve">(1.0%) </w:t>
            </w:r>
          </w:p>
        </w:tc>
        <w:tc>
          <w:tcPr>
            <w:tcW w:w="1283" w:type="dxa"/>
            <w:tcBorders>
              <w:top w:val="single" w:sz="6" w:space="0" w:color="000000"/>
              <w:left w:val="single" w:sz="6" w:space="0" w:color="000000"/>
              <w:bottom w:val="single" w:sz="6" w:space="0" w:color="000000"/>
              <w:right w:val="single" w:sz="6" w:space="0" w:color="000000"/>
            </w:tcBorders>
          </w:tcPr>
          <w:p w14:paraId="353BDC42" w14:textId="77777777" w:rsidR="002D58E4" w:rsidRDefault="00F721D4">
            <w:pPr>
              <w:jc w:val="center"/>
              <w:rPr>
                <w:sz w:val="20"/>
                <w:szCs w:val="20"/>
              </w:rPr>
            </w:pPr>
            <w:r>
              <w:rPr>
                <w:sz w:val="20"/>
                <w:szCs w:val="20"/>
              </w:rPr>
              <w:t>RR 1.87</w:t>
            </w:r>
            <w:r>
              <w:rPr>
                <w:sz w:val="20"/>
                <w:szCs w:val="20"/>
              </w:rPr>
              <w:br/>
              <w:t xml:space="preserve">(0.44 to 7.95) </w:t>
            </w:r>
          </w:p>
        </w:tc>
        <w:tc>
          <w:tcPr>
            <w:tcW w:w="2119" w:type="dxa"/>
            <w:tcBorders>
              <w:top w:val="single" w:sz="6" w:space="0" w:color="000000"/>
              <w:left w:val="single" w:sz="6" w:space="0" w:color="000000"/>
              <w:bottom w:val="single" w:sz="6" w:space="0" w:color="000000"/>
              <w:right w:val="single" w:sz="6" w:space="0" w:color="000000"/>
            </w:tcBorders>
          </w:tcPr>
          <w:p w14:paraId="547DA817" w14:textId="77777777" w:rsidR="002D58E4" w:rsidRDefault="00F721D4">
            <w:pPr>
              <w:jc w:val="center"/>
              <w:rPr>
                <w:sz w:val="20"/>
                <w:szCs w:val="20"/>
              </w:rPr>
            </w:pPr>
            <w:r>
              <w:rPr>
                <w:sz w:val="20"/>
                <w:szCs w:val="20"/>
              </w:rPr>
              <w:t>8 more per 1,000</w:t>
            </w:r>
            <w:r>
              <w:rPr>
                <w:sz w:val="20"/>
                <w:szCs w:val="20"/>
              </w:rPr>
              <w:br/>
              <w:t xml:space="preserve">(from 5 fewer to 67 more) </w:t>
            </w:r>
          </w:p>
        </w:tc>
        <w:tc>
          <w:tcPr>
            <w:tcW w:w="1174" w:type="dxa"/>
            <w:tcBorders>
              <w:top w:val="single" w:sz="6" w:space="0" w:color="000000"/>
              <w:left w:val="single" w:sz="6" w:space="0" w:color="000000"/>
              <w:bottom w:val="single" w:sz="6" w:space="0" w:color="000000"/>
              <w:right w:val="single" w:sz="6" w:space="0" w:color="000000"/>
            </w:tcBorders>
          </w:tcPr>
          <w:p w14:paraId="73A66B92"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77" w:type="dxa"/>
            <w:tcBorders>
              <w:top w:val="single" w:sz="6" w:space="0" w:color="000000"/>
              <w:left w:val="single" w:sz="6" w:space="0" w:color="000000"/>
              <w:bottom w:val="single" w:sz="6" w:space="0" w:color="000000"/>
              <w:right w:val="single" w:sz="6" w:space="0" w:color="000000"/>
            </w:tcBorders>
          </w:tcPr>
          <w:p w14:paraId="5279AB7C" w14:textId="77777777" w:rsidR="002D58E4" w:rsidRDefault="00F721D4">
            <w:pPr>
              <w:rPr>
                <w:sz w:val="20"/>
                <w:szCs w:val="20"/>
              </w:rPr>
            </w:pPr>
            <w:r>
              <w:rPr>
                <w:sz w:val="20"/>
                <w:szCs w:val="20"/>
              </w:rPr>
              <w:t xml:space="preserve">IMPORTANT </w:t>
            </w:r>
          </w:p>
        </w:tc>
      </w:tr>
      <w:tr w:rsidR="002D58E4" w14:paraId="36D2786D"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C716F95" w14:textId="77777777" w:rsidR="002D58E4" w:rsidRDefault="00F721D4">
            <w:pPr>
              <w:rPr>
                <w:sz w:val="20"/>
                <w:szCs w:val="20"/>
              </w:rPr>
            </w:pPr>
            <w:r>
              <w:rPr>
                <w:b/>
                <w:sz w:val="20"/>
                <w:szCs w:val="20"/>
              </w:rPr>
              <w:t xml:space="preserve">Patients Experiencing Objective Findings of Lyme </w:t>
            </w:r>
            <w:r>
              <w:rPr>
                <w:sz w:val="20"/>
                <w:szCs w:val="20"/>
              </w:rPr>
              <w:t>(6 months and beyond)</w:t>
            </w:r>
            <w:r>
              <w:rPr>
                <w:b/>
                <w:sz w:val="20"/>
                <w:szCs w:val="20"/>
              </w:rPr>
              <w:t xml:space="preserve"> </w:t>
            </w:r>
          </w:p>
        </w:tc>
      </w:tr>
      <w:tr w:rsidR="002D58E4" w14:paraId="36B813BD" w14:textId="77777777" w:rsidTr="00E70FE5">
        <w:tc>
          <w:tcPr>
            <w:tcW w:w="727" w:type="dxa"/>
            <w:tcBorders>
              <w:top w:val="single" w:sz="6" w:space="0" w:color="000000"/>
              <w:left w:val="single" w:sz="6" w:space="0" w:color="000000"/>
              <w:bottom w:val="single" w:sz="6" w:space="0" w:color="000000"/>
              <w:right w:val="single" w:sz="6" w:space="0" w:color="000000"/>
            </w:tcBorders>
          </w:tcPr>
          <w:p w14:paraId="4362CA82" w14:textId="77777777" w:rsidR="002D58E4" w:rsidRDefault="00F721D4">
            <w:pPr>
              <w:rPr>
                <w:sz w:val="20"/>
                <w:szCs w:val="20"/>
              </w:rPr>
            </w:pPr>
            <w:r>
              <w:rPr>
                <w:sz w:val="20"/>
                <w:szCs w:val="20"/>
              </w:rPr>
              <w:t xml:space="preserve">1 </w:t>
            </w:r>
          </w:p>
        </w:tc>
        <w:tc>
          <w:tcPr>
            <w:tcW w:w="828" w:type="dxa"/>
            <w:tcBorders>
              <w:top w:val="single" w:sz="6" w:space="0" w:color="000000"/>
              <w:left w:val="single" w:sz="6" w:space="0" w:color="000000"/>
              <w:bottom w:val="single" w:sz="6" w:space="0" w:color="000000"/>
              <w:right w:val="single" w:sz="6" w:space="0" w:color="000000"/>
            </w:tcBorders>
          </w:tcPr>
          <w:p w14:paraId="3FFFC00F" w14:textId="77777777" w:rsidR="002D58E4" w:rsidRDefault="00F721D4">
            <w:pPr>
              <w:rPr>
                <w:sz w:val="20"/>
                <w:szCs w:val="20"/>
              </w:rPr>
            </w:pPr>
            <w:r>
              <w:rPr>
                <w:sz w:val="20"/>
                <w:szCs w:val="20"/>
              </w:rPr>
              <w:t xml:space="preserve">RCT </w:t>
            </w:r>
            <w:r>
              <w:rPr>
                <w:sz w:val="20"/>
                <w:szCs w:val="20"/>
                <w:vertAlign w:val="superscript"/>
              </w:rPr>
              <w:t>2</w:t>
            </w:r>
          </w:p>
        </w:tc>
        <w:tc>
          <w:tcPr>
            <w:tcW w:w="994" w:type="dxa"/>
            <w:tcBorders>
              <w:top w:val="single" w:sz="6" w:space="0" w:color="000000"/>
              <w:left w:val="single" w:sz="6" w:space="0" w:color="000000"/>
              <w:bottom w:val="single" w:sz="6" w:space="0" w:color="000000"/>
              <w:right w:val="single" w:sz="6" w:space="0" w:color="000000"/>
            </w:tcBorders>
          </w:tcPr>
          <w:p w14:paraId="5177C954" w14:textId="77777777" w:rsidR="002D58E4" w:rsidRDefault="00F721D4">
            <w:pPr>
              <w:rPr>
                <w:sz w:val="20"/>
                <w:szCs w:val="20"/>
              </w:rPr>
            </w:pPr>
            <w:r>
              <w:rPr>
                <w:sz w:val="20"/>
                <w:szCs w:val="20"/>
              </w:rPr>
              <w:t xml:space="preserve">not serious </w:t>
            </w:r>
          </w:p>
        </w:tc>
        <w:tc>
          <w:tcPr>
            <w:tcW w:w="988" w:type="dxa"/>
            <w:tcBorders>
              <w:top w:val="single" w:sz="6" w:space="0" w:color="000000"/>
              <w:left w:val="single" w:sz="6" w:space="0" w:color="000000"/>
              <w:bottom w:val="single" w:sz="6" w:space="0" w:color="000000"/>
              <w:right w:val="single" w:sz="6" w:space="0" w:color="000000"/>
            </w:tcBorders>
          </w:tcPr>
          <w:p w14:paraId="7B737919" w14:textId="77777777" w:rsidR="002D58E4" w:rsidRDefault="00F721D4">
            <w:pPr>
              <w:rPr>
                <w:sz w:val="20"/>
                <w:szCs w:val="20"/>
              </w:rPr>
            </w:pPr>
            <w:r>
              <w:rPr>
                <w:sz w:val="20"/>
                <w:szCs w:val="20"/>
              </w:rPr>
              <w:t>not serious</w:t>
            </w:r>
          </w:p>
        </w:tc>
        <w:tc>
          <w:tcPr>
            <w:tcW w:w="991" w:type="dxa"/>
            <w:tcBorders>
              <w:top w:val="single" w:sz="6" w:space="0" w:color="000000"/>
              <w:left w:val="single" w:sz="6" w:space="0" w:color="000000"/>
              <w:bottom w:val="single" w:sz="6" w:space="0" w:color="000000"/>
              <w:right w:val="single" w:sz="6" w:space="0" w:color="000000"/>
            </w:tcBorders>
          </w:tcPr>
          <w:p w14:paraId="17F9AF44"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60C58EDB" w14:textId="77777777" w:rsidR="002D58E4" w:rsidRDefault="00F721D4">
            <w:pPr>
              <w:rPr>
                <w:sz w:val="20"/>
                <w:szCs w:val="20"/>
              </w:rPr>
            </w:pPr>
            <w:r>
              <w:rPr>
                <w:sz w:val="20"/>
                <w:szCs w:val="20"/>
              </w:rPr>
              <w:t xml:space="preserve">serious </w:t>
            </w:r>
            <w:r>
              <w:rPr>
                <w:sz w:val="20"/>
                <w:szCs w:val="20"/>
                <w:vertAlign w:val="superscript"/>
              </w:rPr>
              <w:t>a</w:t>
            </w:r>
          </w:p>
        </w:tc>
        <w:tc>
          <w:tcPr>
            <w:tcW w:w="831" w:type="dxa"/>
            <w:tcBorders>
              <w:top w:val="single" w:sz="6" w:space="0" w:color="000000"/>
              <w:left w:val="single" w:sz="6" w:space="0" w:color="000000"/>
              <w:bottom w:val="single" w:sz="6" w:space="0" w:color="000000"/>
              <w:right w:val="single" w:sz="6" w:space="0" w:color="000000"/>
            </w:tcBorders>
          </w:tcPr>
          <w:p w14:paraId="16064885"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0A18CB72" w14:textId="77777777" w:rsidR="002D58E4" w:rsidRDefault="00F721D4">
            <w:pPr>
              <w:jc w:val="center"/>
              <w:rPr>
                <w:sz w:val="20"/>
                <w:szCs w:val="20"/>
              </w:rPr>
            </w:pPr>
            <w:r>
              <w:rPr>
                <w:sz w:val="20"/>
                <w:szCs w:val="20"/>
              </w:rPr>
              <w:t xml:space="preserve">17/106 (16.0%) </w:t>
            </w:r>
          </w:p>
        </w:tc>
        <w:tc>
          <w:tcPr>
            <w:tcW w:w="1021" w:type="dxa"/>
            <w:tcBorders>
              <w:top w:val="single" w:sz="6" w:space="0" w:color="000000"/>
              <w:left w:val="single" w:sz="6" w:space="0" w:color="000000"/>
              <w:bottom w:val="single" w:sz="6" w:space="0" w:color="000000"/>
              <w:right w:val="single" w:sz="6" w:space="0" w:color="000000"/>
            </w:tcBorders>
          </w:tcPr>
          <w:p w14:paraId="74417F92" w14:textId="77777777" w:rsidR="002D58E4" w:rsidRDefault="00F721D4">
            <w:pPr>
              <w:jc w:val="center"/>
              <w:rPr>
                <w:sz w:val="20"/>
                <w:szCs w:val="20"/>
              </w:rPr>
            </w:pPr>
            <w:r>
              <w:rPr>
                <w:sz w:val="20"/>
                <w:szCs w:val="20"/>
              </w:rPr>
              <w:t xml:space="preserve">4/103 </w:t>
            </w:r>
          </w:p>
          <w:p w14:paraId="0FC7F5DC" w14:textId="77777777" w:rsidR="002D58E4" w:rsidRDefault="00F721D4">
            <w:pPr>
              <w:jc w:val="center"/>
              <w:rPr>
                <w:sz w:val="20"/>
                <w:szCs w:val="20"/>
              </w:rPr>
            </w:pPr>
            <w:r>
              <w:rPr>
                <w:sz w:val="20"/>
                <w:szCs w:val="20"/>
              </w:rPr>
              <w:t xml:space="preserve">(3.9%) </w:t>
            </w:r>
          </w:p>
        </w:tc>
        <w:tc>
          <w:tcPr>
            <w:tcW w:w="1283" w:type="dxa"/>
            <w:tcBorders>
              <w:top w:val="single" w:sz="6" w:space="0" w:color="000000"/>
              <w:left w:val="single" w:sz="6" w:space="0" w:color="000000"/>
              <w:bottom w:val="single" w:sz="6" w:space="0" w:color="000000"/>
              <w:right w:val="single" w:sz="6" w:space="0" w:color="000000"/>
            </w:tcBorders>
          </w:tcPr>
          <w:p w14:paraId="052FA91B" w14:textId="77777777" w:rsidR="002D58E4" w:rsidRDefault="00F721D4">
            <w:pPr>
              <w:jc w:val="center"/>
              <w:rPr>
                <w:b/>
                <w:sz w:val="20"/>
                <w:szCs w:val="20"/>
              </w:rPr>
            </w:pPr>
            <w:r>
              <w:rPr>
                <w:b/>
                <w:sz w:val="20"/>
                <w:szCs w:val="20"/>
              </w:rPr>
              <w:t>RR 4.13</w:t>
            </w:r>
            <w:r>
              <w:rPr>
                <w:b/>
                <w:sz w:val="20"/>
                <w:szCs w:val="20"/>
              </w:rPr>
              <w:br/>
              <w:t xml:space="preserve">(1.44 to 11.86) </w:t>
            </w:r>
          </w:p>
        </w:tc>
        <w:tc>
          <w:tcPr>
            <w:tcW w:w="2119" w:type="dxa"/>
            <w:tcBorders>
              <w:top w:val="single" w:sz="6" w:space="0" w:color="000000"/>
              <w:left w:val="single" w:sz="6" w:space="0" w:color="000000"/>
              <w:bottom w:val="single" w:sz="6" w:space="0" w:color="000000"/>
              <w:right w:val="single" w:sz="6" w:space="0" w:color="000000"/>
            </w:tcBorders>
          </w:tcPr>
          <w:p w14:paraId="10771C6C" w14:textId="77777777" w:rsidR="002D58E4" w:rsidRDefault="00F721D4">
            <w:pPr>
              <w:jc w:val="center"/>
              <w:rPr>
                <w:b/>
                <w:sz w:val="20"/>
                <w:szCs w:val="20"/>
              </w:rPr>
            </w:pPr>
            <w:r>
              <w:rPr>
                <w:b/>
                <w:sz w:val="20"/>
                <w:szCs w:val="20"/>
              </w:rPr>
              <w:t>122 more per 1,000</w:t>
            </w:r>
            <w:r>
              <w:rPr>
                <w:b/>
                <w:sz w:val="20"/>
                <w:szCs w:val="20"/>
              </w:rPr>
              <w:br/>
              <w:t xml:space="preserve">(from 17 more to 422 more) </w:t>
            </w:r>
          </w:p>
        </w:tc>
        <w:tc>
          <w:tcPr>
            <w:tcW w:w="1174" w:type="dxa"/>
            <w:tcBorders>
              <w:top w:val="single" w:sz="6" w:space="0" w:color="000000"/>
              <w:left w:val="single" w:sz="6" w:space="0" w:color="000000"/>
              <w:bottom w:val="single" w:sz="6" w:space="0" w:color="000000"/>
              <w:right w:val="single" w:sz="6" w:space="0" w:color="000000"/>
            </w:tcBorders>
          </w:tcPr>
          <w:p w14:paraId="448A03C5"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377" w:type="dxa"/>
            <w:tcBorders>
              <w:top w:val="single" w:sz="6" w:space="0" w:color="000000"/>
              <w:left w:val="single" w:sz="6" w:space="0" w:color="000000"/>
              <w:bottom w:val="single" w:sz="6" w:space="0" w:color="000000"/>
              <w:right w:val="single" w:sz="6" w:space="0" w:color="000000"/>
            </w:tcBorders>
          </w:tcPr>
          <w:p w14:paraId="7DBF80AB" w14:textId="77777777" w:rsidR="002D58E4" w:rsidRDefault="00F721D4">
            <w:pPr>
              <w:rPr>
                <w:sz w:val="20"/>
                <w:szCs w:val="20"/>
              </w:rPr>
            </w:pPr>
            <w:r>
              <w:rPr>
                <w:sz w:val="20"/>
                <w:szCs w:val="20"/>
              </w:rPr>
              <w:t xml:space="preserve">CRITICAL </w:t>
            </w:r>
          </w:p>
        </w:tc>
      </w:tr>
      <w:tr w:rsidR="002D58E4" w14:paraId="1AFD9749"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ED9F7A0" w14:textId="77777777" w:rsidR="002D58E4" w:rsidRDefault="00F721D4">
            <w:pPr>
              <w:rPr>
                <w:sz w:val="20"/>
                <w:szCs w:val="20"/>
              </w:rPr>
            </w:pPr>
            <w:r>
              <w:rPr>
                <w:b/>
                <w:sz w:val="20"/>
                <w:szCs w:val="20"/>
              </w:rPr>
              <w:t>Patients Withdrawing due to Adverse Events</w:t>
            </w:r>
            <w:r>
              <w:rPr>
                <w:sz w:val="20"/>
                <w:szCs w:val="20"/>
              </w:rPr>
              <w:t xml:space="preserve"> </w:t>
            </w:r>
          </w:p>
        </w:tc>
      </w:tr>
      <w:tr w:rsidR="002D58E4" w14:paraId="41250C48" w14:textId="77777777" w:rsidTr="00E70FE5">
        <w:tc>
          <w:tcPr>
            <w:tcW w:w="727" w:type="dxa"/>
            <w:tcBorders>
              <w:top w:val="single" w:sz="6" w:space="0" w:color="000000"/>
              <w:left w:val="single" w:sz="6" w:space="0" w:color="000000"/>
              <w:bottom w:val="single" w:sz="6" w:space="0" w:color="000000"/>
              <w:right w:val="single" w:sz="6" w:space="0" w:color="000000"/>
            </w:tcBorders>
          </w:tcPr>
          <w:p w14:paraId="0DA17D0D" w14:textId="77777777" w:rsidR="002D58E4" w:rsidRDefault="00F721D4">
            <w:pPr>
              <w:rPr>
                <w:sz w:val="20"/>
                <w:szCs w:val="20"/>
              </w:rPr>
            </w:pPr>
            <w:r>
              <w:rPr>
                <w:sz w:val="20"/>
                <w:szCs w:val="20"/>
              </w:rPr>
              <w:lastRenderedPageBreak/>
              <w:t xml:space="preserve">2 </w:t>
            </w:r>
          </w:p>
        </w:tc>
        <w:tc>
          <w:tcPr>
            <w:tcW w:w="828" w:type="dxa"/>
            <w:tcBorders>
              <w:top w:val="single" w:sz="6" w:space="0" w:color="000000"/>
              <w:left w:val="single" w:sz="6" w:space="0" w:color="000000"/>
              <w:bottom w:val="single" w:sz="6" w:space="0" w:color="000000"/>
              <w:right w:val="single" w:sz="6" w:space="0" w:color="000000"/>
            </w:tcBorders>
          </w:tcPr>
          <w:p w14:paraId="074711AD" w14:textId="77777777" w:rsidR="002D58E4" w:rsidRDefault="00F721D4">
            <w:pPr>
              <w:rPr>
                <w:sz w:val="20"/>
                <w:szCs w:val="20"/>
              </w:rPr>
            </w:pPr>
            <w:r>
              <w:rPr>
                <w:sz w:val="20"/>
                <w:szCs w:val="20"/>
              </w:rPr>
              <w:t xml:space="preserve">RCT </w:t>
            </w:r>
            <w:r>
              <w:rPr>
                <w:sz w:val="20"/>
                <w:szCs w:val="20"/>
                <w:vertAlign w:val="superscript"/>
              </w:rPr>
              <w:t>2,3</w:t>
            </w:r>
          </w:p>
        </w:tc>
        <w:tc>
          <w:tcPr>
            <w:tcW w:w="994" w:type="dxa"/>
            <w:tcBorders>
              <w:top w:val="single" w:sz="6" w:space="0" w:color="000000"/>
              <w:left w:val="single" w:sz="6" w:space="0" w:color="000000"/>
              <w:bottom w:val="single" w:sz="6" w:space="0" w:color="000000"/>
              <w:right w:val="single" w:sz="6" w:space="0" w:color="000000"/>
            </w:tcBorders>
          </w:tcPr>
          <w:p w14:paraId="4C7DC4EE" w14:textId="77777777" w:rsidR="002D58E4" w:rsidRDefault="00F721D4">
            <w:pPr>
              <w:rPr>
                <w:sz w:val="20"/>
                <w:szCs w:val="20"/>
              </w:rPr>
            </w:pPr>
            <w:r>
              <w:rPr>
                <w:sz w:val="20"/>
                <w:szCs w:val="20"/>
              </w:rPr>
              <w:t xml:space="preserve">serious </w:t>
            </w:r>
            <w:r>
              <w:rPr>
                <w:sz w:val="20"/>
                <w:szCs w:val="20"/>
                <w:vertAlign w:val="superscript"/>
              </w:rPr>
              <w:t>e</w:t>
            </w:r>
          </w:p>
        </w:tc>
        <w:tc>
          <w:tcPr>
            <w:tcW w:w="988" w:type="dxa"/>
            <w:tcBorders>
              <w:top w:val="single" w:sz="6" w:space="0" w:color="000000"/>
              <w:left w:val="single" w:sz="6" w:space="0" w:color="000000"/>
              <w:bottom w:val="single" w:sz="6" w:space="0" w:color="000000"/>
              <w:right w:val="single" w:sz="6" w:space="0" w:color="000000"/>
            </w:tcBorders>
          </w:tcPr>
          <w:p w14:paraId="0FF8C950"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564FB649"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4B10FF83" w14:textId="77777777" w:rsidR="002D58E4" w:rsidRDefault="00F721D4">
            <w:pPr>
              <w:rPr>
                <w:sz w:val="20"/>
                <w:szCs w:val="20"/>
              </w:rPr>
            </w:pPr>
            <w:r>
              <w:rPr>
                <w:sz w:val="20"/>
                <w:szCs w:val="20"/>
              </w:rPr>
              <w:t xml:space="preserve">serious </w:t>
            </w:r>
            <w:r>
              <w:rPr>
                <w:sz w:val="20"/>
                <w:szCs w:val="20"/>
                <w:vertAlign w:val="superscript"/>
              </w:rPr>
              <w:t>d</w:t>
            </w:r>
          </w:p>
        </w:tc>
        <w:tc>
          <w:tcPr>
            <w:tcW w:w="831" w:type="dxa"/>
            <w:tcBorders>
              <w:top w:val="single" w:sz="6" w:space="0" w:color="000000"/>
              <w:left w:val="single" w:sz="6" w:space="0" w:color="000000"/>
              <w:bottom w:val="single" w:sz="6" w:space="0" w:color="000000"/>
              <w:right w:val="single" w:sz="6" w:space="0" w:color="000000"/>
            </w:tcBorders>
          </w:tcPr>
          <w:p w14:paraId="66271B21"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0548B954" w14:textId="77777777" w:rsidR="002D58E4" w:rsidRDefault="00F721D4">
            <w:pPr>
              <w:jc w:val="center"/>
              <w:rPr>
                <w:sz w:val="20"/>
                <w:szCs w:val="20"/>
              </w:rPr>
            </w:pPr>
            <w:r>
              <w:rPr>
                <w:sz w:val="20"/>
                <w:szCs w:val="20"/>
              </w:rPr>
              <w:t>2/140</w:t>
            </w:r>
          </w:p>
          <w:p w14:paraId="51FA740D" w14:textId="77777777" w:rsidR="002D58E4" w:rsidRDefault="00F721D4">
            <w:pPr>
              <w:jc w:val="center"/>
              <w:rPr>
                <w:sz w:val="20"/>
                <w:szCs w:val="20"/>
              </w:rPr>
            </w:pPr>
            <w:r>
              <w:rPr>
                <w:sz w:val="20"/>
                <w:szCs w:val="20"/>
              </w:rPr>
              <w:t xml:space="preserve"> (1.4%) </w:t>
            </w:r>
          </w:p>
        </w:tc>
        <w:tc>
          <w:tcPr>
            <w:tcW w:w="1021" w:type="dxa"/>
            <w:tcBorders>
              <w:top w:val="single" w:sz="6" w:space="0" w:color="000000"/>
              <w:left w:val="single" w:sz="6" w:space="0" w:color="000000"/>
              <w:bottom w:val="single" w:sz="6" w:space="0" w:color="000000"/>
              <w:right w:val="single" w:sz="6" w:space="0" w:color="000000"/>
            </w:tcBorders>
          </w:tcPr>
          <w:p w14:paraId="1042FAD5" w14:textId="77777777" w:rsidR="002D58E4" w:rsidRDefault="00F721D4">
            <w:pPr>
              <w:jc w:val="center"/>
              <w:rPr>
                <w:sz w:val="20"/>
                <w:szCs w:val="20"/>
              </w:rPr>
            </w:pPr>
            <w:r>
              <w:rPr>
                <w:sz w:val="20"/>
                <w:szCs w:val="20"/>
              </w:rPr>
              <w:t xml:space="preserve">10/141 (7.1%) </w:t>
            </w:r>
          </w:p>
        </w:tc>
        <w:tc>
          <w:tcPr>
            <w:tcW w:w="1283" w:type="dxa"/>
            <w:tcBorders>
              <w:top w:val="single" w:sz="6" w:space="0" w:color="000000"/>
              <w:left w:val="single" w:sz="6" w:space="0" w:color="000000"/>
              <w:bottom w:val="single" w:sz="6" w:space="0" w:color="000000"/>
              <w:right w:val="single" w:sz="6" w:space="0" w:color="000000"/>
            </w:tcBorders>
          </w:tcPr>
          <w:p w14:paraId="749D6444" w14:textId="77777777" w:rsidR="002D58E4" w:rsidRDefault="00F721D4">
            <w:pPr>
              <w:jc w:val="center"/>
              <w:rPr>
                <w:sz w:val="20"/>
                <w:szCs w:val="20"/>
              </w:rPr>
            </w:pPr>
            <w:r>
              <w:rPr>
                <w:sz w:val="20"/>
                <w:szCs w:val="20"/>
              </w:rPr>
              <w:t>RR 0.26</w:t>
            </w:r>
            <w:r>
              <w:rPr>
                <w:sz w:val="20"/>
                <w:szCs w:val="20"/>
              </w:rPr>
              <w:br/>
              <w:t xml:space="preserve">(0.07 to 1.05) </w:t>
            </w:r>
          </w:p>
        </w:tc>
        <w:tc>
          <w:tcPr>
            <w:tcW w:w="2119" w:type="dxa"/>
            <w:tcBorders>
              <w:top w:val="single" w:sz="6" w:space="0" w:color="000000"/>
              <w:left w:val="single" w:sz="6" w:space="0" w:color="000000"/>
              <w:bottom w:val="single" w:sz="6" w:space="0" w:color="000000"/>
              <w:right w:val="single" w:sz="6" w:space="0" w:color="000000"/>
            </w:tcBorders>
          </w:tcPr>
          <w:p w14:paraId="551C68F5" w14:textId="77777777" w:rsidR="002D58E4" w:rsidRDefault="00F721D4">
            <w:pPr>
              <w:jc w:val="center"/>
              <w:rPr>
                <w:sz w:val="20"/>
                <w:szCs w:val="20"/>
              </w:rPr>
            </w:pPr>
            <w:r>
              <w:rPr>
                <w:sz w:val="20"/>
                <w:szCs w:val="20"/>
              </w:rPr>
              <w:t>52 fewer per 1,000</w:t>
            </w:r>
            <w:r>
              <w:rPr>
                <w:sz w:val="20"/>
                <w:szCs w:val="20"/>
              </w:rPr>
              <w:br/>
              <w:t xml:space="preserve">(from 4 more to 66 fewer) </w:t>
            </w:r>
          </w:p>
        </w:tc>
        <w:tc>
          <w:tcPr>
            <w:tcW w:w="1174" w:type="dxa"/>
            <w:tcBorders>
              <w:top w:val="single" w:sz="6" w:space="0" w:color="000000"/>
              <w:left w:val="single" w:sz="6" w:space="0" w:color="000000"/>
              <w:bottom w:val="single" w:sz="6" w:space="0" w:color="000000"/>
              <w:right w:val="single" w:sz="6" w:space="0" w:color="000000"/>
            </w:tcBorders>
          </w:tcPr>
          <w:p w14:paraId="3DF35A5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77" w:type="dxa"/>
            <w:tcBorders>
              <w:top w:val="single" w:sz="6" w:space="0" w:color="000000"/>
              <w:left w:val="single" w:sz="6" w:space="0" w:color="000000"/>
              <w:bottom w:val="single" w:sz="6" w:space="0" w:color="000000"/>
              <w:right w:val="single" w:sz="6" w:space="0" w:color="000000"/>
            </w:tcBorders>
          </w:tcPr>
          <w:p w14:paraId="3BDDA58E" w14:textId="77777777" w:rsidR="002D58E4" w:rsidRDefault="00F721D4">
            <w:pPr>
              <w:rPr>
                <w:sz w:val="20"/>
                <w:szCs w:val="20"/>
              </w:rPr>
            </w:pPr>
            <w:r>
              <w:rPr>
                <w:sz w:val="20"/>
                <w:szCs w:val="20"/>
              </w:rPr>
              <w:t xml:space="preserve">CRITICAL </w:t>
            </w:r>
          </w:p>
        </w:tc>
      </w:tr>
      <w:tr w:rsidR="002D58E4" w14:paraId="684F926B"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554FBE0" w14:textId="77777777" w:rsidR="002D58E4" w:rsidRDefault="00F721D4">
            <w:pPr>
              <w:rPr>
                <w:sz w:val="20"/>
                <w:szCs w:val="20"/>
              </w:rPr>
            </w:pPr>
            <w:r>
              <w:rPr>
                <w:b/>
                <w:sz w:val="20"/>
                <w:szCs w:val="20"/>
              </w:rPr>
              <w:t xml:space="preserve">Total Adverse Events </w:t>
            </w:r>
          </w:p>
        </w:tc>
      </w:tr>
      <w:tr w:rsidR="002D58E4" w14:paraId="2108B223" w14:textId="77777777" w:rsidTr="00E70FE5">
        <w:tc>
          <w:tcPr>
            <w:tcW w:w="727" w:type="dxa"/>
            <w:tcBorders>
              <w:top w:val="single" w:sz="6" w:space="0" w:color="000000"/>
              <w:left w:val="single" w:sz="6" w:space="0" w:color="000000"/>
              <w:bottom w:val="single" w:sz="6" w:space="0" w:color="000000"/>
              <w:right w:val="single" w:sz="6" w:space="0" w:color="000000"/>
            </w:tcBorders>
          </w:tcPr>
          <w:p w14:paraId="4FB10F1A"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569D386D" w14:textId="77777777" w:rsidR="002D58E4" w:rsidRDefault="00F721D4">
            <w:pPr>
              <w:rPr>
                <w:sz w:val="20"/>
                <w:szCs w:val="20"/>
              </w:rPr>
            </w:pPr>
            <w:r>
              <w:rPr>
                <w:sz w:val="20"/>
                <w:szCs w:val="20"/>
              </w:rPr>
              <w:t xml:space="preserve">RCT </w:t>
            </w:r>
            <w:r>
              <w:rPr>
                <w:sz w:val="20"/>
                <w:szCs w:val="20"/>
                <w:vertAlign w:val="superscript"/>
              </w:rPr>
              <w:t>1,2</w:t>
            </w:r>
          </w:p>
        </w:tc>
        <w:tc>
          <w:tcPr>
            <w:tcW w:w="994" w:type="dxa"/>
            <w:tcBorders>
              <w:top w:val="single" w:sz="6" w:space="0" w:color="000000"/>
              <w:left w:val="single" w:sz="6" w:space="0" w:color="000000"/>
              <w:bottom w:val="single" w:sz="6" w:space="0" w:color="000000"/>
              <w:right w:val="single" w:sz="6" w:space="0" w:color="000000"/>
            </w:tcBorders>
          </w:tcPr>
          <w:p w14:paraId="688AA196" w14:textId="77777777" w:rsidR="002D58E4" w:rsidRDefault="00F721D4">
            <w:pPr>
              <w:rPr>
                <w:sz w:val="20"/>
                <w:szCs w:val="20"/>
              </w:rPr>
            </w:pPr>
            <w:r>
              <w:rPr>
                <w:sz w:val="20"/>
                <w:szCs w:val="20"/>
              </w:rPr>
              <w:t xml:space="preserve">serious </w:t>
            </w:r>
            <w:r>
              <w:rPr>
                <w:sz w:val="20"/>
                <w:szCs w:val="20"/>
                <w:vertAlign w:val="superscript"/>
              </w:rPr>
              <w:t>b, e</w:t>
            </w:r>
          </w:p>
        </w:tc>
        <w:tc>
          <w:tcPr>
            <w:tcW w:w="988" w:type="dxa"/>
            <w:tcBorders>
              <w:top w:val="single" w:sz="6" w:space="0" w:color="000000"/>
              <w:left w:val="single" w:sz="6" w:space="0" w:color="000000"/>
              <w:bottom w:val="single" w:sz="6" w:space="0" w:color="000000"/>
              <w:right w:val="single" w:sz="6" w:space="0" w:color="000000"/>
            </w:tcBorders>
          </w:tcPr>
          <w:p w14:paraId="2965D83A"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4324EFA7"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7B0AB78D" w14:textId="77777777" w:rsidR="002D58E4" w:rsidRDefault="00F721D4">
            <w:pPr>
              <w:rPr>
                <w:sz w:val="20"/>
                <w:szCs w:val="20"/>
              </w:rPr>
            </w:pPr>
            <w:r>
              <w:rPr>
                <w:sz w:val="20"/>
                <w:szCs w:val="20"/>
              </w:rPr>
              <w:t xml:space="preserve">serious </w:t>
            </w:r>
            <w:r>
              <w:rPr>
                <w:sz w:val="20"/>
                <w:szCs w:val="20"/>
                <w:vertAlign w:val="superscript"/>
              </w:rPr>
              <w:t>a</w:t>
            </w:r>
          </w:p>
        </w:tc>
        <w:tc>
          <w:tcPr>
            <w:tcW w:w="831" w:type="dxa"/>
            <w:tcBorders>
              <w:top w:val="single" w:sz="6" w:space="0" w:color="000000"/>
              <w:left w:val="single" w:sz="6" w:space="0" w:color="000000"/>
              <w:bottom w:val="single" w:sz="6" w:space="0" w:color="000000"/>
              <w:right w:val="single" w:sz="6" w:space="0" w:color="000000"/>
            </w:tcBorders>
          </w:tcPr>
          <w:p w14:paraId="65308CEA"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129ACE0B" w14:textId="77777777" w:rsidR="002D58E4" w:rsidRDefault="00F721D4">
            <w:pPr>
              <w:jc w:val="center"/>
              <w:rPr>
                <w:sz w:val="20"/>
                <w:szCs w:val="20"/>
              </w:rPr>
            </w:pPr>
            <w:r>
              <w:rPr>
                <w:sz w:val="20"/>
                <w:szCs w:val="20"/>
              </w:rPr>
              <w:t xml:space="preserve">61/195 (31.3%) </w:t>
            </w:r>
          </w:p>
        </w:tc>
        <w:tc>
          <w:tcPr>
            <w:tcW w:w="1021" w:type="dxa"/>
            <w:tcBorders>
              <w:top w:val="single" w:sz="6" w:space="0" w:color="000000"/>
              <w:left w:val="single" w:sz="6" w:space="0" w:color="000000"/>
              <w:bottom w:val="single" w:sz="6" w:space="0" w:color="000000"/>
              <w:right w:val="single" w:sz="6" w:space="0" w:color="000000"/>
            </w:tcBorders>
          </w:tcPr>
          <w:p w14:paraId="57DF3816" w14:textId="77777777" w:rsidR="002D58E4" w:rsidRDefault="00F721D4">
            <w:pPr>
              <w:jc w:val="center"/>
              <w:rPr>
                <w:sz w:val="20"/>
                <w:szCs w:val="20"/>
              </w:rPr>
            </w:pPr>
            <w:r>
              <w:rPr>
                <w:sz w:val="20"/>
                <w:szCs w:val="20"/>
              </w:rPr>
              <w:t xml:space="preserve">42/190 (22.1%) </w:t>
            </w:r>
          </w:p>
        </w:tc>
        <w:tc>
          <w:tcPr>
            <w:tcW w:w="1283" w:type="dxa"/>
            <w:tcBorders>
              <w:top w:val="single" w:sz="6" w:space="0" w:color="000000"/>
              <w:left w:val="single" w:sz="6" w:space="0" w:color="000000"/>
              <w:bottom w:val="single" w:sz="6" w:space="0" w:color="000000"/>
              <w:right w:val="single" w:sz="6" w:space="0" w:color="000000"/>
            </w:tcBorders>
          </w:tcPr>
          <w:p w14:paraId="297797C2" w14:textId="77777777" w:rsidR="002D58E4" w:rsidRDefault="00F721D4">
            <w:pPr>
              <w:jc w:val="center"/>
              <w:rPr>
                <w:b/>
                <w:sz w:val="20"/>
                <w:szCs w:val="20"/>
              </w:rPr>
            </w:pPr>
            <w:r>
              <w:rPr>
                <w:b/>
                <w:sz w:val="20"/>
                <w:szCs w:val="20"/>
              </w:rPr>
              <w:t>RR 1.41</w:t>
            </w:r>
            <w:r>
              <w:rPr>
                <w:b/>
                <w:sz w:val="20"/>
                <w:szCs w:val="20"/>
              </w:rPr>
              <w:br/>
              <w:t xml:space="preserve">(1.01 to 1.96) </w:t>
            </w:r>
          </w:p>
        </w:tc>
        <w:tc>
          <w:tcPr>
            <w:tcW w:w="2119" w:type="dxa"/>
            <w:tcBorders>
              <w:top w:val="single" w:sz="6" w:space="0" w:color="000000"/>
              <w:left w:val="single" w:sz="6" w:space="0" w:color="000000"/>
              <w:bottom w:val="single" w:sz="6" w:space="0" w:color="000000"/>
              <w:right w:val="single" w:sz="6" w:space="0" w:color="000000"/>
            </w:tcBorders>
          </w:tcPr>
          <w:p w14:paraId="6C05B94D" w14:textId="77777777" w:rsidR="002D58E4" w:rsidRDefault="00F721D4">
            <w:pPr>
              <w:jc w:val="center"/>
              <w:rPr>
                <w:b/>
                <w:sz w:val="20"/>
                <w:szCs w:val="20"/>
              </w:rPr>
            </w:pPr>
            <w:r>
              <w:rPr>
                <w:b/>
                <w:sz w:val="20"/>
                <w:szCs w:val="20"/>
              </w:rPr>
              <w:t>91 more per 1,000</w:t>
            </w:r>
            <w:r>
              <w:rPr>
                <w:b/>
                <w:sz w:val="20"/>
                <w:szCs w:val="20"/>
              </w:rPr>
              <w:br/>
              <w:t xml:space="preserve">(from 2 more to 212 more) </w:t>
            </w:r>
          </w:p>
        </w:tc>
        <w:tc>
          <w:tcPr>
            <w:tcW w:w="1174" w:type="dxa"/>
            <w:tcBorders>
              <w:top w:val="single" w:sz="6" w:space="0" w:color="000000"/>
              <w:left w:val="single" w:sz="6" w:space="0" w:color="000000"/>
              <w:bottom w:val="single" w:sz="6" w:space="0" w:color="000000"/>
              <w:right w:val="single" w:sz="6" w:space="0" w:color="000000"/>
            </w:tcBorders>
          </w:tcPr>
          <w:p w14:paraId="32A2B84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377" w:type="dxa"/>
            <w:tcBorders>
              <w:top w:val="single" w:sz="6" w:space="0" w:color="000000"/>
              <w:left w:val="single" w:sz="6" w:space="0" w:color="000000"/>
              <w:bottom w:val="single" w:sz="6" w:space="0" w:color="000000"/>
              <w:right w:val="single" w:sz="6" w:space="0" w:color="000000"/>
            </w:tcBorders>
          </w:tcPr>
          <w:p w14:paraId="27847EFF" w14:textId="77777777" w:rsidR="002D58E4" w:rsidRDefault="00F721D4">
            <w:pPr>
              <w:rPr>
                <w:sz w:val="20"/>
                <w:szCs w:val="20"/>
              </w:rPr>
            </w:pPr>
            <w:r>
              <w:rPr>
                <w:sz w:val="20"/>
                <w:szCs w:val="20"/>
              </w:rPr>
              <w:t xml:space="preserve">IMPORTANT </w:t>
            </w:r>
          </w:p>
        </w:tc>
      </w:tr>
      <w:tr w:rsidR="002D58E4" w14:paraId="47BC67B1"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65A6B6B7" w14:textId="77777777" w:rsidR="002D58E4" w:rsidRDefault="00F721D4">
            <w:pPr>
              <w:rPr>
                <w:sz w:val="20"/>
                <w:szCs w:val="20"/>
              </w:rPr>
            </w:pPr>
            <w:r>
              <w:rPr>
                <w:b/>
                <w:sz w:val="20"/>
                <w:szCs w:val="20"/>
              </w:rPr>
              <w:t>Gastrointestinal Adverse Events</w:t>
            </w:r>
            <w:r>
              <w:rPr>
                <w:sz w:val="20"/>
                <w:szCs w:val="20"/>
              </w:rPr>
              <w:t xml:space="preserve"> </w:t>
            </w:r>
          </w:p>
        </w:tc>
      </w:tr>
      <w:tr w:rsidR="002D58E4" w14:paraId="5C59A960" w14:textId="77777777" w:rsidTr="00E70FE5">
        <w:tc>
          <w:tcPr>
            <w:tcW w:w="727" w:type="dxa"/>
            <w:tcBorders>
              <w:top w:val="single" w:sz="6" w:space="0" w:color="000000"/>
              <w:left w:val="single" w:sz="6" w:space="0" w:color="000000"/>
              <w:bottom w:val="single" w:sz="6" w:space="0" w:color="000000"/>
              <w:right w:val="single" w:sz="6" w:space="0" w:color="000000"/>
            </w:tcBorders>
          </w:tcPr>
          <w:p w14:paraId="21E2C9A5"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145E7857" w14:textId="77777777" w:rsidR="002D58E4" w:rsidRDefault="00F721D4">
            <w:pPr>
              <w:rPr>
                <w:sz w:val="20"/>
                <w:szCs w:val="20"/>
              </w:rPr>
            </w:pPr>
            <w:r>
              <w:rPr>
                <w:sz w:val="20"/>
                <w:szCs w:val="20"/>
              </w:rPr>
              <w:t xml:space="preserve">RCT </w:t>
            </w:r>
            <w:r>
              <w:rPr>
                <w:sz w:val="20"/>
                <w:szCs w:val="20"/>
                <w:vertAlign w:val="superscript"/>
              </w:rPr>
              <w:t>1,2</w:t>
            </w:r>
          </w:p>
        </w:tc>
        <w:tc>
          <w:tcPr>
            <w:tcW w:w="994" w:type="dxa"/>
            <w:tcBorders>
              <w:top w:val="single" w:sz="6" w:space="0" w:color="000000"/>
              <w:left w:val="single" w:sz="6" w:space="0" w:color="000000"/>
              <w:bottom w:val="single" w:sz="6" w:space="0" w:color="000000"/>
              <w:right w:val="single" w:sz="6" w:space="0" w:color="000000"/>
            </w:tcBorders>
          </w:tcPr>
          <w:p w14:paraId="073B5A54" w14:textId="77777777" w:rsidR="002D58E4" w:rsidRDefault="00F721D4">
            <w:pPr>
              <w:rPr>
                <w:sz w:val="20"/>
                <w:szCs w:val="20"/>
              </w:rPr>
            </w:pPr>
            <w:r>
              <w:rPr>
                <w:sz w:val="20"/>
                <w:szCs w:val="20"/>
              </w:rPr>
              <w:t xml:space="preserve">serious </w:t>
            </w:r>
            <w:r>
              <w:rPr>
                <w:sz w:val="20"/>
                <w:szCs w:val="20"/>
                <w:vertAlign w:val="superscript"/>
              </w:rPr>
              <w:t>b, e</w:t>
            </w:r>
          </w:p>
        </w:tc>
        <w:tc>
          <w:tcPr>
            <w:tcW w:w="988" w:type="dxa"/>
            <w:tcBorders>
              <w:top w:val="single" w:sz="6" w:space="0" w:color="000000"/>
              <w:left w:val="single" w:sz="6" w:space="0" w:color="000000"/>
              <w:bottom w:val="single" w:sz="6" w:space="0" w:color="000000"/>
              <w:right w:val="single" w:sz="6" w:space="0" w:color="000000"/>
            </w:tcBorders>
          </w:tcPr>
          <w:p w14:paraId="0B050F40"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5C26CFB5"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57FB3B34" w14:textId="77777777" w:rsidR="002D58E4" w:rsidRDefault="00F721D4">
            <w:pPr>
              <w:rPr>
                <w:sz w:val="20"/>
                <w:szCs w:val="20"/>
              </w:rPr>
            </w:pPr>
            <w:r>
              <w:rPr>
                <w:sz w:val="20"/>
                <w:szCs w:val="20"/>
              </w:rPr>
              <w:t xml:space="preserve">serious </w:t>
            </w:r>
            <w:r>
              <w:rPr>
                <w:sz w:val="20"/>
                <w:szCs w:val="20"/>
                <w:vertAlign w:val="superscript"/>
              </w:rPr>
              <w:t>d</w:t>
            </w:r>
          </w:p>
        </w:tc>
        <w:tc>
          <w:tcPr>
            <w:tcW w:w="831" w:type="dxa"/>
            <w:tcBorders>
              <w:top w:val="single" w:sz="6" w:space="0" w:color="000000"/>
              <w:left w:val="single" w:sz="6" w:space="0" w:color="000000"/>
              <w:bottom w:val="single" w:sz="6" w:space="0" w:color="000000"/>
              <w:right w:val="single" w:sz="6" w:space="0" w:color="000000"/>
            </w:tcBorders>
          </w:tcPr>
          <w:p w14:paraId="5C1B1BAC"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170170E6" w14:textId="77777777" w:rsidR="002D58E4" w:rsidRDefault="00F721D4">
            <w:pPr>
              <w:jc w:val="center"/>
              <w:rPr>
                <w:sz w:val="20"/>
                <w:szCs w:val="20"/>
              </w:rPr>
            </w:pPr>
            <w:r>
              <w:rPr>
                <w:sz w:val="20"/>
                <w:szCs w:val="20"/>
              </w:rPr>
              <w:t xml:space="preserve">6/195 </w:t>
            </w:r>
          </w:p>
          <w:p w14:paraId="2D54F21C" w14:textId="77777777" w:rsidR="002D58E4" w:rsidRDefault="00F721D4">
            <w:pPr>
              <w:jc w:val="center"/>
              <w:rPr>
                <w:sz w:val="20"/>
                <w:szCs w:val="20"/>
              </w:rPr>
            </w:pPr>
            <w:r>
              <w:rPr>
                <w:sz w:val="20"/>
                <w:szCs w:val="20"/>
              </w:rPr>
              <w:t xml:space="preserve">(3.1%) </w:t>
            </w:r>
          </w:p>
        </w:tc>
        <w:tc>
          <w:tcPr>
            <w:tcW w:w="1021" w:type="dxa"/>
            <w:tcBorders>
              <w:top w:val="single" w:sz="6" w:space="0" w:color="000000"/>
              <w:left w:val="single" w:sz="6" w:space="0" w:color="000000"/>
              <w:bottom w:val="single" w:sz="6" w:space="0" w:color="000000"/>
              <w:right w:val="single" w:sz="6" w:space="0" w:color="000000"/>
            </w:tcBorders>
          </w:tcPr>
          <w:p w14:paraId="2ED8EBBF" w14:textId="77777777" w:rsidR="002D58E4" w:rsidRDefault="00F721D4">
            <w:pPr>
              <w:jc w:val="center"/>
              <w:rPr>
                <w:sz w:val="20"/>
                <w:szCs w:val="20"/>
              </w:rPr>
            </w:pPr>
            <w:r>
              <w:rPr>
                <w:sz w:val="20"/>
                <w:szCs w:val="20"/>
              </w:rPr>
              <w:t xml:space="preserve">7/190 </w:t>
            </w:r>
          </w:p>
          <w:p w14:paraId="52D8D47A" w14:textId="77777777" w:rsidR="002D58E4" w:rsidRDefault="00F721D4">
            <w:pPr>
              <w:jc w:val="center"/>
              <w:rPr>
                <w:sz w:val="20"/>
                <w:szCs w:val="20"/>
              </w:rPr>
            </w:pPr>
            <w:r>
              <w:rPr>
                <w:sz w:val="20"/>
                <w:szCs w:val="20"/>
              </w:rPr>
              <w:t xml:space="preserve">(3.7%) </w:t>
            </w:r>
          </w:p>
        </w:tc>
        <w:tc>
          <w:tcPr>
            <w:tcW w:w="1283" w:type="dxa"/>
            <w:tcBorders>
              <w:top w:val="single" w:sz="6" w:space="0" w:color="000000"/>
              <w:left w:val="single" w:sz="6" w:space="0" w:color="000000"/>
              <w:bottom w:val="single" w:sz="6" w:space="0" w:color="000000"/>
              <w:right w:val="single" w:sz="6" w:space="0" w:color="000000"/>
            </w:tcBorders>
          </w:tcPr>
          <w:p w14:paraId="635C4135" w14:textId="77777777" w:rsidR="002D58E4" w:rsidRDefault="00F721D4">
            <w:pPr>
              <w:jc w:val="center"/>
              <w:rPr>
                <w:sz w:val="20"/>
                <w:szCs w:val="20"/>
              </w:rPr>
            </w:pPr>
            <w:r>
              <w:rPr>
                <w:sz w:val="20"/>
                <w:szCs w:val="20"/>
              </w:rPr>
              <w:t>RR 1.04</w:t>
            </w:r>
            <w:r>
              <w:rPr>
                <w:sz w:val="20"/>
                <w:szCs w:val="20"/>
              </w:rPr>
              <w:br/>
              <w:t xml:space="preserve">(0.16 to 6.97) </w:t>
            </w:r>
          </w:p>
        </w:tc>
        <w:tc>
          <w:tcPr>
            <w:tcW w:w="2119" w:type="dxa"/>
            <w:tcBorders>
              <w:top w:val="single" w:sz="6" w:space="0" w:color="000000"/>
              <w:left w:val="single" w:sz="6" w:space="0" w:color="000000"/>
              <w:bottom w:val="single" w:sz="6" w:space="0" w:color="000000"/>
              <w:right w:val="single" w:sz="6" w:space="0" w:color="000000"/>
            </w:tcBorders>
          </w:tcPr>
          <w:p w14:paraId="653E75E1" w14:textId="77777777" w:rsidR="002D58E4" w:rsidRDefault="00F721D4">
            <w:pPr>
              <w:jc w:val="center"/>
              <w:rPr>
                <w:sz w:val="20"/>
                <w:szCs w:val="20"/>
              </w:rPr>
            </w:pPr>
            <w:r>
              <w:rPr>
                <w:sz w:val="20"/>
                <w:szCs w:val="20"/>
              </w:rPr>
              <w:t>1 more per 1,000</w:t>
            </w:r>
            <w:r>
              <w:rPr>
                <w:sz w:val="20"/>
                <w:szCs w:val="20"/>
              </w:rPr>
              <w:br/>
              <w:t xml:space="preserve">(from 31 fewer to 220 more) </w:t>
            </w:r>
          </w:p>
        </w:tc>
        <w:tc>
          <w:tcPr>
            <w:tcW w:w="1174" w:type="dxa"/>
            <w:tcBorders>
              <w:top w:val="single" w:sz="6" w:space="0" w:color="000000"/>
              <w:left w:val="single" w:sz="6" w:space="0" w:color="000000"/>
              <w:bottom w:val="single" w:sz="6" w:space="0" w:color="000000"/>
              <w:right w:val="single" w:sz="6" w:space="0" w:color="000000"/>
            </w:tcBorders>
          </w:tcPr>
          <w:p w14:paraId="283D1A9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77" w:type="dxa"/>
            <w:tcBorders>
              <w:top w:val="single" w:sz="6" w:space="0" w:color="000000"/>
              <w:left w:val="single" w:sz="6" w:space="0" w:color="000000"/>
              <w:bottom w:val="single" w:sz="6" w:space="0" w:color="000000"/>
              <w:right w:val="single" w:sz="6" w:space="0" w:color="000000"/>
            </w:tcBorders>
          </w:tcPr>
          <w:p w14:paraId="4B321B99" w14:textId="77777777" w:rsidR="002D58E4" w:rsidRDefault="00F721D4">
            <w:pPr>
              <w:rPr>
                <w:sz w:val="20"/>
                <w:szCs w:val="20"/>
              </w:rPr>
            </w:pPr>
            <w:r>
              <w:rPr>
                <w:sz w:val="20"/>
                <w:szCs w:val="20"/>
              </w:rPr>
              <w:t>IMPORTANT</w:t>
            </w:r>
          </w:p>
        </w:tc>
      </w:tr>
      <w:tr w:rsidR="002D58E4" w14:paraId="4E640A02"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76C3BE2F" w14:textId="77777777" w:rsidR="002D58E4" w:rsidRDefault="00F721D4">
            <w:pPr>
              <w:rPr>
                <w:sz w:val="20"/>
                <w:szCs w:val="20"/>
              </w:rPr>
            </w:pPr>
            <w:r>
              <w:rPr>
                <w:b/>
                <w:sz w:val="20"/>
                <w:szCs w:val="20"/>
              </w:rPr>
              <w:t xml:space="preserve">Jarisch-Herxheimer Reaction </w:t>
            </w:r>
          </w:p>
        </w:tc>
      </w:tr>
      <w:tr w:rsidR="002D58E4" w14:paraId="2C4004AB" w14:textId="77777777" w:rsidTr="00E70FE5">
        <w:tc>
          <w:tcPr>
            <w:tcW w:w="727" w:type="dxa"/>
            <w:tcBorders>
              <w:top w:val="single" w:sz="6" w:space="0" w:color="000000"/>
              <w:left w:val="single" w:sz="6" w:space="0" w:color="000000"/>
              <w:bottom w:val="single" w:sz="6" w:space="0" w:color="000000"/>
              <w:right w:val="single" w:sz="6" w:space="0" w:color="000000"/>
            </w:tcBorders>
          </w:tcPr>
          <w:p w14:paraId="6EE0CF28" w14:textId="77777777" w:rsidR="002D58E4" w:rsidRDefault="00F721D4">
            <w:pPr>
              <w:rPr>
                <w:sz w:val="20"/>
                <w:szCs w:val="20"/>
              </w:rPr>
            </w:pPr>
            <w:r>
              <w:rPr>
                <w:sz w:val="20"/>
                <w:szCs w:val="20"/>
              </w:rPr>
              <w:t xml:space="preserve">1 </w:t>
            </w:r>
          </w:p>
        </w:tc>
        <w:tc>
          <w:tcPr>
            <w:tcW w:w="828" w:type="dxa"/>
            <w:tcBorders>
              <w:top w:val="single" w:sz="6" w:space="0" w:color="000000"/>
              <w:left w:val="single" w:sz="6" w:space="0" w:color="000000"/>
              <w:bottom w:val="single" w:sz="6" w:space="0" w:color="000000"/>
              <w:right w:val="single" w:sz="6" w:space="0" w:color="000000"/>
            </w:tcBorders>
          </w:tcPr>
          <w:p w14:paraId="417828F8" w14:textId="77777777" w:rsidR="002D58E4" w:rsidRDefault="00F721D4">
            <w:pPr>
              <w:rPr>
                <w:sz w:val="20"/>
                <w:szCs w:val="20"/>
              </w:rPr>
            </w:pPr>
            <w:r>
              <w:rPr>
                <w:sz w:val="20"/>
                <w:szCs w:val="20"/>
              </w:rPr>
              <w:t xml:space="preserve">RCT </w:t>
            </w:r>
            <w:r>
              <w:rPr>
                <w:sz w:val="20"/>
                <w:szCs w:val="20"/>
                <w:vertAlign w:val="superscript"/>
              </w:rPr>
              <w:t>1</w:t>
            </w:r>
          </w:p>
        </w:tc>
        <w:tc>
          <w:tcPr>
            <w:tcW w:w="994" w:type="dxa"/>
            <w:tcBorders>
              <w:top w:val="single" w:sz="6" w:space="0" w:color="000000"/>
              <w:left w:val="single" w:sz="6" w:space="0" w:color="000000"/>
              <w:bottom w:val="single" w:sz="6" w:space="0" w:color="000000"/>
              <w:right w:val="single" w:sz="6" w:space="0" w:color="000000"/>
            </w:tcBorders>
          </w:tcPr>
          <w:p w14:paraId="39C87A40" w14:textId="77777777" w:rsidR="002D58E4" w:rsidRDefault="00F721D4">
            <w:pPr>
              <w:rPr>
                <w:sz w:val="20"/>
                <w:szCs w:val="20"/>
              </w:rPr>
            </w:pPr>
            <w:r>
              <w:rPr>
                <w:sz w:val="20"/>
                <w:szCs w:val="20"/>
              </w:rPr>
              <w:t xml:space="preserve">serious </w:t>
            </w:r>
            <w:r>
              <w:rPr>
                <w:sz w:val="20"/>
                <w:szCs w:val="20"/>
                <w:vertAlign w:val="superscript"/>
              </w:rPr>
              <w:t>b, e</w:t>
            </w:r>
          </w:p>
        </w:tc>
        <w:tc>
          <w:tcPr>
            <w:tcW w:w="988" w:type="dxa"/>
            <w:tcBorders>
              <w:top w:val="single" w:sz="6" w:space="0" w:color="000000"/>
              <w:left w:val="single" w:sz="6" w:space="0" w:color="000000"/>
              <w:bottom w:val="single" w:sz="6" w:space="0" w:color="000000"/>
              <w:right w:val="single" w:sz="6" w:space="0" w:color="000000"/>
            </w:tcBorders>
          </w:tcPr>
          <w:p w14:paraId="5B06C004"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2D014055"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240DBF6B" w14:textId="77777777" w:rsidR="002D58E4" w:rsidRDefault="00F721D4">
            <w:pPr>
              <w:rPr>
                <w:sz w:val="20"/>
                <w:szCs w:val="20"/>
              </w:rPr>
            </w:pPr>
            <w:r>
              <w:rPr>
                <w:sz w:val="20"/>
                <w:szCs w:val="20"/>
              </w:rPr>
              <w:t xml:space="preserve"> serious </w:t>
            </w:r>
            <w:r>
              <w:rPr>
                <w:sz w:val="20"/>
                <w:szCs w:val="20"/>
                <w:vertAlign w:val="superscript"/>
              </w:rPr>
              <w:t>d</w:t>
            </w:r>
          </w:p>
        </w:tc>
        <w:tc>
          <w:tcPr>
            <w:tcW w:w="831" w:type="dxa"/>
            <w:tcBorders>
              <w:top w:val="single" w:sz="6" w:space="0" w:color="000000"/>
              <w:left w:val="single" w:sz="6" w:space="0" w:color="000000"/>
              <w:bottom w:val="single" w:sz="6" w:space="0" w:color="000000"/>
              <w:right w:val="single" w:sz="6" w:space="0" w:color="000000"/>
            </w:tcBorders>
          </w:tcPr>
          <w:p w14:paraId="3E752ABD"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2FF55759" w14:textId="77777777" w:rsidR="002D58E4" w:rsidRDefault="00F721D4">
            <w:pPr>
              <w:jc w:val="center"/>
              <w:rPr>
                <w:sz w:val="20"/>
                <w:szCs w:val="20"/>
              </w:rPr>
            </w:pPr>
            <w:r>
              <w:rPr>
                <w:sz w:val="20"/>
                <w:szCs w:val="20"/>
              </w:rPr>
              <w:t xml:space="preserve">6/84 </w:t>
            </w:r>
          </w:p>
          <w:p w14:paraId="7224BE21" w14:textId="77777777" w:rsidR="002D58E4" w:rsidRDefault="00F721D4">
            <w:pPr>
              <w:jc w:val="center"/>
              <w:rPr>
                <w:sz w:val="20"/>
                <w:szCs w:val="20"/>
              </w:rPr>
            </w:pPr>
            <w:r>
              <w:rPr>
                <w:sz w:val="20"/>
                <w:szCs w:val="20"/>
              </w:rPr>
              <w:t xml:space="preserve">(7.1%) </w:t>
            </w:r>
          </w:p>
        </w:tc>
        <w:tc>
          <w:tcPr>
            <w:tcW w:w="1021" w:type="dxa"/>
            <w:tcBorders>
              <w:top w:val="single" w:sz="6" w:space="0" w:color="000000"/>
              <w:left w:val="single" w:sz="6" w:space="0" w:color="000000"/>
              <w:bottom w:val="single" w:sz="6" w:space="0" w:color="000000"/>
              <w:right w:val="single" w:sz="6" w:space="0" w:color="000000"/>
            </w:tcBorders>
          </w:tcPr>
          <w:p w14:paraId="069EFF2A" w14:textId="77777777" w:rsidR="002D58E4" w:rsidRDefault="00F721D4">
            <w:pPr>
              <w:jc w:val="center"/>
              <w:rPr>
                <w:sz w:val="20"/>
                <w:szCs w:val="20"/>
              </w:rPr>
            </w:pPr>
            <w:r>
              <w:rPr>
                <w:sz w:val="20"/>
                <w:szCs w:val="20"/>
              </w:rPr>
              <w:t xml:space="preserve">13/84 (15.5%) </w:t>
            </w:r>
          </w:p>
        </w:tc>
        <w:tc>
          <w:tcPr>
            <w:tcW w:w="1283" w:type="dxa"/>
            <w:tcBorders>
              <w:top w:val="single" w:sz="6" w:space="0" w:color="000000"/>
              <w:left w:val="single" w:sz="6" w:space="0" w:color="000000"/>
              <w:bottom w:val="single" w:sz="6" w:space="0" w:color="000000"/>
              <w:right w:val="single" w:sz="6" w:space="0" w:color="000000"/>
            </w:tcBorders>
          </w:tcPr>
          <w:p w14:paraId="1CAF9573" w14:textId="77777777" w:rsidR="002D58E4" w:rsidRDefault="00F721D4">
            <w:pPr>
              <w:jc w:val="center"/>
              <w:rPr>
                <w:sz w:val="20"/>
                <w:szCs w:val="20"/>
              </w:rPr>
            </w:pPr>
            <w:r>
              <w:rPr>
                <w:sz w:val="20"/>
                <w:szCs w:val="20"/>
              </w:rPr>
              <w:t>RR 0.46</w:t>
            </w:r>
            <w:r>
              <w:rPr>
                <w:sz w:val="20"/>
                <w:szCs w:val="20"/>
              </w:rPr>
              <w:br/>
              <w:t xml:space="preserve">(0.18 to 1.16) </w:t>
            </w:r>
          </w:p>
        </w:tc>
        <w:tc>
          <w:tcPr>
            <w:tcW w:w="2119" w:type="dxa"/>
            <w:tcBorders>
              <w:top w:val="single" w:sz="6" w:space="0" w:color="000000"/>
              <w:left w:val="single" w:sz="6" w:space="0" w:color="000000"/>
              <w:bottom w:val="single" w:sz="6" w:space="0" w:color="000000"/>
              <w:right w:val="single" w:sz="6" w:space="0" w:color="000000"/>
            </w:tcBorders>
          </w:tcPr>
          <w:p w14:paraId="1705102E" w14:textId="77777777" w:rsidR="002D58E4" w:rsidRDefault="00F721D4">
            <w:pPr>
              <w:jc w:val="center"/>
              <w:rPr>
                <w:sz w:val="20"/>
                <w:szCs w:val="20"/>
              </w:rPr>
            </w:pPr>
            <w:r>
              <w:rPr>
                <w:sz w:val="20"/>
                <w:szCs w:val="20"/>
              </w:rPr>
              <w:t>84 fewer per 1,000</w:t>
            </w:r>
            <w:r>
              <w:rPr>
                <w:sz w:val="20"/>
                <w:szCs w:val="20"/>
              </w:rPr>
              <w:br/>
              <w:t xml:space="preserve">(from 25 more to 127 fewer) </w:t>
            </w:r>
          </w:p>
        </w:tc>
        <w:tc>
          <w:tcPr>
            <w:tcW w:w="1174" w:type="dxa"/>
            <w:tcBorders>
              <w:top w:val="single" w:sz="6" w:space="0" w:color="000000"/>
              <w:left w:val="single" w:sz="6" w:space="0" w:color="000000"/>
              <w:bottom w:val="single" w:sz="6" w:space="0" w:color="000000"/>
              <w:right w:val="single" w:sz="6" w:space="0" w:color="000000"/>
            </w:tcBorders>
          </w:tcPr>
          <w:p w14:paraId="384A7F6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77" w:type="dxa"/>
            <w:tcBorders>
              <w:top w:val="single" w:sz="6" w:space="0" w:color="000000"/>
              <w:left w:val="single" w:sz="6" w:space="0" w:color="000000"/>
              <w:bottom w:val="single" w:sz="6" w:space="0" w:color="000000"/>
              <w:right w:val="single" w:sz="6" w:space="0" w:color="000000"/>
            </w:tcBorders>
          </w:tcPr>
          <w:p w14:paraId="1D06E305" w14:textId="77777777" w:rsidR="002D58E4" w:rsidRDefault="00F721D4">
            <w:pPr>
              <w:rPr>
                <w:sz w:val="20"/>
                <w:szCs w:val="20"/>
              </w:rPr>
            </w:pPr>
            <w:r>
              <w:rPr>
                <w:sz w:val="20"/>
                <w:szCs w:val="20"/>
              </w:rPr>
              <w:t>IMPORTANT</w:t>
            </w:r>
          </w:p>
        </w:tc>
      </w:tr>
      <w:tr w:rsidR="002D58E4" w14:paraId="29C37A47"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2EFFE366" w14:textId="77777777" w:rsidR="002D58E4" w:rsidRDefault="00F721D4">
            <w:pPr>
              <w:rPr>
                <w:sz w:val="20"/>
                <w:szCs w:val="20"/>
              </w:rPr>
            </w:pPr>
            <w:r>
              <w:rPr>
                <w:b/>
                <w:sz w:val="20"/>
                <w:szCs w:val="20"/>
              </w:rPr>
              <w:t xml:space="preserve">Allergic Reaction </w:t>
            </w:r>
          </w:p>
        </w:tc>
      </w:tr>
      <w:tr w:rsidR="002D58E4" w14:paraId="63B3E71B" w14:textId="77777777" w:rsidTr="00E70FE5">
        <w:tc>
          <w:tcPr>
            <w:tcW w:w="727" w:type="dxa"/>
            <w:tcBorders>
              <w:top w:val="single" w:sz="6" w:space="0" w:color="000000"/>
              <w:left w:val="single" w:sz="6" w:space="0" w:color="000000"/>
              <w:bottom w:val="single" w:sz="6" w:space="0" w:color="000000"/>
              <w:right w:val="single" w:sz="6" w:space="0" w:color="000000"/>
            </w:tcBorders>
          </w:tcPr>
          <w:p w14:paraId="4B36AE70" w14:textId="77777777" w:rsidR="002D58E4" w:rsidRDefault="00F721D4">
            <w:pPr>
              <w:rPr>
                <w:sz w:val="20"/>
                <w:szCs w:val="20"/>
              </w:rPr>
            </w:pPr>
            <w:r>
              <w:rPr>
                <w:sz w:val="20"/>
                <w:szCs w:val="20"/>
              </w:rPr>
              <w:t xml:space="preserve">3 </w:t>
            </w:r>
          </w:p>
        </w:tc>
        <w:tc>
          <w:tcPr>
            <w:tcW w:w="828" w:type="dxa"/>
            <w:tcBorders>
              <w:top w:val="single" w:sz="6" w:space="0" w:color="000000"/>
              <w:left w:val="single" w:sz="6" w:space="0" w:color="000000"/>
              <w:bottom w:val="single" w:sz="6" w:space="0" w:color="000000"/>
              <w:right w:val="single" w:sz="6" w:space="0" w:color="000000"/>
            </w:tcBorders>
          </w:tcPr>
          <w:p w14:paraId="0BCEE4D1" w14:textId="77777777" w:rsidR="002D58E4" w:rsidRDefault="00F721D4">
            <w:pPr>
              <w:rPr>
                <w:sz w:val="20"/>
                <w:szCs w:val="20"/>
              </w:rPr>
            </w:pPr>
            <w:r>
              <w:rPr>
                <w:sz w:val="20"/>
                <w:szCs w:val="20"/>
              </w:rPr>
              <w:t xml:space="preserve">RCT </w:t>
            </w:r>
            <w:r>
              <w:rPr>
                <w:sz w:val="20"/>
                <w:szCs w:val="20"/>
                <w:vertAlign w:val="superscript"/>
              </w:rPr>
              <w:t>1-3</w:t>
            </w:r>
          </w:p>
        </w:tc>
        <w:tc>
          <w:tcPr>
            <w:tcW w:w="994" w:type="dxa"/>
            <w:tcBorders>
              <w:top w:val="single" w:sz="6" w:space="0" w:color="000000"/>
              <w:left w:val="single" w:sz="6" w:space="0" w:color="000000"/>
              <w:bottom w:val="single" w:sz="6" w:space="0" w:color="000000"/>
              <w:right w:val="single" w:sz="6" w:space="0" w:color="000000"/>
            </w:tcBorders>
          </w:tcPr>
          <w:p w14:paraId="1B2CEF82" w14:textId="77777777" w:rsidR="002D58E4" w:rsidRDefault="00F721D4">
            <w:pPr>
              <w:rPr>
                <w:sz w:val="20"/>
                <w:szCs w:val="20"/>
              </w:rPr>
            </w:pPr>
            <w:r>
              <w:rPr>
                <w:sz w:val="20"/>
                <w:szCs w:val="20"/>
              </w:rPr>
              <w:t xml:space="preserve">serious </w:t>
            </w:r>
            <w:r>
              <w:rPr>
                <w:sz w:val="20"/>
                <w:szCs w:val="20"/>
                <w:vertAlign w:val="superscript"/>
              </w:rPr>
              <w:t>b, e</w:t>
            </w:r>
          </w:p>
        </w:tc>
        <w:tc>
          <w:tcPr>
            <w:tcW w:w="988" w:type="dxa"/>
            <w:tcBorders>
              <w:top w:val="single" w:sz="6" w:space="0" w:color="000000"/>
              <w:left w:val="single" w:sz="6" w:space="0" w:color="000000"/>
              <w:bottom w:val="single" w:sz="6" w:space="0" w:color="000000"/>
              <w:right w:val="single" w:sz="6" w:space="0" w:color="000000"/>
            </w:tcBorders>
          </w:tcPr>
          <w:p w14:paraId="25ED0FF1"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12894F7E"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38BB5E6E" w14:textId="77777777" w:rsidR="002D58E4" w:rsidRDefault="00F721D4">
            <w:pPr>
              <w:rPr>
                <w:sz w:val="20"/>
                <w:szCs w:val="20"/>
              </w:rPr>
            </w:pPr>
            <w:r>
              <w:rPr>
                <w:sz w:val="20"/>
                <w:szCs w:val="20"/>
              </w:rPr>
              <w:t xml:space="preserve"> serious </w:t>
            </w:r>
            <w:r>
              <w:rPr>
                <w:sz w:val="20"/>
                <w:szCs w:val="20"/>
                <w:vertAlign w:val="superscript"/>
              </w:rPr>
              <w:t>d</w:t>
            </w:r>
          </w:p>
        </w:tc>
        <w:tc>
          <w:tcPr>
            <w:tcW w:w="831" w:type="dxa"/>
            <w:tcBorders>
              <w:top w:val="single" w:sz="6" w:space="0" w:color="000000"/>
              <w:left w:val="single" w:sz="6" w:space="0" w:color="000000"/>
              <w:bottom w:val="single" w:sz="6" w:space="0" w:color="000000"/>
              <w:right w:val="single" w:sz="6" w:space="0" w:color="000000"/>
            </w:tcBorders>
          </w:tcPr>
          <w:p w14:paraId="07226AA5"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4E61F6C2" w14:textId="77777777" w:rsidR="002D58E4" w:rsidRDefault="00F721D4">
            <w:pPr>
              <w:jc w:val="center"/>
              <w:rPr>
                <w:sz w:val="20"/>
                <w:szCs w:val="20"/>
              </w:rPr>
            </w:pPr>
            <w:r>
              <w:rPr>
                <w:sz w:val="20"/>
                <w:szCs w:val="20"/>
              </w:rPr>
              <w:t xml:space="preserve">0/211 </w:t>
            </w:r>
          </w:p>
          <w:p w14:paraId="1F4460DF" w14:textId="77777777" w:rsidR="002D58E4" w:rsidRDefault="00F721D4">
            <w:pPr>
              <w:jc w:val="center"/>
              <w:rPr>
                <w:sz w:val="20"/>
                <w:szCs w:val="20"/>
              </w:rPr>
            </w:pPr>
            <w:r>
              <w:rPr>
                <w:sz w:val="20"/>
                <w:szCs w:val="20"/>
              </w:rPr>
              <w:t xml:space="preserve">(0.0%) </w:t>
            </w:r>
          </w:p>
        </w:tc>
        <w:tc>
          <w:tcPr>
            <w:tcW w:w="1021" w:type="dxa"/>
            <w:tcBorders>
              <w:top w:val="single" w:sz="6" w:space="0" w:color="000000"/>
              <w:left w:val="single" w:sz="6" w:space="0" w:color="000000"/>
              <w:bottom w:val="single" w:sz="6" w:space="0" w:color="000000"/>
              <w:right w:val="single" w:sz="6" w:space="0" w:color="000000"/>
            </w:tcBorders>
          </w:tcPr>
          <w:p w14:paraId="1D45102C" w14:textId="77777777" w:rsidR="002D58E4" w:rsidRDefault="00F721D4">
            <w:pPr>
              <w:jc w:val="center"/>
              <w:rPr>
                <w:sz w:val="20"/>
                <w:szCs w:val="20"/>
              </w:rPr>
            </w:pPr>
            <w:r>
              <w:rPr>
                <w:sz w:val="20"/>
                <w:szCs w:val="20"/>
              </w:rPr>
              <w:t xml:space="preserve">14/209 (6.7%) </w:t>
            </w:r>
          </w:p>
        </w:tc>
        <w:tc>
          <w:tcPr>
            <w:tcW w:w="1283" w:type="dxa"/>
            <w:tcBorders>
              <w:top w:val="single" w:sz="6" w:space="0" w:color="000000"/>
              <w:left w:val="single" w:sz="6" w:space="0" w:color="000000"/>
              <w:bottom w:val="single" w:sz="6" w:space="0" w:color="000000"/>
              <w:right w:val="single" w:sz="6" w:space="0" w:color="000000"/>
            </w:tcBorders>
          </w:tcPr>
          <w:p w14:paraId="7D8A348F" w14:textId="77777777" w:rsidR="002D58E4" w:rsidRDefault="00F721D4">
            <w:pPr>
              <w:jc w:val="center"/>
              <w:rPr>
                <w:sz w:val="20"/>
                <w:szCs w:val="20"/>
              </w:rPr>
            </w:pPr>
            <w:r>
              <w:rPr>
                <w:sz w:val="20"/>
                <w:szCs w:val="20"/>
              </w:rPr>
              <w:t>N</w:t>
            </w:r>
            <w:r>
              <w:t>A</w:t>
            </w:r>
            <w:r>
              <w:rPr>
                <w:vertAlign w:val="superscript"/>
              </w:rPr>
              <w:t xml:space="preserve"> f</w:t>
            </w:r>
          </w:p>
          <w:p w14:paraId="3A0F4437" w14:textId="77777777" w:rsidR="002D58E4" w:rsidRDefault="002D58E4">
            <w:pPr>
              <w:jc w:val="center"/>
              <w:rPr>
                <w:sz w:val="20"/>
                <w:szCs w:val="20"/>
              </w:rPr>
            </w:pPr>
          </w:p>
        </w:tc>
        <w:tc>
          <w:tcPr>
            <w:tcW w:w="2119" w:type="dxa"/>
            <w:tcBorders>
              <w:top w:val="single" w:sz="6" w:space="0" w:color="000000"/>
              <w:left w:val="single" w:sz="6" w:space="0" w:color="000000"/>
              <w:bottom w:val="single" w:sz="6" w:space="0" w:color="000000"/>
              <w:right w:val="single" w:sz="6" w:space="0" w:color="000000"/>
            </w:tcBorders>
          </w:tcPr>
          <w:p w14:paraId="76B8CBF7" w14:textId="77777777" w:rsidR="002D58E4" w:rsidRDefault="00F721D4">
            <w:pPr>
              <w:jc w:val="center"/>
              <w:rPr>
                <w:sz w:val="20"/>
                <w:szCs w:val="20"/>
              </w:rPr>
            </w:pPr>
            <w:r>
              <w:rPr>
                <w:sz w:val="20"/>
                <w:szCs w:val="20"/>
              </w:rPr>
              <w:t>67 fewer per 1,000</w:t>
            </w:r>
            <w:r>
              <w:rPr>
                <w:sz w:val="20"/>
                <w:szCs w:val="20"/>
              </w:rPr>
              <w:br/>
            </w:r>
          </w:p>
        </w:tc>
        <w:tc>
          <w:tcPr>
            <w:tcW w:w="1174" w:type="dxa"/>
            <w:tcBorders>
              <w:top w:val="single" w:sz="6" w:space="0" w:color="000000"/>
              <w:left w:val="single" w:sz="6" w:space="0" w:color="000000"/>
              <w:bottom w:val="single" w:sz="6" w:space="0" w:color="000000"/>
              <w:right w:val="single" w:sz="6" w:space="0" w:color="000000"/>
            </w:tcBorders>
          </w:tcPr>
          <w:p w14:paraId="2A75C8B4"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77" w:type="dxa"/>
            <w:tcBorders>
              <w:top w:val="single" w:sz="6" w:space="0" w:color="000000"/>
              <w:left w:val="single" w:sz="6" w:space="0" w:color="000000"/>
              <w:bottom w:val="single" w:sz="6" w:space="0" w:color="000000"/>
              <w:right w:val="single" w:sz="6" w:space="0" w:color="000000"/>
            </w:tcBorders>
          </w:tcPr>
          <w:p w14:paraId="03A1728B" w14:textId="77777777" w:rsidR="002D58E4" w:rsidRDefault="00F721D4">
            <w:pPr>
              <w:rPr>
                <w:sz w:val="20"/>
                <w:szCs w:val="20"/>
              </w:rPr>
            </w:pPr>
            <w:r>
              <w:rPr>
                <w:sz w:val="20"/>
                <w:szCs w:val="20"/>
              </w:rPr>
              <w:t>IMPORTANT</w:t>
            </w:r>
          </w:p>
        </w:tc>
      </w:tr>
      <w:tr w:rsidR="002D58E4" w14:paraId="67A7643B" w14:textId="77777777" w:rsidTr="00E70FE5">
        <w:tc>
          <w:tcPr>
            <w:tcW w:w="1460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07B5E1E3" w14:textId="77777777" w:rsidR="002D58E4" w:rsidRDefault="00F721D4">
            <w:pPr>
              <w:rPr>
                <w:sz w:val="20"/>
                <w:szCs w:val="20"/>
              </w:rPr>
            </w:pPr>
            <w:r>
              <w:rPr>
                <w:b/>
                <w:sz w:val="20"/>
                <w:szCs w:val="20"/>
              </w:rPr>
              <w:t>Diarrhea</w:t>
            </w:r>
            <w:r>
              <w:rPr>
                <w:sz w:val="20"/>
                <w:szCs w:val="20"/>
              </w:rPr>
              <w:t xml:space="preserve"> </w:t>
            </w:r>
          </w:p>
        </w:tc>
      </w:tr>
      <w:tr w:rsidR="002D58E4" w14:paraId="24FB2B2D" w14:textId="77777777" w:rsidTr="00E70FE5">
        <w:tc>
          <w:tcPr>
            <w:tcW w:w="727" w:type="dxa"/>
            <w:tcBorders>
              <w:top w:val="single" w:sz="6" w:space="0" w:color="000000"/>
              <w:left w:val="single" w:sz="6" w:space="0" w:color="000000"/>
              <w:bottom w:val="single" w:sz="6" w:space="0" w:color="000000"/>
              <w:right w:val="single" w:sz="6" w:space="0" w:color="000000"/>
            </w:tcBorders>
          </w:tcPr>
          <w:p w14:paraId="1BBD1011" w14:textId="77777777" w:rsidR="002D58E4" w:rsidRDefault="00F721D4">
            <w:pPr>
              <w:rPr>
                <w:sz w:val="20"/>
                <w:szCs w:val="20"/>
              </w:rPr>
            </w:pPr>
            <w:r>
              <w:rPr>
                <w:sz w:val="20"/>
                <w:szCs w:val="20"/>
              </w:rPr>
              <w:t xml:space="preserve">2 </w:t>
            </w:r>
          </w:p>
        </w:tc>
        <w:tc>
          <w:tcPr>
            <w:tcW w:w="828" w:type="dxa"/>
            <w:tcBorders>
              <w:top w:val="single" w:sz="6" w:space="0" w:color="000000"/>
              <w:left w:val="single" w:sz="6" w:space="0" w:color="000000"/>
              <w:bottom w:val="single" w:sz="6" w:space="0" w:color="000000"/>
              <w:right w:val="single" w:sz="6" w:space="0" w:color="000000"/>
            </w:tcBorders>
          </w:tcPr>
          <w:p w14:paraId="3F1E0D7B" w14:textId="77777777" w:rsidR="002D58E4" w:rsidRDefault="00F721D4">
            <w:pPr>
              <w:rPr>
                <w:sz w:val="20"/>
                <w:szCs w:val="20"/>
              </w:rPr>
            </w:pPr>
            <w:r>
              <w:rPr>
                <w:sz w:val="20"/>
                <w:szCs w:val="20"/>
              </w:rPr>
              <w:t xml:space="preserve">RCT </w:t>
            </w:r>
            <w:r>
              <w:rPr>
                <w:sz w:val="20"/>
                <w:szCs w:val="20"/>
                <w:vertAlign w:val="superscript"/>
              </w:rPr>
              <w:t>2,3</w:t>
            </w:r>
          </w:p>
        </w:tc>
        <w:tc>
          <w:tcPr>
            <w:tcW w:w="994" w:type="dxa"/>
            <w:tcBorders>
              <w:top w:val="single" w:sz="6" w:space="0" w:color="000000"/>
              <w:left w:val="single" w:sz="6" w:space="0" w:color="000000"/>
              <w:bottom w:val="single" w:sz="6" w:space="0" w:color="000000"/>
              <w:right w:val="single" w:sz="6" w:space="0" w:color="000000"/>
            </w:tcBorders>
          </w:tcPr>
          <w:p w14:paraId="7EF7EF16" w14:textId="77777777" w:rsidR="002D58E4" w:rsidRDefault="00F721D4">
            <w:pPr>
              <w:rPr>
                <w:sz w:val="20"/>
                <w:szCs w:val="20"/>
              </w:rPr>
            </w:pPr>
            <w:r>
              <w:rPr>
                <w:sz w:val="20"/>
                <w:szCs w:val="20"/>
              </w:rPr>
              <w:t xml:space="preserve">serious </w:t>
            </w:r>
            <w:r>
              <w:rPr>
                <w:sz w:val="20"/>
                <w:szCs w:val="20"/>
                <w:vertAlign w:val="superscript"/>
              </w:rPr>
              <w:t>e</w:t>
            </w:r>
          </w:p>
        </w:tc>
        <w:tc>
          <w:tcPr>
            <w:tcW w:w="988" w:type="dxa"/>
            <w:tcBorders>
              <w:top w:val="single" w:sz="6" w:space="0" w:color="000000"/>
              <w:left w:val="single" w:sz="6" w:space="0" w:color="000000"/>
              <w:bottom w:val="single" w:sz="6" w:space="0" w:color="000000"/>
              <w:right w:val="single" w:sz="6" w:space="0" w:color="000000"/>
            </w:tcBorders>
          </w:tcPr>
          <w:p w14:paraId="089C232B" w14:textId="77777777" w:rsidR="002D58E4" w:rsidRDefault="00F721D4">
            <w:pPr>
              <w:rPr>
                <w:sz w:val="20"/>
                <w:szCs w:val="20"/>
              </w:rPr>
            </w:pPr>
            <w:r>
              <w:rPr>
                <w:sz w:val="20"/>
                <w:szCs w:val="20"/>
              </w:rPr>
              <w:t xml:space="preserve">not serious </w:t>
            </w:r>
          </w:p>
        </w:tc>
        <w:tc>
          <w:tcPr>
            <w:tcW w:w="991" w:type="dxa"/>
            <w:tcBorders>
              <w:top w:val="single" w:sz="6" w:space="0" w:color="000000"/>
              <w:left w:val="single" w:sz="6" w:space="0" w:color="000000"/>
              <w:bottom w:val="single" w:sz="6" w:space="0" w:color="000000"/>
              <w:right w:val="single" w:sz="6" w:space="0" w:color="000000"/>
            </w:tcBorders>
          </w:tcPr>
          <w:p w14:paraId="68FDEBFB"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7052E156" w14:textId="77777777" w:rsidR="002D58E4" w:rsidRDefault="00F721D4">
            <w:pPr>
              <w:rPr>
                <w:sz w:val="20"/>
                <w:szCs w:val="20"/>
              </w:rPr>
            </w:pPr>
            <w:r>
              <w:rPr>
                <w:sz w:val="20"/>
                <w:szCs w:val="20"/>
              </w:rPr>
              <w:t xml:space="preserve">serious </w:t>
            </w:r>
            <w:r>
              <w:rPr>
                <w:sz w:val="20"/>
                <w:szCs w:val="20"/>
                <w:vertAlign w:val="superscript"/>
              </w:rPr>
              <w:t>d</w:t>
            </w:r>
          </w:p>
        </w:tc>
        <w:tc>
          <w:tcPr>
            <w:tcW w:w="831" w:type="dxa"/>
            <w:tcBorders>
              <w:top w:val="single" w:sz="6" w:space="0" w:color="000000"/>
              <w:left w:val="single" w:sz="6" w:space="0" w:color="000000"/>
              <w:bottom w:val="single" w:sz="6" w:space="0" w:color="000000"/>
              <w:right w:val="single" w:sz="6" w:space="0" w:color="000000"/>
            </w:tcBorders>
          </w:tcPr>
          <w:p w14:paraId="369B8253" w14:textId="77777777" w:rsidR="002D58E4" w:rsidRDefault="00F721D4">
            <w:pPr>
              <w:rPr>
                <w:sz w:val="20"/>
                <w:szCs w:val="20"/>
              </w:rPr>
            </w:pPr>
            <w:r>
              <w:rPr>
                <w:sz w:val="20"/>
                <w:szCs w:val="20"/>
              </w:rPr>
              <w:t xml:space="preserve">none </w:t>
            </w:r>
          </w:p>
        </w:tc>
        <w:tc>
          <w:tcPr>
            <w:tcW w:w="1194" w:type="dxa"/>
            <w:gridSpan w:val="2"/>
            <w:tcBorders>
              <w:top w:val="single" w:sz="6" w:space="0" w:color="000000"/>
              <w:left w:val="single" w:sz="6" w:space="0" w:color="000000"/>
              <w:bottom w:val="single" w:sz="6" w:space="0" w:color="000000"/>
              <w:right w:val="single" w:sz="6" w:space="0" w:color="000000"/>
            </w:tcBorders>
          </w:tcPr>
          <w:p w14:paraId="06E37B27" w14:textId="77777777" w:rsidR="002D58E4" w:rsidRDefault="00F721D4">
            <w:pPr>
              <w:jc w:val="center"/>
              <w:rPr>
                <w:sz w:val="20"/>
                <w:szCs w:val="20"/>
              </w:rPr>
            </w:pPr>
            <w:r>
              <w:rPr>
                <w:sz w:val="20"/>
                <w:szCs w:val="20"/>
              </w:rPr>
              <w:t xml:space="preserve">5/127 </w:t>
            </w:r>
          </w:p>
          <w:p w14:paraId="5FF84834" w14:textId="77777777" w:rsidR="002D58E4" w:rsidRDefault="00F721D4">
            <w:pPr>
              <w:jc w:val="center"/>
              <w:rPr>
                <w:sz w:val="20"/>
                <w:szCs w:val="20"/>
              </w:rPr>
            </w:pPr>
            <w:r>
              <w:rPr>
                <w:sz w:val="20"/>
                <w:szCs w:val="20"/>
              </w:rPr>
              <w:t xml:space="preserve">(3.9%) </w:t>
            </w:r>
          </w:p>
        </w:tc>
        <w:tc>
          <w:tcPr>
            <w:tcW w:w="1021" w:type="dxa"/>
            <w:tcBorders>
              <w:top w:val="single" w:sz="6" w:space="0" w:color="000000"/>
              <w:left w:val="single" w:sz="6" w:space="0" w:color="000000"/>
              <w:bottom w:val="single" w:sz="6" w:space="0" w:color="000000"/>
              <w:right w:val="single" w:sz="6" w:space="0" w:color="000000"/>
            </w:tcBorders>
          </w:tcPr>
          <w:p w14:paraId="52F6E634" w14:textId="77777777" w:rsidR="002D58E4" w:rsidRDefault="00F721D4">
            <w:pPr>
              <w:jc w:val="center"/>
              <w:rPr>
                <w:sz w:val="20"/>
                <w:szCs w:val="20"/>
              </w:rPr>
            </w:pPr>
            <w:r>
              <w:rPr>
                <w:sz w:val="20"/>
                <w:szCs w:val="20"/>
              </w:rPr>
              <w:t xml:space="preserve">2/125 </w:t>
            </w:r>
          </w:p>
          <w:p w14:paraId="64EA47A2" w14:textId="77777777" w:rsidR="002D58E4" w:rsidRDefault="00F721D4">
            <w:pPr>
              <w:jc w:val="center"/>
              <w:rPr>
                <w:sz w:val="20"/>
                <w:szCs w:val="20"/>
              </w:rPr>
            </w:pPr>
            <w:r>
              <w:rPr>
                <w:sz w:val="20"/>
                <w:szCs w:val="20"/>
              </w:rPr>
              <w:t xml:space="preserve">(1.6%) </w:t>
            </w:r>
          </w:p>
        </w:tc>
        <w:tc>
          <w:tcPr>
            <w:tcW w:w="1283" w:type="dxa"/>
            <w:tcBorders>
              <w:top w:val="single" w:sz="6" w:space="0" w:color="000000"/>
              <w:left w:val="single" w:sz="6" w:space="0" w:color="000000"/>
              <w:bottom w:val="single" w:sz="6" w:space="0" w:color="000000"/>
              <w:right w:val="single" w:sz="6" w:space="0" w:color="000000"/>
            </w:tcBorders>
          </w:tcPr>
          <w:p w14:paraId="0ACAFD87" w14:textId="77777777" w:rsidR="002D58E4" w:rsidRDefault="00F721D4">
            <w:pPr>
              <w:jc w:val="center"/>
              <w:rPr>
                <w:sz w:val="20"/>
                <w:szCs w:val="20"/>
              </w:rPr>
            </w:pPr>
            <w:r>
              <w:rPr>
                <w:sz w:val="20"/>
                <w:szCs w:val="20"/>
              </w:rPr>
              <w:t>RR 2.24</w:t>
            </w:r>
            <w:r>
              <w:rPr>
                <w:sz w:val="20"/>
                <w:szCs w:val="20"/>
              </w:rPr>
              <w:br/>
              <w:t xml:space="preserve">(0.52 to 9.60) </w:t>
            </w:r>
          </w:p>
        </w:tc>
        <w:tc>
          <w:tcPr>
            <w:tcW w:w="2119" w:type="dxa"/>
            <w:tcBorders>
              <w:top w:val="single" w:sz="6" w:space="0" w:color="000000"/>
              <w:left w:val="single" w:sz="6" w:space="0" w:color="000000"/>
              <w:bottom w:val="single" w:sz="6" w:space="0" w:color="000000"/>
              <w:right w:val="single" w:sz="6" w:space="0" w:color="000000"/>
            </w:tcBorders>
          </w:tcPr>
          <w:p w14:paraId="286CD832" w14:textId="77777777" w:rsidR="002D58E4" w:rsidRDefault="00F721D4">
            <w:pPr>
              <w:jc w:val="center"/>
              <w:rPr>
                <w:sz w:val="20"/>
                <w:szCs w:val="20"/>
              </w:rPr>
            </w:pPr>
            <w:r>
              <w:rPr>
                <w:sz w:val="20"/>
                <w:szCs w:val="20"/>
              </w:rPr>
              <w:t>20 more per 1,000</w:t>
            </w:r>
            <w:r>
              <w:rPr>
                <w:sz w:val="20"/>
                <w:szCs w:val="20"/>
              </w:rPr>
              <w:br/>
              <w:t xml:space="preserve">(from 8 fewer to 138 more) </w:t>
            </w:r>
          </w:p>
        </w:tc>
        <w:tc>
          <w:tcPr>
            <w:tcW w:w="1174" w:type="dxa"/>
            <w:tcBorders>
              <w:top w:val="single" w:sz="6" w:space="0" w:color="000000"/>
              <w:left w:val="single" w:sz="6" w:space="0" w:color="000000"/>
              <w:bottom w:val="single" w:sz="6" w:space="0" w:color="000000"/>
              <w:right w:val="single" w:sz="6" w:space="0" w:color="000000"/>
            </w:tcBorders>
          </w:tcPr>
          <w:p w14:paraId="72AEB9D2"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77" w:type="dxa"/>
            <w:tcBorders>
              <w:top w:val="single" w:sz="6" w:space="0" w:color="000000"/>
              <w:left w:val="single" w:sz="6" w:space="0" w:color="000000"/>
              <w:bottom w:val="single" w:sz="6" w:space="0" w:color="000000"/>
              <w:right w:val="single" w:sz="6" w:space="0" w:color="000000"/>
            </w:tcBorders>
          </w:tcPr>
          <w:p w14:paraId="341BAE51" w14:textId="77777777" w:rsidR="002D58E4" w:rsidRDefault="00F721D4">
            <w:pPr>
              <w:rPr>
                <w:sz w:val="20"/>
                <w:szCs w:val="20"/>
              </w:rPr>
            </w:pPr>
            <w:r>
              <w:rPr>
                <w:sz w:val="20"/>
                <w:szCs w:val="20"/>
              </w:rPr>
              <w:t>IMPORTANT</w:t>
            </w:r>
          </w:p>
        </w:tc>
      </w:tr>
    </w:tbl>
    <w:p w14:paraId="52B41757" w14:textId="77777777" w:rsidR="002D58E4" w:rsidRDefault="00F721D4">
      <w:pP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 </w:t>
      </w:r>
      <w:r>
        <w:rPr>
          <w:b/>
          <w:color w:val="000000"/>
          <w:sz w:val="18"/>
          <w:szCs w:val="18"/>
        </w:rPr>
        <w:t>MD:</w:t>
      </w:r>
      <w:r>
        <w:rPr>
          <w:color w:val="000000"/>
          <w:sz w:val="18"/>
          <w:szCs w:val="18"/>
        </w:rPr>
        <w:t xml:space="preserve"> Mean difference</w:t>
      </w:r>
    </w:p>
    <w:p w14:paraId="61F05512" w14:textId="77777777" w:rsidR="002D58E4" w:rsidRDefault="00F721D4">
      <w:pPr>
        <w:spacing w:before="280" w:after="0"/>
        <w:rPr>
          <w:b/>
          <w:color w:val="000000"/>
          <w:sz w:val="24"/>
          <w:szCs w:val="24"/>
        </w:rPr>
      </w:pPr>
      <w:bookmarkStart w:id="15" w:name="_Hlk33818783"/>
      <w:r>
        <w:rPr>
          <w:b/>
          <w:color w:val="000000"/>
          <w:sz w:val="24"/>
          <w:szCs w:val="24"/>
        </w:rPr>
        <w:t>Explanations</w:t>
      </w:r>
    </w:p>
    <w:bookmarkEnd w:id="15"/>
    <w:p w14:paraId="5BFC8607" w14:textId="77777777" w:rsidR="002D58E4" w:rsidRDefault="00F721D4">
      <w:pPr>
        <w:spacing w:after="0" w:line="240" w:lineRule="auto"/>
        <w:rPr>
          <w:sz w:val="18"/>
          <w:szCs w:val="18"/>
        </w:rPr>
      </w:pPr>
      <w:r>
        <w:rPr>
          <w:sz w:val="18"/>
          <w:szCs w:val="18"/>
        </w:rPr>
        <w:t xml:space="preserve">a. </w:t>
      </w:r>
      <w:r>
        <w:rPr>
          <w:color w:val="000000"/>
          <w:sz w:val="18"/>
          <w:szCs w:val="18"/>
        </w:rPr>
        <w:t>Fragility due to small number of events</w:t>
      </w:r>
      <w:r>
        <w:rPr>
          <w:sz w:val="18"/>
          <w:szCs w:val="18"/>
        </w:rPr>
        <w:t xml:space="preserve"> and IOS criteria not met.</w:t>
      </w:r>
    </w:p>
    <w:p w14:paraId="01AEA95E" w14:textId="1FDADC11" w:rsidR="002D58E4" w:rsidRDefault="00F721D4">
      <w:pPr>
        <w:spacing w:after="0" w:line="240" w:lineRule="auto"/>
        <w:rPr>
          <w:sz w:val="18"/>
          <w:szCs w:val="18"/>
        </w:rPr>
      </w:pPr>
      <w:r>
        <w:rPr>
          <w:sz w:val="18"/>
          <w:szCs w:val="18"/>
        </w:rPr>
        <w:t xml:space="preserve">b. Arnez 2015 study received a high risk of bias ratings due to inadequate randomization technique (sequence generation and allocation sequence concealment). </w:t>
      </w:r>
    </w:p>
    <w:p w14:paraId="24A42110" w14:textId="5C543EB7" w:rsidR="002D58E4" w:rsidRDefault="00F721D4">
      <w:pPr>
        <w:spacing w:after="0" w:line="240" w:lineRule="auto"/>
        <w:rPr>
          <w:sz w:val="18"/>
          <w:szCs w:val="18"/>
        </w:rPr>
      </w:pPr>
      <w:r>
        <w:rPr>
          <w:sz w:val="18"/>
          <w:szCs w:val="18"/>
        </w:rPr>
        <w:t>c. 95% CI is wide and crossing the null value</w:t>
      </w:r>
      <w:r w:rsidR="00FF641A">
        <w:rPr>
          <w:sz w:val="18"/>
          <w:szCs w:val="18"/>
        </w:rPr>
        <w:t>.</w:t>
      </w:r>
    </w:p>
    <w:p w14:paraId="47953935" w14:textId="26F6E7D2" w:rsidR="002D58E4" w:rsidRDefault="00F721D4">
      <w:pPr>
        <w:spacing w:after="0" w:line="240" w:lineRule="auto"/>
        <w:rPr>
          <w:sz w:val="18"/>
          <w:szCs w:val="18"/>
        </w:rPr>
      </w:pPr>
      <w:r>
        <w:rPr>
          <w:sz w:val="18"/>
          <w:szCs w:val="18"/>
        </w:rPr>
        <w:t>d. Low event rate, and 95% CI is wide and crossing the null value</w:t>
      </w:r>
      <w:r w:rsidR="00FF641A">
        <w:rPr>
          <w:sz w:val="18"/>
          <w:szCs w:val="18"/>
        </w:rPr>
        <w:t>.</w:t>
      </w:r>
    </w:p>
    <w:p w14:paraId="42C0814B" w14:textId="2A393F96" w:rsidR="002D58E4" w:rsidRDefault="00F721D4">
      <w:pPr>
        <w:spacing w:after="0" w:line="240" w:lineRule="auto"/>
        <w:rPr>
          <w:sz w:val="18"/>
          <w:szCs w:val="18"/>
        </w:rPr>
      </w:pPr>
      <w:r>
        <w:rPr>
          <w:sz w:val="18"/>
          <w:szCs w:val="18"/>
        </w:rPr>
        <w:t>e. The majority of studies received at least one high risk of bias rating due to potentially inadequate blinding (for self-reported outcomes)</w:t>
      </w:r>
      <w:r w:rsidR="00FF641A">
        <w:rPr>
          <w:sz w:val="18"/>
          <w:szCs w:val="18"/>
        </w:rPr>
        <w:t>.</w:t>
      </w:r>
    </w:p>
    <w:p w14:paraId="6E2CE852" w14:textId="77777777" w:rsidR="002D58E4" w:rsidRDefault="00F721D4">
      <w:pPr>
        <w:spacing w:after="0" w:line="240" w:lineRule="auto"/>
        <w:rPr>
          <w:sz w:val="18"/>
          <w:szCs w:val="18"/>
        </w:rPr>
      </w:pPr>
      <w:r>
        <w:rPr>
          <w:sz w:val="18"/>
          <w:szCs w:val="18"/>
        </w:rPr>
        <w:t>f. Due to zero events in one study arm, unable to estimate relative risk.</w:t>
      </w:r>
    </w:p>
    <w:p w14:paraId="4BD975F8" w14:textId="77777777" w:rsidR="002D58E4" w:rsidRDefault="00F721D4">
      <w:pPr>
        <w:widowControl w:val="0"/>
        <w:pBdr>
          <w:top w:val="nil"/>
          <w:left w:val="nil"/>
          <w:bottom w:val="nil"/>
          <w:right w:val="nil"/>
          <w:between w:val="nil"/>
        </w:pBdr>
        <w:spacing w:after="0"/>
        <w:rPr>
          <w:color w:val="000000"/>
          <w:sz w:val="18"/>
          <w:szCs w:val="18"/>
        </w:rPr>
        <w:sectPr w:rsidR="002D58E4" w:rsidSect="00FF641A">
          <w:type w:val="continuous"/>
          <w:pgSz w:w="15840" w:h="12240"/>
          <w:pgMar w:top="720" w:right="672" w:bottom="720" w:left="720" w:header="720" w:footer="720" w:gutter="0"/>
          <w:cols w:space="720" w:equalWidth="0">
            <w:col w:w="14448"/>
          </w:cols>
        </w:sectPr>
      </w:pPr>
      <w:r>
        <w:br w:type="page"/>
      </w:r>
    </w:p>
    <w:p w14:paraId="708F7F63" w14:textId="77777777" w:rsidR="002D58E4" w:rsidRDefault="00F721D4">
      <w:pPr>
        <w:spacing w:after="0"/>
        <w:rPr>
          <w:b/>
          <w:color w:val="000000"/>
          <w:sz w:val="24"/>
          <w:szCs w:val="24"/>
          <w:u w:val="single"/>
        </w:rPr>
      </w:pPr>
      <w:r>
        <w:rPr>
          <w:b/>
          <w:color w:val="000000"/>
          <w:sz w:val="24"/>
          <w:szCs w:val="24"/>
          <w:u w:val="single"/>
        </w:rPr>
        <w:lastRenderedPageBreak/>
        <w:t>AZITHROMYCIN vs. DOXYCYCLINE</w:t>
      </w:r>
    </w:p>
    <w:p w14:paraId="4C16E011" w14:textId="714914F0" w:rsidR="002D58E4" w:rsidRDefault="00F721D4">
      <w:pPr>
        <w:spacing w:after="0"/>
        <w:rPr>
          <w:b/>
        </w:rPr>
      </w:pPr>
      <w:r>
        <w:rPr>
          <w:b/>
        </w:rPr>
        <w:t>In patients with erythema migrans, should Azithromycin be used over Doxycycline?</w:t>
      </w:r>
    </w:p>
    <w:p w14:paraId="249EC39E" w14:textId="77777777" w:rsidR="002D58E4" w:rsidRDefault="00F721D4">
      <w:pPr>
        <w:spacing w:after="0"/>
      </w:pPr>
      <w:r>
        <w:t>P: In patients with erythema migrans</w:t>
      </w:r>
    </w:p>
    <w:p w14:paraId="79C35D43" w14:textId="77777777" w:rsidR="002D58E4" w:rsidRDefault="00F721D4">
      <w:pPr>
        <w:spacing w:after="0"/>
      </w:pPr>
      <w:r>
        <w:t>I: Azithromycin</w:t>
      </w:r>
    </w:p>
    <w:p w14:paraId="56DDBD83" w14:textId="77777777" w:rsidR="002D58E4" w:rsidRDefault="00F721D4">
      <w:pPr>
        <w:spacing w:after="0"/>
      </w:pPr>
      <w:r>
        <w:t xml:space="preserve">C: Doxycycline </w:t>
      </w:r>
    </w:p>
    <w:p w14:paraId="13BC3345" w14:textId="77777777" w:rsidR="002D58E4" w:rsidRDefault="002D58E4">
      <w:pPr>
        <w:spacing w:after="0"/>
        <w:rPr>
          <w:b/>
          <w:color w:val="000000"/>
          <w:sz w:val="18"/>
          <w:szCs w:val="18"/>
        </w:rPr>
      </w:pPr>
    </w:p>
    <w:p w14:paraId="36078807" w14:textId="77777777" w:rsidR="002D58E4" w:rsidRDefault="00F721D4" w:rsidP="00DE33EC">
      <w:pPr>
        <w:rPr>
          <w:color w:val="000000"/>
          <w:sz w:val="18"/>
          <w:szCs w:val="18"/>
        </w:rPr>
      </w:pPr>
      <w:r>
        <w:rPr>
          <w:b/>
          <w:color w:val="000000"/>
          <w:sz w:val="18"/>
          <w:szCs w:val="18"/>
        </w:rPr>
        <w:t>Bibliography</w:t>
      </w:r>
      <w:r>
        <w:rPr>
          <w:color w:val="000000"/>
          <w:sz w:val="18"/>
          <w:szCs w:val="18"/>
        </w:rPr>
        <w:t>: 1. Barsic, et al.</w:t>
      </w:r>
      <w:r>
        <w:rPr>
          <w:sz w:val="28"/>
          <w:szCs w:val="28"/>
        </w:rPr>
        <w:t xml:space="preserve"> </w:t>
      </w:r>
      <w:r>
        <w:rPr>
          <w:color w:val="000000"/>
          <w:sz w:val="18"/>
          <w:szCs w:val="18"/>
        </w:rPr>
        <w:t>Infection. 2000 May-Jun;28(3):153-6; 2. Massarotti, et al. Am J Med. 1992 Apr;92(4):396-403; 3. Strle, et al. J Antimicrob Chemother. 1992 Oct;30(4):543-50; 4. Strle, et al. Infection. 1993 Mar-Apr;21(2):83-8; 5. Strle, et al. Infection. 1996 Jan-Feb;24(1):64-8.</w:t>
      </w:r>
    </w:p>
    <w:tbl>
      <w:tblPr>
        <w:tblStyle w:val="af6"/>
        <w:tblW w:w="14742"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7"/>
        <w:gridCol w:w="1004"/>
        <w:gridCol w:w="820"/>
        <w:gridCol w:w="986"/>
        <w:gridCol w:w="992"/>
        <w:gridCol w:w="853"/>
        <w:gridCol w:w="966"/>
        <w:gridCol w:w="15"/>
        <w:gridCol w:w="1176"/>
        <w:gridCol w:w="1108"/>
        <w:gridCol w:w="1386"/>
        <w:gridCol w:w="2334"/>
        <w:gridCol w:w="1241"/>
        <w:gridCol w:w="1134"/>
      </w:tblGrid>
      <w:tr w:rsidR="00FF641A" w14:paraId="59034518" w14:textId="77777777" w:rsidTr="00FF641A">
        <w:tc>
          <w:tcPr>
            <w:tcW w:w="6363" w:type="dxa"/>
            <w:gridSpan w:val="8"/>
            <w:tcBorders>
              <w:top w:val="single" w:sz="6" w:space="0" w:color="000000"/>
              <w:left w:val="single" w:sz="6" w:space="0" w:color="000000"/>
              <w:bottom w:val="single" w:sz="6" w:space="0" w:color="000000"/>
              <w:right w:val="single" w:sz="6" w:space="0" w:color="000000"/>
            </w:tcBorders>
            <w:shd w:val="clear" w:color="auto" w:fill="D9D9D9"/>
            <w:vAlign w:val="center"/>
          </w:tcPr>
          <w:p w14:paraId="59FA4397" w14:textId="77777777" w:rsidR="00FF641A" w:rsidRDefault="00FF641A">
            <w:pPr>
              <w:jc w:val="center"/>
              <w:rPr>
                <w:b/>
                <w:sz w:val="20"/>
                <w:szCs w:val="20"/>
              </w:rPr>
            </w:pPr>
            <w:r>
              <w:rPr>
                <w:b/>
                <w:sz w:val="20"/>
                <w:szCs w:val="20"/>
              </w:rPr>
              <w:t>Certainty assessment</w:t>
            </w:r>
          </w:p>
        </w:tc>
        <w:tc>
          <w:tcPr>
            <w:tcW w:w="228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0FFE9E5" w14:textId="77777777" w:rsidR="00FF641A" w:rsidRDefault="00FF641A">
            <w:pPr>
              <w:jc w:val="center"/>
              <w:rPr>
                <w:b/>
                <w:sz w:val="20"/>
                <w:szCs w:val="20"/>
              </w:rPr>
            </w:pPr>
            <w:r>
              <w:rPr>
                <w:b/>
                <w:sz w:val="18"/>
                <w:szCs w:val="18"/>
              </w:rPr>
              <w:t>№ of Events/№ of patients</w:t>
            </w:r>
          </w:p>
        </w:tc>
        <w:tc>
          <w:tcPr>
            <w:tcW w:w="372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4BCE191" w14:textId="77777777" w:rsidR="00FF641A" w:rsidRDefault="00FF641A">
            <w:pPr>
              <w:jc w:val="center"/>
              <w:rPr>
                <w:b/>
                <w:sz w:val="20"/>
                <w:szCs w:val="20"/>
              </w:rPr>
            </w:pPr>
            <w:r>
              <w:rPr>
                <w:b/>
                <w:sz w:val="20"/>
                <w:szCs w:val="20"/>
              </w:rPr>
              <w:t>Effect</w:t>
            </w:r>
          </w:p>
        </w:tc>
        <w:tc>
          <w:tcPr>
            <w:tcW w:w="1241" w:type="dxa"/>
            <w:vMerge w:val="restart"/>
            <w:tcBorders>
              <w:top w:val="single" w:sz="6" w:space="0" w:color="000000"/>
              <w:left w:val="single" w:sz="6" w:space="0" w:color="000000"/>
              <w:right w:val="single" w:sz="6" w:space="0" w:color="000000"/>
            </w:tcBorders>
            <w:shd w:val="clear" w:color="auto" w:fill="D9D9D9"/>
            <w:vAlign w:val="center"/>
          </w:tcPr>
          <w:p w14:paraId="7D263663" w14:textId="77777777" w:rsidR="00FF641A" w:rsidRDefault="00FF641A">
            <w:pPr>
              <w:jc w:val="center"/>
              <w:rPr>
                <w:b/>
                <w:sz w:val="20"/>
                <w:szCs w:val="20"/>
              </w:rPr>
            </w:pPr>
            <w:r>
              <w:rPr>
                <w:b/>
                <w:sz w:val="20"/>
                <w:szCs w:val="20"/>
              </w:rPr>
              <w:t>Certainty</w:t>
            </w:r>
          </w:p>
        </w:tc>
        <w:tc>
          <w:tcPr>
            <w:tcW w:w="1134" w:type="dxa"/>
            <w:vMerge w:val="restart"/>
            <w:tcBorders>
              <w:top w:val="single" w:sz="6" w:space="0" w:color="000000"/>
              <w:left w:val="single" w:sz="6" w:space="0" w:color="000000"/>
              <w:right w:val="single" w:sz="6" w:space="0" w:color="000000"/>
            </w:tcBorders>
            <w:shd w:val="clear" w:color="auto" w:fill="D9D9D9"/>
            <w:vAlign w:val="center"/>
          </w:tcPr>
          <w:p w14:paraId="3E017571" w14:textId="77777777" w:rsidR="00FF641A" w:rsidRDefault="00FF641A">
            <w:pPr>
              <w:jc w:val="center"/>
              <w:rPr>
                <w:b/>
                <w:sz w:val="20"/>
                <w:szCs w:val="20"/>
              </w:rPr>
            </w:pPr>
            <w:r>
              <w:rPr>
                <w:b/>
                <w:sz w:val="20"/>
                <w:szCs w:val="20"/>
              </w:rPr>
              <w:t>Importance</w:t>
            </w:r>
          </w:p>
        </w:tc>
      </w:tr>
      <w:tr w:rsidR="00FF641A" w14:paraId="18715A76" w14:textId="77777777" w:rsidTr="00FF641A">
        <w:tc>
          <w:tcPr>
            <w:tcW w:w="72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7E89C6" w14:textId="77777777" w:rsidR="00FF641A" w:rsidRDefault="00FF641A">
            <w:pPr>
              <w:jc w:val="center"/>
              <w:rPr>
                <w:b/>
                <w:sz w:val="20"/>
                <w:szCs w:val="20"/>
              </w:rPr>
            </w:pPr>
            <w:r>
              <w:rPr>
                <w:b/>
                <w:sz w:val="20"/>
                <w:szCs w:val="20"/>
              </w:rPr>
              <w:t>№ of studies</w:t>
            </w:r>
          </w:p>
        </w:tc>
        <w:tc>
          <w:tcPr>
            <w:tcW w:w="100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A786BE3" w14:textId="77777777" w:rsidR="00FF641A" w:rsidRDefault="00FF641A">
            <w:pPr>
              <w:jc w:val="center"/>
              <w:rPr>
                <w:b/>
                <w:sz w:val="20"/>
                <w:szCs w:val="20"/>
              </w:rPr>
            </w:pPr>
            <w:r>
              <w:rPr>
                <w:b/>
                <w:sz w:val="20"/>
                <w:szCs w:val="20"/>
              </w:rPr>
              <w:t>Study design</w:t>
            </w:r>
          </w:p>
        </w:tc>
        <w:tc>
          <w:tcPr>
            <w:tcW w:w="8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8CFC026" w14:textId="77777777" w:rsidR="00FF641A" w:rsidRDefault="00FF641A">
            <w:pPr>
              <w:jc w:val="center"/>
              <w:rPr>
                <w:b/>
                <w:sz w:val="20"/>
                <w:szCs w:val="20"/>
              </w:rPr>
            </w:pPr>
            <w:r>
              <w:rPr>
                <w:b/>
                <w:sz w:val="20"/>
                <w:szCs w:val="20"/>
              </w:rPr>
              <w:t>Risk of bias</w:t>
            </w:r>
          </w:p>
        </w:tc>
        <w:tc>
          <w:tcPr>
            <w:tcW w:w="98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0B6619" w14:textId="77777777" w:rsidR="00FF641A" w:rsidRDefault="00FF641A">
            <w:pPr>
              <w:jc w:val="center"/>
              <w:rPr>
                <w:b/>
                <w:sz w:val="20"/>
                <w:szCs w:val="20"/>
              </w:rPr>
            </w:pPr>
            <w:r>
              <w:rPr>
                <w:b/>
                <w:sz w:val="20"/>
                <w:szCs w:val="20"/>
              </w:rPr>
              <w:t>Inconsistency</w:t>
            </w:r>
          </w:p>
        </w:tc>
        <w:tc>
          <w:tcPr>
            <w:tcW w:w="9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1587CF7" w14:textId="77777777" w:rsidR="00FF641A" w:rsidRDefault="00FF641A">
            <w:pPr>
              <w:jc w:val="center"/>
              <w:rPr>
                <w:b/>
                <w:sz w:val="20"/>
                <w:szCs w:val="20"/>
              </w:rPr>
            </w:pPr>
            <w:r>
              <w:rPr>
                <w:b/>
                <w:sz w:val="20"/>
                <w:szCs w:val="20"/>
              </w:rPr>
              <w:t>Indirectness</w:t>
            </w:r>
          </w:p>
        </w:tc>
        <w:tc>
          <w:tcPr>
            <w:tcW w:w="85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ABEC5D4" w14:textId="77777777" w:rsidR="00FF641A" w:rsidRDefault="00FF641A">
            <w:pPr>
              <w:jc w:val="center"/>
              <w:rPr>
                <w:b/>
                <w:sz w:val="20"/>
                <w:szCs w:val="20"/>
              </w:rPr>
            </w:pPr>
            <w:r>
              <w:rPr>
                <w:b/>
                <w:sz w:val="20"/>
                <w:szCs w:val="20"/>
              </w:rPr>
              <w:t>Imprecision</w:t>
            </w:r>
          </w:p>
        </w:tc>
        <w:tc>
          <w:tcPr>
            <w:tcW w:w="96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3B83566" w14:textId="77777777" w:rsidR="00FF641A" w:rsidRDefault="00FF641A">
            <w:pPr>
              <w:jc w:val="center"/>
              <w:rPr>
                <w:b/>
                <w:sz w:val="20"/>
                <w:szCs w:val="20"/>
              </w:rPr>
            </w:pPr>
            <w:r>
              <w:rPr>
                <w:b/>
                <w:sz w:val="20"/>
                <w:szCs w:val="20"/>
              </w:rPr>
              <w:t>Other considerations</w:t>
            </w:r>
          </w:p>
        </w:tc>
        <w:tc>
          <w:tcPr>
            <w:tcW w:w="119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CE56CA9" w14:textId="77777777" w:rsidR="00FF641A" w:rsidRDefault="00FF641A">
            <w:pPr>
              <w:jc w:val="center"/>
              <w:rPr>
                <w:b/>
                <w:sz w:val="20"/>
                <w:szCs w:val="20"/>
              </w:rPr>
            </w:pPr>
            <w:r>
              <w:rPr>
                <w:b/>
                <w:sz w:val="20"/>
                <w:szCs w:val="20"/>
              </w:rPr>
              <w:t>Azithromycin</w:t>
            </w:r>
          </w:p>
        </w:tc>
        <w:tc>
          <w:tcPr>
            <w:tcW w:w="110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8866ABB" w14:textId="77777777" w:rsidR="00FF641A" w:rsidRDefault="00FF641A">
            <w:pPr>
              <w:jc w:val="center"/>
              <w:rPr>
                <w:b/>
                <w:sz w:val="20"/>
                <w:szCs w:val="20"/>
              </w:rPr>
            </w:pPr>
            <w:r>
              <w:rPr>
                <w:b/>
                <w:sz w:val="20"/>
                <w:szCs w:val="20"/>
              </w:rPr>
              <w:t>Doxycycline</w:t>
            </w:r>
          </w:p>
        </w:tc>
        <w:tc>
          <w:tcPr>
            <w:tcW w:w="138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7B971E2" w14:textId="77777777" w:rsidR="00FF641A" w:rsidRDefault="00FF641A">
            <w:pPr>
              <w:jc w:val="center"/>
              <w:rPr>
                <w:b/>
                <w:sz w:val="20"/>
                <w:szCs w:val="20"/>
              </w:rPr>
            </w:pPr>
            <w:r>
              <w:rPr>
                <w:b/>
                <w:sz w:val="20"/>
                <w:szCs w:val="20"/>
              </w:rPr>
              <w:t>Relative</w:t>
            </w:r>
            <w:r>
              <w:rPr>
                <w:b/>
                <w:sz w:val="20"/>
                <w:szCs w:val="20"/>
              </w:rPr>
              <w:br/>
              <w:t>(95% CI)</w:t>
            </w:r>
          </w:p>
        </w:tc>
        <w:tc>
          <w:tcPr>
            <w:tcW w:w="23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52BEF3" w14:textId="77777777" w:rsidR="00FF641A" w:rsidRDefault="00FF641A">
            <w:pPr>
              <w:jc w:val="center"/>
              <w:rPr>
                <w:b/>
                <w:sz w:val="20"/>
                <w:szCs w:val="20"/>
              </w:rPr>
            </w:pPr>
            <w:r>
              <w:rPr>
                <w:b/>
                <w:sz w:val="20"/>
                <w:szCs w:val="20"/>
              </w:rPr>
              <w:t>Absolute</w:t>
            </w:r>
            <w:r>
              <w:rPr>
                <w:b/>
                <w:sz w:val="20"/>
                <w:szCs w:val="20"/>
              </w:rPr>
              <w:br/>
              <w:t>(95% CI)</w:t>
            </w:r>
          </w:p>
        </w:tc>
        <w:tc>
          <w:tcPr>
            <w:tcW w:w="1241" w:type="dxa"/>
            <w:vMerge/>
            <w:tcBorders>
              <w:left w:val="single" w:sz="6" w:space="0" w:color="000000"/>
              <w:bottom w:val="single" w:sz="6" w:space="0" w:color="000000"/>
              <w:right w:val="single" w:sz="6" w:space="0" w:color="000000"/>
            </w:tcBorders>
            <w:shd w:val="clear" w:color="auto" w:fill="D9D9D9"/>
            <w:vAlign w:val="center"/>
          </w:tcPr>
          <w:p w14:paraId="01742D93" w14:textId="77777777" w:rsidR="00FF641A" w:rsidRDefault="00FF641A">
            <w:pPr>
              <w:rPr>
                <w:b/>
                <w:sz w:val="20"/>
                <w:szCs w:val="20"/>
              </w:rPr>
            </w:pPr>
          </w:p>
        </w:tc>
        <w:tc>
          <w:tcPr>
            <w:tcW w:w="1134" w:type="dxa"/>
            <w:vMerge/>
            <w:tcBorders>
              <w:left w:val="single" w:sz="6" w:space="0" w:color="000000"/>
              <w:bottom w:val="single" w:sz="6" w:space="0" w:color="000000"/>
              <w:right w:val="single" w:sz="6" w:space="0" w:color="000000"/>
            </w:tcBorders>
            <w:shd w:val="clear" w:color="auto" w:fill="D9D9D9"/>
            <w:vAlign w:val="center"/>
          </w:tcPr>
          <w:p w14:paraId="610503D8" w14:textId="77777777" w:rsidR="00FF641A" w:rsidRDefault="00FF641A">
            <w:pPr>
              <w:rPr>
                <w:b/>
                <w:sz w:val="20"/>
                <w:szCs w:val="20"/>
              </w:rPr>
            </w:pPr>
          </w:p>
        </w:tc>
      </w:tr>
      <w:tr w:rsidR="002D58E4" w14:paraId="0151A0EB" w14:textId="77777777" w:rsidTr="00FF641A">
        <w:tc>
          <w:tcPr>
            <w:tcW w:w="14742"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FA8299F" w14:textId="77777777" w:rsidR="002D58E4" w:rsidRDefault="00F721D4">
            <w:pPr>
              <w:rPr>
                <w:sz w:val="20"/>
                <w:szCs w:val="20"/>
              </w:rPr>
            </w:pPr>
            <w:r>
              <w:rPr>
                <w:b/>
                <w:sz w:val="20"/>
                <w:szCs w:val="20"/>
              </w:rPr>
              <w:t>Resolution of Erythema Migrans</w:t>
            </w:r>
            <w:r>
              <w:rPr>
                <w:sz w:val="20"/>
                <w:szCs w:val="20"/>
              </w:rPr>
              <w:t xml:space="preserve"> (10 to 15 days) </w:t>
            </w:r>
          </w:p>
        </w:tc>
      </w:tr>
      <w:tr w:rsidR="002D58E4" w14:paraId="1D54421B" w14:textId="77777777" w:rsidTr="00FF641A">
        <w:tc>
          <w:tcPr>
            <w:tcW w:w="727" w:type="dxa"/>
            <w:tcBorders>
              <w:top w:val="single" w:sz="6" w:space="0" w:color="000000"/>
              <w:left w:val="single" w:sz="6" w:space="0" w:color="000000"/>
              <w:bottom w:val="single" w:sz="6" w:space="0" w:color="000000"/>
              <w:right w:val="single" w:sz="6" w:space="0" w:color="000000"/>
            </w:tcBorders>
          </w:tcPr>
          <w:p w14:paraId="3396F6EB" w14:textId="77777777" w:rsidR="002D58E4" w:rsidRDefault="00F721D4">
            <w:pPr>
              <w:rPr>
                <w:sz w:val="20"/>
                <w:szCs w:val="20"/>
              </w:rPr>
            </w:pPr>
            <w:r>
              <w:rPr>
                <w:sz w:val="20"/>
                <w:szCs w:val="20"/>
              </w:rPr>
              <w:t xml:space="preserve">2 </w:t>
            </w:r>
          </w:p>
        </w:tc>
        <w:tc>
          <w:tcPr>
            <w:tcW w:w="1004" w:type="dxa"/>
            <w:tcBorders>
              <w:top w:val="single" w:sz="6" w:space="0" w:color="000000"/>
              <w:left w:val="single" w:sz="6" w:space="0" w:color="000000"/>
              <w:bottom w:val="single" w:sz="6" w:space="0" w:color="000000"/>
              <w:right w:val="single" w:sz="6" w:space="0" w:color="000000"/>
            </w:tcBorders>
          </w:tcPr>
          <w:p w14:paraId="418B5AE8" w14:textId="77777777" w:rsidR="002D58E4" w:rsidRDefault="00F721D4">
            <w:pPr>
              <w:rPr>
                <w:sz w:val="20"/>
                <w:szCs w:val="20"/>
              </w:rPr>
            </w:pPr>
            <w:r>
              <w:rPr>
                <w:sz w:val="20"/>
                <w:szCs w:val="20"/>
              </w:rPr>
              <w:t xml:space="preserve">RCT </w:t>
            </w:r>
            <w:r>
              <w:rPr>
                <w:sz w:val="20"/>
                <w:szCs w:val="20"/>
                <w:vertAlign w:val="superscript"/>
              </w:rPr>
              <w:t>1,2</w:t>
            </w:r>
          </w:p>
        </w:tc>
        <w:tc>
          <w:tcPr>
            <w:tcW w:w="820" w:type="dxa"/>
            <w:tcBorders>
              <w:top w:val="single" w:sz="6" w:space="0" w:color="000000"/>
              <w:left w:val="single" w:sz="6" w:space="0" w:color="000000"/>
              <w:bottom w:val="single" w:sz="6" w:space="0" w:color="000000"/>
              <w:right w:val="single" w:sz="6" w:space="0" w:color="000000"/>
            </w:tcBorders>
          </w:tcPr>
          <w:p w14:paraId="1A2B4AD7" w14:textId="77777777" w:rsidR="002D58E4" w:rsidRDefault="00F721D4">
            <w:pPr>
              <w:rPr>
                <w:sz w:val="20"/>
                <w:szCs w:val="20"/>
              </w:rPr>
            </w:pPr>
            <w:r>
              <w:rPr>
                <w:sz w:val="20"/>
                <w:szCs w:val="20"/>
              </w:rPr>
              <w:t xml:space="preserve">serious </w:t>
            </w:r>
            <w:r>
              <w:rPr>
                <w:sz w:val="20"/>
                <w:szCs w:val="20"/>
                <w:vertAlign w:val="superscript"/>
              </w:rPr>
              <w:t>a</w:t>
            </w:r>
          </w:p>
        </w:tc>
        <w:tc>
          <w:tcPr>
            <w:tcW w:w="986" w:type="dxa"/>
            <w:tcBorders>
              <w:top w:val="single" w:sz="6" w:space="0" w:color="000000"/>
              <w:left w:val="single" w:sz="6" w:space="0" w:color="000000"/>
              <w:bottom w:val="single" w:sz="6" w:space="0" w:color="000000"/>
              <w:right w:val="single" w:sz="6" w:space="0" w:color="000000"/>
            </w:tcBorders>
          </w:tcPr>
          <w:p w14:paraId="09E2E018"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5FBB9EDB" w14:textId="77777777" w:rsidR="002D58E4" w:rsidRDefault="00F721D4">
            <w:pPr>
              <w:rPr>
                <w:sz w:val="20"/>
                <w:szCs w:val="20"/>
              </w:rPr>
            </w:pPr>
            <w:r>
              <w:rPr>
                <w:sz w:val="20"/>
                <w:szCs w:val="20"/>
              </w:rPr>
              <w:t xml:space="preserve">not serious </w:t>
            </w:r>
          </w:p>
        </w:tc>
        <w:tc>
          <w:tcPr>
            <w:tcW w:w="853" w:type="dxa"/>
            <w:tcBorders>
              <w:top w:val="single" w:sz="6" w:space="0" w:color="000000"/>
              <w:left w:val="single" w:sz="6" w:space="0" w:color="000000"/>
              <w:bottom w:val="single" w:sz="6" w:space="0" w:color="000000"/>
              <w:right w:val="single" w:sz="6" w:space="0" w:color="000000"/>
            </w:tcBorders>
          </w:tcPr>
          <w:p w14:paraId="3BCA22DB" w14:textId="77777777" w:rsidR="002D58E4" w:rsidRDefault="00F721D4">
            <w:pPr>
              <w:rPr>
                <w:sz w:val="20"/>
                <w:szCs w:val="20"/>
              </w:rPr>
            </w:pPr>
            <w:r>
              <w:rPr>
                <w:sz w:val="20"/>
                <w:szCs w:val="20"/>
              </w:rPr>
              <w:t xml:space="preserve">serious </w:t>
            </w:r>
            <w:r>
              <w:rPr>
                <w:sz w:val="20"/>
                <w:szCs w:val="20"/>
                <w:vertAlign w:val="superscript"/>
              </w:rPr>
              <w:t>b</w:t>
            </w:r>
            <w:r>
              <w:rPr>
                <w:sz w:val="20"/>
                <w:szCs w:val="20"/>
              </w:rPr>
              <w:t xml:space="preserve"> </w:t>
            </w:r>
          </w:p>
        </w:tc>
        <w:tc>
          <w:tcPr>
            <w:tcW w:w="966" w:type="dxa"/>
            <w:tcBorders>
              <w:top w:val="single" w:sz="6" w:space="0" w:color="000000"/>
              <w:left w:val="single" w:sz="6" w:space="0" w:color="000000"/>
              <w:bottom w:val="single" w:sz="6" w:space="0" w:color="000000"/>
              <w:right w:val="single" w:sz="6" w:space="0" w:color="000000"/>
            </w:tcBorders>
          </w:tcPr>
          <w:p w14:paraId="54A80998" w14:textId="77777777" w:rsidR="002D58E4" w:rsidRDefault="00F721D4">
            <w:pPr>
              <w:rPr>
                <w:sz w:val="20"/>
                <w:szCs w:val="20"/>
              </w:rPr>
            </w:pPr>
            <w:r>
              <w:rPr>
                <w:sz w:val="20"/>
                <w:szCs w:val="20"/>
              </w:rPr>
              <w:t xml:space="preserve">none </w:t>
            </w:r>
          </w:p>
        </w:tc>
        <w:tc>
          <w:tcPr>
            <w:tcW w:w="1191" w:type="dxa"/>
            <w:gridSpan w:val="2"/>
            <w:tcBorders>
              <w:top w:val="single" w:sz="6" w:space="0" w:color="000000"/>
              <w:left w:val="single" w:sz="6" w:space="0" w:color="000000"/>
              <w:bottom w:val="single" w:sz="6" w:space="0" w:color="000000"/>
              <w:right w:val="single" w:sz="6" w:space="0" w:color="000000"/>
            </w:tcBorders>
          </w:tcPr>
          <w:p w14:paraId="4D84E47C" w14:textId="77777777" w:rsidR="002D58E4" w:rsidRDefault="00F721D4">
            <w:pPr>
              <w:jc w:val="center"/>
              <w:rPr>
                <w:sz w:val="20"/>
                <w:szCs w:val="20"/>
              </w:rPr>
            </w:pPr>
            <w:r>
              <w:rPr>
                <w:sz w:val="20"/>
                <w:szCs w:val="20"/>
              </w:rPr>
              <w:t xml:space="preserve">55/64 </w:t>
            </w:r>
          </w:p>
          <w:p w14:paraId="7E3E41D5" w14:textId="77777777" w:rsidR="002D58E4" w:rsidRDefault="00F721D4">
            <w:pPr>
              <w:jc w:val="center"/>
              <w:rPr>
                <w:sz w:val="20"/>
                <w:szCs w:val="20"/>
              </w:rPr>
            </w:pPr>
            <w:r>
              <w:rPr>
                <w:sz w:val="20"/>
                <w:szCs w:val="20"/>
              </w:rPr>
              <w:t xml:space="preserve">(85.9%) </w:t>
            </w:r>
          </w:p>
        </w:tc>
        <w:tc>
          <w:tcPr>
            <w:tcW w:w="1108" w:type="dxa"/>
            <w:tcBorders>
              <w:top w:val="single" w:sz="6" w:space="0" w:color="000000"/>
              <w:left w:val="single" w:sz="6" w:space="0" w:color="000000"/>
              <w:bottom w:val="single" w:sz="6" w:space="0" w:color="000000"/>
              <w:right w:val="single" w:sz="6" w:space="0" w:color="000000"/>
            </w:tcBorders>
          </w:tcPr>
          <w:p w14:paraId="357091F3" w14:textId="77777777" w:rsidR="002D58E4" w:rsidRDefault="00F721D4">
            <w:pPr>
              <w:jc w:val="center"/>
              <w:rPr>
                <w:sz w:val="20"/>
                <w:szCs w:val="20"/>
              </w:rPr>
            </w:pPr>
            <w:r>
              <w:rPr>
                <w:sz w:val="20"/>
                <w:szCs w:val="20"/>
              </w:rPr>
              <w:t xml:space="preserve">44/62 </w:t>
            </w:r>
          </w:p>
          <w:p w14:paraId="3A9BDDA3" w14:textId="77777777" w:rsidR="002D58E4" w:rsidRDefault="00F721D4">
            <w:pPr>
              <w:jc w:val="center"/>
              <w:rPr>
                <w:sz w:val="20"/>
                <w:szCs w:val="20"/>
              </w:rPr>
            </w:pPr>
            <w:r>
              <w:rPr>
                <w:sz w:val="20"/>
                <w:szCs w:val="20"/>
              </w:rPr>
              <w:t xml:space="preserve">(71.0%) </w:t>
            </w:r>
          </w:p>
        </w:tc>
        <w:tc>
          <w:tcPr>
            <w:tcW w:w="1386" w:type="dxa"/>
            <w:tcBorders>
              <w:top w:val="single" w:sz="6" w:space="0" w:color="000000"/>
              <w:left w:val="single" w:sz="6" w:space="0" w:color="000000"/>
              <w:bottom w:val="single" w:sz="6" w:space="0" w:color="000000"/>
              <w:right w:val="single" w:sz="6" w:space="0" w:color="000000"/>
            </w:tcBorders>
          </w:tcPr>
          <w:p w14:paraId="08927F33" w14:textId="77777777" w:rsidR="002D58E4" w:rsidRDefault="00F721D4">
            <w:pPr>
              <w:jc w:val="center"/>
              <w:rPr>
                <w:b/>
                <w:sz w:val="20"/>
                <w:szCs w:val="20"/>
              </w:rPr>
            </w:pPr>
            <w:r>
              <w:rPr>
                <w:b/>
                <w:sz w:val="20"/>
                <w:szCs w:val="20"/>
              </w:rPr>
              <w:t>RR 1.21</w:t>
            </w:r>
            <w:r>
              <w:rPr>
                <w:b/>
                <w:sz w:val="20"/>
                <w:szCs w:val="20"/>
              </w:rPr>
              <w:br/>
              <w:t xml:space="preserve">(1.00 to 1.46) </w:t>
            </w:r>
          </w:p>
        </w:tc>
        <w:tc>
          <w:tcPr>
            <w:tcW w:w="2334" w:type="dxa"/>
            <w:tcBorders>
              <w:top w:val="single" w:sz="6" w:space="0" w:color="000000"/>
              <w:left w:val="single" w:sz="6" w:space="0" w:color="000000"/>
              <w:bottom w:val="single" w:sz="6" w:space="0" w:color="000000"/>
              <w:right w:val="single" w:sz="6" w:space="0" w:color="000000"/>
            </w:tcBorders>
          </w:tcPr>
          <w:p w14:paraId="772677DA" w14:textId="77777777" w:rsidR="002D58E4" w:rsidRDefault="00F721D4">
            <w:pPr>
              <w:jc w:val="center"/>
              <w:rPr>
                <w:b/>
                <w:sz w:val="20"/>
                <w:szCs w:val="20"/>
              </w:rPr>
            </w:pPr>
            <w:r>
              <w:rPr>
                <w:b/>
                <w:sz w:val="20"/>
                <w:szCs w:val="20"/>
              </w:rPr>
              <w:t>150 more per 1,000</w:t>
            </w:r>
            <w:r>
              <w:rPr>
                <w:b/>
                <w:sz w:val="20"/>
                <w:szCs w:val="20"/>
              </w:rPr>
              <w:br/>
              <w:t xml:space="preserve">(from 8 more to 291 more) </w:t>
            </w:r>
          </w:p>
        </w:tc>
        <w:tc>
          <w:tcPr>
            <w:tcW w:w="1241" w:type="dxa"/>
            <w:tcBorders>
              <w:top w:val="single" w:sz="6" w:space="0" w:color="000000"/>
              <w:left w:val="single" w:sz="6" w:space="0" w:color="000000"/>
              <w:bottom w:val="single" w:sz="6" w:space="0" w:color="000000"/>
              <w:right w:val="single" w:sz="6" w:space="0" w:color="000000"/>
            </w:tcBorders>
          </w:tcPr>
          <w:p w14:paraId="19D0EC7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4" w:type="dxa"/>
            <w:tcBorders>
              <w:top w:val="single" w:sz="6" w:space="0" w:color="000000"/>
              <w:left w:val="single" w:sz="6" w:space="0" w:color="000000"/>
              <w:bottom w:val="single" w:sz="6" w:space="0" w:color="000000"/>
              <w:right w:val="single" w:sz="6" w:space="0" w:color="000000"/>
            </w:tcBorders>
          </w:tcPr>
          <w:p w14:paraId="7F0C7E3F" w14:textId="77777777" w:rsidR="002D58E4" w:rsidRDefault="00F721D4">
            <w:pPr>
              <w:rPr>
                <w:sz w:val="20"/>
                <w:szCs w:val="20"/>
              </w:rPr>
            </w:pPr>
            <w:r>
              <w:rPr>
                <w:sz w:val="20"/>
                <w:szCs w:val="20"/>
              </w:rPr>
              <w:t xml:space="preserve">CRITICAL </w:t>
            </w:r>
          </w:p>
        </w:tc>
      </w:tr>
      <w:tr w:rsidR="002D58E4" w14:paraId="693D5699" w14:textId="77777777" w:rsidTr="00FF641A">
        <w:tc>
          <w:tcPr>
            <w:tcW w:w="14742"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478CC2B" w14:textId="77777777" w:rsidR="002D58E4" w:rsidRDefault="00F721D4">
            <w:pPr>
              <w:rPr>
                <w:sz w:val="20"/>
                <w:szCs w:val="20"/>
              </w:rPr>
            </w:pPr>
            <w:r>
              <w:rPr>
                <w:b/>
                <w:sz w:val="20"/>
                <w:szCs w:val="20"/>
              </w:rPr>
              <w:t xml:space="preserve">Patients Experiencing Objective Findings of Lyme </w:t>
            </w:r>
            <w:r>
              <w:rPr>
                <w:sz w:val="20"/>
                <w:szCs w:val="20"/>
              </w:rPr>
              <w:t>(at 6 months and beyond)</w:t>
            </w:r>
          </w:p>
        </w:tc>
      </w:tr>
      <w:tr w:rsidR="002D58E4" w14:paraId="22747E6D" w14:textId="77777777" w:rsidTr="00FF641A">
        <w:tc>
          <w:tcPr>
            <w:tcW w:w="727" w:type="dxa"/>
            <w:tcBorders>
              <w:top w:val="single" w:sz="6" w:space="0" w:color="000000"/>
              <w:left w:val="single" w:sz="6" w:space="0" w:color="000000"/>
              <w:bottom w:val="single" w:sz="6" w:space="0" w:color="000000"/>
              <w:right w:val="single" w:sz="6" w:space="0" w:color="000000"/>
            </w:tcBorders>
          </w:tcPr>
          <w:p w14:paraId="713028A2" w14:textId="77777777" w:rsidR="002D58E4" w:rsidRDefault="00F721D4">
            <w:pPr>
              <w:rPr>
                <w:sz w:val="20"/>
                <w:szCs w:val="20"/>
              </w:rPr>
            </w:pPr>
            <w:r>
              <w:rPr>
                <w:sz w:val="20"/>
                <w:szCs w:val="20"/>
              </w:rPr>
              <w:t xml:space="preserve">4 </w:t>
            </w:r>
          </w:p>
        </w:tc>
        <w:tc>
          <w:tcPr>
            <w:tcW w:w="1004" w:type="dxa"/>
            <w:tcBorders>
              <w:top w:val="single" w:sz="6" w:space="0" w:color="000000"/>
              <w:left w:val="single" w:sz="6" w:space="0" w:color="000000"/>
              <w:bottom w:val="single" w:sz="6" w:space="0" w:color="000000"/>
              <w:right w:val="single" w:sz="6" w:space="0" w:color="000000"/>
            </w:tcBorders>
          </w:tcPr>
          <w:p w14:paraId="5F93D51F" w14:textId="77777777" w:rsidR="002D58E4" w:rsidRDefault="00F721D4">
            <w:pPr>
              <w:rPr>
                <w:sz w:val="20"/>
                <w:szCs w:val="20"/>
              </w:rPr>
            </w:pPr>
            <w:r>
              <w:rPr>
                <w:sz w:val="20"/>
                <w:szCs w:val="20"/>
              </w:rPr>
              <w:t xml:space="preserve">RCT </w:t>
            </w:r>
            <w:r>
              <w:rPr>
                <w:sz w:val="20"/>
                <w:szCs w:val="20"/>
                <w:vertAlign w:val="superscript"/>
              </w:rPr>
              <w:t>1,3,4,5</w:t>
            </w:r>
          </w:p>
        </w:tc>
        <w:tc>
          <w:tcPr>
            <w:tcW w:w="820" w:type="dxa"/>
            <w:tcBorders>
              <w:top w:val="single" w:sz="6" w:space="0" w:color="000000"/>
              <w:left w:val="single" w:sz="6" w:space="0" w:color="000000"/>
              <w:bottom w:val="single" w:sz="6" w:space="0" w:color="000000"/>
              <w:right w:val="single" w:sz="6" w:space="0" w:color="000000"/>
            </w:tcBorders>
          </w:tcPr>
          <w:p w14:paraId="4563F348" w14:textId="77777777" w:rsidR="002D58E4" w:rsidRDefault="00F721D4">
            <w:pPr>
              <w:rPr>
                <w:sz w:val="20"/>
                <w:szCs w:val="20"/>
              </w:rPr>
            </w:pPr>
            <w:r>
              <w:rPr>
                <w:sz w:val="20"/>
                <w:szCs w:val="20"/>
              </w:rPr>
              <w:t xml:space="preserve">serious </w:t>
            </w:r>
            <w:r>
              <w:rPr>
                <w:sz w:val="20"/>
                <w:szCs w:val="20"/>
                <w:vertAlign w:val="superscript"/>
              </w:rPr>
              <w:t>a</w:t>
            </w:r>
          </w:p>
        </w:tc>
        <w:tc>
          <w:tcPr>
            <w:tcW w:w="986" w:type="dxa"/>
            <w:tcBorders>
              <w:top w:val="single" w:sz="6" w:space="0" w:color="000000"/>
              <w:left w:val="single" w:sz="6" w:space="0" w:color="000000"/>
              <w:bottom w:val="single" w:sz="6" w:space="0" w:color="000000"/>
              <w:right w:val="single" w:sz="6" w:space="0" w:color="000000"/>
            </w:tcBorders>
          </w:tcPr>
          <w:p w14:paraId="2678F603"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0982974D" w14:textId="77777777" w:rsidR="002D58E4" w:rsidRDefault="00F721D4">
            <w:pPr>
              <w:rPr>
                <w:sz w:val="20"/>
                <w:szCs w:val="20"/>
              </w:rPr>
            </w:pPr>
            <w:r>
              <w:rPr>
                <w:sz w:val="20"/>
                <w:szCs w:val="20"/>
              </w:rPr>
              <w:t xml:space="preserve">not serious </w:t>
            </w:r>
          </w:p>
        </w:tc>
        <w:tc>
          <w:tcPr>
            <w:tcW w:w="853" w:type="dxa"/>
            <w:tcBorders>
              <w:top w:val="single" w:sz="6" w:space="0" w:color="000000"/>
              <w:left w:val="single" w:sz="6" w:space="0" w:color="000000"/>
              <w:bottom w:val="single" w:sz="6" w:space="0" w:color="000000"/>
              <w:right w:val="single" w:sz="6" w:space="0" w:color="000000"/>
            </w:tcBorders>
          </w:tcPr>
          <w:p w14:paraId="71F32003" w14:textId="77777777" w:rsidR="002D58E4" w:rsidRDefault="00F721D4">
            <w:pPr>
              <w:rPr>
                <w:sz w:val="20"/>
                <w:szCs w:val="20"/>
              </w:rPr>
            </w:pPr>
            <w:r>
              <w:rPr>
                <w:sz w:val="20"/>
                <w:szCs w:val="20"/>
              </w:rPr>
              <w:t xml:space="preserve">serious </w:t>
            </w:r>
            <w:r>
              <w:rPr>
                <w:sz w:val="20"/>
                <w:szCs w:val="20"/>
                <w:vertAlign w:val="superscript"/>
              </w:rPr>
              <w:t>c</w:t>
            </w:r>
          </w:p>
        </w:tc>
        <w:tc>
          <w:tcPr>
            <w:tcW w:w="966" w:type="dxa"/>
            <w:tcBorders>
              <w:top w:val="single" w:sz="6" w:space="0" w:color="000000"/>
              <w:left w:val="single" w:sz="6" w:space="0" w:color="000000"/>
              <w:bottom w:val="single" w:sz="6" w:space="0" w:color="000000"/>
              <w:right w:val="single" w:sz="6" w:space="0" w:color="000000"/>
            </w:tcBorders>
          </w:tcPr>
          <w:p w14:paraId="17201864" w14:textId="77777777" w:rsidR="002D58E4" w:rsidRDefault="00F721D4">
            <w:pPr>
              <w:rPr>
                <w:sz w:val="20"/>
                <w:szCs w:val="20"/>
              </w:rPr>
            </w:pPr>
            <w:r>
              <w:rPr>
                <w:sz w:val="20"/>
                <w:szCs w:val="20"/>
              </w:rPr>
              <w:t xml:space="preserve">none </w:t>
            </w:r>
          </w:p>
        </w:tc>
        <w:tc>
          <w:tcPr>
            <w:tcW w:w="1191" w:type="dxa"/>
            <w:gridSpan w:val="2"/>
            <w:tcBorders>
              <w:top w:val="single" w:sz="6" w:space="0" w:color="000000"/>
              <w:left w:val="single" w:sz="6" w:space="0" w:color="000000"/>
              <w:bottom w:val="single" w:sz="6" w:space="0" w:color="000000"/>
              <w:right w:val="single" w:sz="6" w:space="0" w:color="000000"/>
            </w:tcBorders>
          </w:tcPr>
          <w:p w14:paraId="45546D33" w14:textId="77777777" w:rsidR="002D58E4" w:rsidRDefault="00F721D4">
            <w:pPr>
              <w:jc w:val="center"/>
              <w:rPr>
                <w:sz w:val="20"/>
                <w:szCs w:val="20"/>
              </w:rPr>
            </w:pPr>
            <w:r>
              <w:rPr>
                <w:sz w:val="20"/>
                <w:szCs w:val="20"/>
              </w:rPr>
              <w:t xml:space="preserve">1/180 </w:t>
            </w:r>
          </w:p>
          <w:p w14:paraId="52EE1232" w14:textId="77777777" w:rsidR="002D58E4" w:rsidRDefault="00F721D4">
            <w:pPr>
              <w:jc w:val="center"/>
              <w:rPr>
                <w:sz w:val="20"/>
                <w:szCs w:val="20"/>
              </w:rPr>
            </w:pPr>
            <w:r>
              <w:rPr>
                <w:sz w:val="20"/>
                <w:szCs w:val="20"/>
              </w:rPr>
              <w:t xml:space="preserve">(0.6%) </w:t>
            </w:r>
          </w:p>
        </w:tc>
        <w:tc>
          <w:tcPr>
            <w:tcW w:w="1108" w:type="dxa"/>
            <w:tcBorders>
              <w:top w:val="single" w:sz="6" w:space="0" w:color="000000"/>
              <w:left w:val="single" w:sz="6" w:space="0" w:color="000000"/>
              <w:bottom w:val="single" w:sz="6" w:space="0" w:color="000000"/>
              <w:right w:val="single" w:sz="6" w:space="0" w:color="000000"/>
            </w:tcBorders>
          </w:tcPr>
          <w:p w14:paraId="123CEBBF" w14:textId="77777777" w:rsidR="002D58E4" w:rsidRDefault="00F721D4">
            <w:pPr>
              <w:jc w:val="center"/>
              <w:rPr>
                <w:sz w:val="20"/>
                <w:szCs w:val="20"/>
              </w:rPr>
            </w:pPr>
            <w:r>
              <w:rPr>
                <w:sz w:val="20"/>
                <w:szCs w:val="20"/>
              </w:rPr>
              <w:t xml:space="preserve">7/152 </w:t>
            </w:r>
          </w:p>
          <w:p w14:paraId="462CC139" w14:textId="77777777" w:rsidR="002D58E4" w:rsidRDefault="00F721D4">
            <w:pPr>
              <w:jc w:val="center"/>
              <w:rPr>
                <w:sz w:val="20"/>
                <w:szCs w:val="20"/>
              </w:rPr>
            </w:pPr>
            <w:r>
              <w:rPr>
                <w:sz w:val="20"/>
                <w:szCs w:val="20"/>
              </w:rPr>
              <w:t xml:space="preserve">(4.6%) </w:t>
            </w:r>
          </w:p>
        </w:tc>
        <w:tc>
          <w:tcPr>
            <w:tcW w:w="1386" w:type="dxa"/>
            <w:tcBorders>
              <w:top w:val="single" w:sz="6" w:space="0" w:color="000000"/>
              <w:left w:val="single" w:sz="6" w:space="0" w:color="000000"/>
              <w:bottom w:val="single" w:sz="6" w:space="0" w:color="000000"/>
              <w:right w:val="single" w:sz="6" w:space="0" w:color="000000"/>
            </w:tcBorders>
          </w:tcPr>
          <w:p w14:paraId="3DFD8272" w14:textId="77777777" w:rsidR="002D58E4" w:rsidRDefault="00F721D4">
            <w:pPr>
              <w:jc w:val="center"/>
              <w:rPr>
                <w:sz w:val="20"/>
                <w:szCs w:val="20"/>
              </w:rPr>
            </w:pPr>
            <w:r>
              <w:rPr>
                <w:sz w:val="20"/>
                <w:szCs w:val="20"/>
              </w:rPr>
              <w:t>RR 0.28</w:t>
            </w:r>
            <w:r>
              <w:rPr>
                <w:sz w:val="20"/>
                <w:szCs w:val="20"/>
              </w:rPr>
              <w:br/>
              <w:t xml:space="preserve">(0.06 to 1.23) </w:t>
            </w:r>
          </w:p>
        </w:tc>
        <w:tc>
          <w:tcPr>
            <w:tcW w:w="2334" w:type="dxa"/>
            <w:tcBorders>
              <w:top w:val="single" w:sz="6" w:space="0" w:color="000000"/>
              <w:left w:val="single" w:sz="6" w:space="0" w:color="000000"/>
              <w:bottom w:val="single" w:sz="6" w:space="0" w:color="000000"/>
              <w:right w:val="single" w:sz="6" w:space="0" w:color="000000"/>
            </w:tcBorders>
          </w:tcPr>
          <w:p w14:paraId="418227FB" w14:textId="77777777" w:rsidR="002D58E4" w:rsidRDefault="00F721D4">
            <w:pPr>
              <w:jc w:val="center"/>
              <w:rPr>
                <w:sz w:val="20"/>
                <w:szCs w:val="20"/>
              </w:rPr>
            </w:pPr>
            <w:r>
              <w:rPr>
                <w:sz w:val="20"/>
                <w:szCs w:val="20"/>
              </w:rPr>
              <w:t>33 fewer per 1,000</w:t>
            </w:r>
            <w:r>
              <w:rPr>
                <w:sz w:val="20"/>
                <w:szCs w:val="20"/>
              </w:rPr>
              <w:br/>
              <w:t xml:space="preserve">(from 11 more to 43 fewer) </w:t>
            </w:r>
          </w:p>
        </w:tc>
        <w:tc>
          <w:tcPr>
            <w:tcW w:w="1241" w:type="dxa"/>
            <w:tcBorders>
              <w:top w:val="single" w:sz="6" w:space="0" w:color="000000"/>
              <w:left w:val="single" w:sz="6" w:space="0" w:color="000000"/>
              <w:bottom w:val="single" w:sz="6" w:space="0" w:color="000000"/>
              <w:right w:val="single" w:sz="6" w:space="0" w:color="000000"/>
            </w:tcBorders>
          </w:tcPr>
          <w:p w14:paraId="3944967C"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174DE5C5" w14:textId="77777777" w:rsidR="002D58E4" w:rsidRDefault="00F721D4">
            <w:pPr>
              <w:rPr>
                <w:sz w:val="20"/>
                <w:szCs w:val="20"/>
              </w:rPr>
            </w:pPr>
            <w:r>
              <w:rPr>
                <w:sz w:val="20"/>
                <w:szCs w:val="20"/>
              </w:rPr>
              <w:t xml:space="preserve">CRITICAL </w:t>
            </w:r>
          </w:p>
        </w:tc>
      </w:tr>
      <w:tr w:rsidR="002D58E4" w14:paraId="558B70C5" w14:textId="77777777" w:rsidTr="00FF641A">
        <w:tc>
          <w:tcPr>
            <w:tcW w:w="14742"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6A22D67D" w14:textId="77777777" w:rsidR="002D58E4" w:rsidRDefault="00F721D4">
            <w:pPr>
              <w:rPr>
                <w:sz w:val="20"/>
                <w:szCs w:val="20"/>
              </w:rPr>
            </w:pPr>
            <w:r>
              <w:rPr>
                <w:b/>
                <w:sz w:val="20"/>
                <w:szCs w:val="20"/>
              </w:rPr>
              <w:t xml:space="preserve">Time to Resolution of Erythema Migrans </w:t>
            </w:r>
            <w:r>
              <w:rPr>
                <w:sz w:val="20"/>
                <w:szCs w:val="20"/>
              </w:rPr>
              <w:t>(Days since treatment initiation: Mean times to resolution are shown in the order of reference.)</w:t>
            </w:r>
          </w:p>
        </w:tc>
      </w:tr>
      <w:tr w:rsidR="002D58E4" w14:paraId="4DDF8446" w14:textId="77777777" w:rsidTr="00FF641A">
        <w:tc>
          <w:tcPr>
            <w:tcW w:w="727" w:type="dxa"/>
            <w:tcBorders>
              <w:top w:val="single" w:sz="6" w:space="0" w:color="000000"/>
              <w:left w:val="single" w:sz="6" w:space="0" w:color="000000"/>
              <w:bottom w:val="single" w:sz="6" w:space="0" w:color="000000"/>
              <w:right w:val="single" w:sz="6" w:space="0" w:color="000000"/>
            </w:tcBorders>
          </w:tcPr>
          <w:p w14:paraId="61721CF7" w14:textId="77777777" w:rsidR="002D58E4" w:rsidRDefault="00F721D4">
            <w:pPr>
              <w:rPr>
                <w:sz w:val="20"/>
                <w:szCs w:val="20"/>
              </w:rPr>
            </w:pPr>
            <w:r>
              <w:rPr>
                <w:sz w:val="20"/>
                <w:szCs w:val="20"/>
              </w:rPr>
              <w:t xml:space="preserve">4 </w:t>
            </w:r>
          </w:p>
        </w:tc>
        <w:tc>
          <w:tcPr>
            <w:tcW w:w="1004" w:type="dxa"/>
            <w:tcBorders>
              <w:top w:val="single" w:sz="6" w:space="0" w:color="000000"/>
              <w:left w:val="single" w:sz="6" w:space="0" w:color="000000"/>
              <w:bottom w:val="single" w:sz="6" w:space="0" w:color="000000"/>
              <w:right w:val="single" w:sz="6" w:space="0" w:color="000000"/>
            </w:tcBorders>
          </w:tcPr>
          <w:p w14:paraId="71CE230B" w14:textId="77777777" w:rsidR="002D58E4" w:rsidRDefault="00F721D4">
            <w:pPr>
              <w:rPr>
                <w:sz w:val="20"/>
                <w:szCs w:val="20"/>
              </w:rPr>
            </w:pPr>
            <w:r>
              <w:rPr>
                <w:sz w:val="20"/>
                <w:szCs w:val="20"/>
              </w:rPr>
              <w:t xml:space="preserve">RCT </w:t>
            </w:r>
            <w:r>
              <w:rPr>
                <w:sz w:val="20"/>
                <w:szCs w:val="20"/>
                <w:vertAlign w:val="superscript"/>
              </w:rPr>
              <w:t>1,3,4,5</w:t>
            </w:r>
          </w:p>
        </w:tc>
        <w:tc>
          <w:tcPr>
            <w:tcW w:w="820" w:type="dxa"/>
            <w:tcBorders>
              <w:top w:val="single" w:sz="6" w:space="0" w:color="000000"/>
              <w:left w:val="single" w:sz="6" w:space="0" w:color="000000"/>
              <w:bottom w:val="single" w:sz="6" w:space="0" w:color="000000"/>
              <w:right w:val="single" w:sz="6" w:space="0" w:color="000000"/>
            </w:tcBorders>
          </w:tcPr>
          <w:p w14:paraId="0C234BBE" w14:textId="77777777" w:rsidR="002D58E4" w:rsidRDefault="00F721D4">
            <w:pPr>
              <w:rPr>
                <w:sz w:val="20"/>
                <w:szCs w:val="20"/>
              </w:rPr>
            </w:pPr>
            <w:r>
              <w:rPr>
                <w:sz w:val="20"/>
                <w:szCs w:val="20"/>
              </w:rPr>
              <w:t xml:space="preserve">serious </w:t>
            </w:r>
            <w:r>
              <w:rPr>
                <w:sz w:val="20"/>
                <w:szCs w:val="20"/>
                <w:vertAlign w:val="superscript"/>
              </w:rPr>
              <w:t>a</w:t>
            </w:r>
          </w:p>
        </w:tc>
        <w:tc>
          <w:tcPr>
            <w:tcW w:w="986" w:type="dxa"/>
            <w:tcBorders>
              <w:top w:val="single" w:sz="6" w:space="0" w:color="000000"/>
              <w:left w:val="single" w:sz="6" w:space="0" w:color="000000"/>
              <w:bottom w:val="single" w:sz="6" w:space="0" w:color="000000"/>
              <w:right w:val="single" w:sz="6" w:space="0" w:color="000000"/>
            </w:tcBorders>
          </w:tcPr>
          <w:p w14:paraId="411D7D7B"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2363C023" w14:textId="77777777" w:rsidR="002D58E4" w:rsidRDefault="00F721D4">
            <w:pPr>
              <w:rPr>
                <w:sz w:val="20"/>
                <w:szCs w:val="20"/>
              </w:rPr>
            </w:pPr>
            <w:r>
              <w:rPr>
                <w:sz w:val="20"/>
                <w:szCs w:val="20"/>
              </w:rPr>
              <w:t xml:space="preserve">not serious </w:t>
            </w:r>
          </w:p>
        </w:tc>
        <w:tc>
          <w:tcPr>
            <w:tcW w:w="853" w:type="dxa"/>
            <w:tcBorders>
              <w:top w:val="single" w:sz="6" w:space="0" w:color="000000"/>
              <w:left w:val="single" w:sz="6" w:space="0" w:color="000000"/>
              <w:bottom w:val="single" w:sz="6" w:space="0" w:color="000000"/>
              <w:right w:val="single" w:sz="6" w:space="0" w:color="000000"/>
            </w:tcBorders>
          </w:tcPr>
          <w:p w14:paraId="44CEBA22" w14:textId="77777777" w:rsidR="002D58E4" w:rsidRDefault="00F721D4">
            <w:pPr>
              <w:rPr>
                <w:sz w:val="20"/>
                <w:szCs w:val="20"/>
              </w:rPr>
            </w:pPr>
            <w:r>
              <w:rPr>
                <w:sz w:val="20"/>
                <w:szCs w:val="20"/>
              </w:rPr>
              <w:t xml:space="preserve">serious </w:t>
            </w:r>
            <w:r>
              <w:rPr>
                <w:sz w:val="20"/>
                <w:szCs w:val="20"/>
                <w:vertAlign w:val="superscript"/>
              </w:rPr>
              <w:t>b</w:t>
            </w:r>
          </w:p>
        </w:tc>
        <w:tc>
          <w:tcPr>
            <w:tcW w:w="966" w:type="dxa"/>
            <w:tcBorders>
              <w:top w:val="single" w:sz="6" w:space="0" w:color="000000"/>
              <w:left w:val="single" w:sz="6" w:space="0" w:color="000000"/>
              <w:bottom w:val="single" w:sz="6" w:space="0" w:color="000000"/>
              <w:right w:val="single" w:sz="6" w:space="0" w:color="000000"/>
            </w:tcBorders>
          </w:tcPr>
          <w:p w14:paraId="49C785C4" w14:textId="77777777" w:rsidR="002D58E4" w:rsidRDefault="00F721D4">
            <w:pPr>
              <w:rPr>
                <w:sz w:val="20"/>
                <w:szCs w:val="20"/>
              </w:rPr>
            </w:pPr>
            <w:r>
              <w:rPr>
                <w:sz w:val="20"/>
                <w:szCs w:val="20"/>
              </w:rPr>
              <w:t xml:space="preserve">none </w:t>
            </w:r>
          </w:p>
        </w:tc>
        <w:tc>
          <w:tcPr>
            <w:tcW w:w="1191" w:type="dxa"/>
            <w:gridSpan w:val="2"/>
            <w:tcBorders>
              <w:top w:val="single" w:sz="6" w:space="0" w:color="000000"/>
              <w:left w:val="single" w:sz="6" w:space="0" w:color="000000"/>
              <w:bottom w:val="single" w:sz="6" w:space="0" w:color="000000"/>
              <w:right w:val="single" w:sz="6" w:space="0" w:color="000000"/>
            </w:tcBorders>
          </w:tcPr>
          <w:p w14:paraId="06637AC3" w14:textId="77777777" w:rsidR="002D58E4" w:rsidRDefault="00F721D4">
            <w:pPr>
              <w:jc w:val="center"/>
              <w:rPr>
                <w:sz w:val="20"/>
                <w:szCs w:val="20"/>
              </w:rPr>
            </w:pPr>
            <w:r>
              <w:rPr>
                <w:sz w:val="20"/>
                <w:szCs w:val="20"/>
              </w:rPr>
              <w:t xml:space="preserve">5.5, 9.2, 7.5, 7.8 </w:t>
            </w:r>
          </w:p>
        </w:tc>
        <w:tc>
          <w:tcPr>
            <w:tcW w:w="1108" w:type="dxa"/>
            <w:tcBorders>
              <w:top w:val="single" w:sz="6" w:space="0" w:color="000000"/>
              <w:left w:val="single" w:sz="6" w:space="0" w:color="000000"/>
              <w:bottom w:val="single" w:sz="6" w:space="0" w:color="000000"/>
              <w:right w:val="single" w:sz="6" w:space="0" w:color="000000"/>
            </w:tcBorders>
          </w:tcPr>
          <w:p w14:paraId="3169340D" w14:textId="77777777" w:rsidR="002D58E4" w:rsidRDefault="00F721D4">
            <w:pPr>
              <w:jc w:val="center"/>
              <w:rPr>
                <w:sz w:val="20"/>
                <w:szCs w:val="20"/>
              </w:rPr>
            </w:pPr>
            <w:r>
              <w:rPr>
                <w:sz w:val="20"/>
                <w:szCs w:val="20"/>
              </w:rPr>
              <w:t xml:space="preserve">7.9, 5.7,11.4, 10.7 </w:t>
            </w:r>
          </w:p>
        </w:tc>
        <w:tc>
          <w:tcPr>
            <w:tcW w:w="3720" w:type="dxa"/>
            <w:gridSpan w:val="2"/>
            <w:tcBorders>
              <w:top w:val="single" w:sz="6" w:space="0" w:color="000000"/>
              <w:left w:val="single" w:sz="6" w:space="0" w:color="000000"/>
              <w:bottom w:val="single" w:sz="6" w:space="0" w:color="000000"/>
              <w:right w:val="single" w:sz="6" w:space="0" w:color="000000"/>
            </w:tcBorders>
          </w:tcPr>
          <w:p w14:paraId="2BFEACD1" w14:textId="77777777" w:rsidR="002D58E4" w:rsidRDefault="00F721D4">
            <w:pPr>
              <w:jc w:val="center"/>
              <w:rPr>
                <w:b/>
                <w:sz w:val="20"/>
                <w:szCs w:val="20"/>
              </w:rPr>
            </w:pPr>
            <w:r>
              <w:rPr>
                <w:b/>
                <w:sz w:val="20"/>
                <w:szCs w:val="20"/>
              </w:rPr>
              <w:t>MD 2.39 lower</w:t>
            </w:r>
            <w:r>
              <w:rPr>
                <w:b/>
                <w:sz w:val="20"/>
                <w:szCs w:val="20"/>
              </w:rPr>
              <w:br/>
              <w:t xml:space="preserve">(1.22 lower to 3.56 lower) </w:t>
            </w:r>
          </w:p>
        </w:tc>
        <w:tc>
          <w:tcPr>
            <w:tcW w:w="1241" w:type="dxa"/>
            <w:tcBorders>
              <w:top w:val="single" w:sz="6" w:space="0" w:color="000000"/>
              <w:left w:val="single" w:sz="6" w:space="0" w:color="000000"/>
              <w:bottom w:val="single" w:sz="6" w:space="0" w:color="000000"/>
              <w:right w:val="single" w:sz="6" w:space="0" w:color="000000"/>
            </w:tcBorders>
          </w:tcPr>
          <w:p w14:paraId="64389C7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6AD6CF67" w14:textId="77777777" w:rsidR="002D58E4" w:rsidRDefault="00F721D4">
            <w:pPr>
              <w:rPr>
                <w:sz w:val="20"/>
                <w:szCs w:val="20"/>
              </w:rPr>
            </w:pPr>
            <w:r>
              <w:rPr>
                <w:sz w:val="20"/>
                <w:szCs w:val="20"/>
              </w:rPr>
              <w:t xml:space="preserve">IMPORTANT </w:t>
            </w:r>
          </w:p>
        </w:tc>
      </w:tr>
      <w:tr w:rsidR="002D58E4" w14:paraId="0FBBD8BD" w14:textId="77777777" w:rsidTr="00FF641A">
        <w:tc>
          <w:tcPr>
            <w:tcW w:w="14742"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12E253F7" w14:textId="77777777" w:rsidR="002D58E4" w:rsidRDefault="00F721D4">
            <w:pPr>
              <w:rPr>
                <w:sz w:val="20"/>
                <w:szCs w:val="20"/>
              </w:rPr>
            </w:pPr>
            <w:r>
              <w:rPr>
                <w:b/>
                <w:sz w:val="20"/>
                <w:szCs w:val="20"/>
              </w:rPr>
              <w:t xml:space="preserve">Patients Withdrawing due to Adverse Events </w:t>
            </w:r>
          </w:p>
        </w:tc>
      </w:tr>
      <w:tr w:rsidR="002D58E4" w14:paraId="66EC5712" w14:textId="77777777" w:rsidTr="00FF641A">
        <w:tc>
          <w:tcPr>
            <w:tcW w:w="727" w:type="dxa"/>
            <w:tcBorders>
              <w:top w:val="single" w:sz="6" w:space="0" w:color="000000"/>
              <w:left w:val="single" w:sz="6" w:space="0" w:color="000000"/>
              <w:bottom w:val="single" w:sz="6" w:space="0" w:color="000000"/>
              <w:right w:val="single" w:sz="6" w:space="0" w:color="000000"/>
            </w:tcBorders>
          </w:tcPr>
          <w:p w14:paraId="3476925E" w14:textId="77777777" w:rsidR="002D58E4" w:rsidRDefault="00F721D4">
            <w:pPr>
              <w:rPr>
                <w:sz w:val="20"/>
                <w:szCs w:val="20"/>
              </w:rPr>
            </w:pPr>
            <w:r>
              <w:rPr>
                <w:sz w:val="20"/>
                <w:szCs w:val="20"/>
              </w:rPr>
              <w:t xml:space="preserve">4 </w:t>
            </w:r>
          </w:p>
        </w:tc>
        <w:tc>
          <w:tcPr>
            <w:tcW w:w="1004" w:type="dxa"/>
            <w:tcBorders>
              <w:top w:val="single" w:sz="6" w:space="0" w:color="000000"/>
              <w:left w:val="single" w:sz="6" w:space="0" w:color="000000"/>
              <w:bottom w:val="single" w:sz="6" w:space="0" w:color="000000"/>
              <w:right w:val="single" w:sz="6" w:space="0" w:color="000000"/>
            </w:tcBorders>
          </w:tcPr>
          <w:p w14:paraId="43D9F378" w14:textId="77777777" w:rsidR="002D58E4" w:rsidRDefault="00F721D4">
            <w:pPr>
              <w:rPr>
                <w:sz w:val="20"/>
                <w:szCs w:val="20"/>
              </w:rPr>
            </w:pPr>
            <w:r>
              <w:rPr>
                <w:sz w:val="20"/>
                <w:szCs w:val="20"/>
              </w:rPr>
              <w:t xml:space="preserve">RCT </w:t>
            </w:r>
            <w:r>
              <w:rPr>
                <w:sz w:val="20"/>
                <w:szCs w:val="20"/>
                <w:vertAlign w:val="superscript"/>
              </w:rPr>
              <w:t>1,2,4,5</w:t>
            </w:r>
          </w:p>
        </w:tc>
        <w:tc>
          <w:tcPr>
            <w:tcW w:w="820" w:type="dxa"/>
            <w:tcBorders>
              <w:top w:val="single" w:sz="6" w:space="0" w:color="000000"/>
              <w:left w:val="single" w:sz="6" w:space="0" w:color="000000"/>
              <w:bottom w:val="single" w:sz="6" w:space="0" w:color="000000"/>
              <w:right w:val="single" w:sz="6" w:space="0" w:color="000000"/>
            </w:tcBorders>
          </w:tcPr>
          <w:p w14:paraId="1B5E1BD6" w14:textId="77777777" w:rsidR="002D58E4" w:rsidRDefault="00F721D4">
            <w:pPr>
              <w:rPr>
                <w:sz w:val="20"/>
                <w:szCs w:val="20"/>
              </w:rPr>
            </w:pPr>
            <w:r>
              <w:rPr>
                <w:sz w:val="20"/>
                <w:szCs w:val="20"/>
              </w:rPr>
              <w:t xml:space="preserve">serious </w:t>
            </w:r>
            <w:r>
              <w:rPr>
                <w:sz w:val="20"/>
                <w:szCs w:val="20"/>
                <w:vertAlign w:val="superscript"/>
              </w:rPr>
              <w:t>a</w:t>
            </w:r>
          </w:p>
        </w:tc>
        <w:tc>
          <w:tcPr>
            <w:tcW w:w="986" w:type="dxa"/>
            <w:tcBorders>
              <w:top w:val="single" w:sz="6" w:space="0" w:color="000000"/>
              <w:left w:val="single" w:sz="6" w:space="0" w:color="000000"/>
              <w:bottom w:val="single" w:sz="6" w:space="0" w:color="000000"/>
              <w:right w:val="single" w:sz="6" w:space="0" w:color="000000"/>
            </w:tcBorders>
          </w:tcPr>
          <w:p w14:paraId="045EA109"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3D5483E7" w14:textId="77777777" w:rsidR="002D58E4" w:rsidRDefault="00F721D4">
            <w:pPr>
              <w:rPr>
                <w:sz w:val="20"/>
                <w:szCs w:val="20"/>
              </w:rPr>
            </w:pPr>
            <w:r>
              <w:rPr>
                <w:sz w:val="20"/>
                <w:szCs w:val="20"/>
              </w:rPr>
              <w:t xml:space="preserve">not serious </w:t>
            </w:r>
          </w:p>
        </w:tc>
        <w:tc>
          <w:tcPr>
            <w:tcW w:w="853" w:type="dxa"/>
            <w:tcBorders>
              <w:top w:val="single" w:sz="6" w:space="0" w:color="000000"/>
              <w:left w:val="single" w:sz="6" w:space="0" w:color="000000"/>
              <w:bottom w:val="single" w:sz="6" w:space="0" w:color="000000"/>
              <w:right w:val="single" w:sz="6" w:space="0" w:color="000000"/>
            </w:tcBorders>
          </w:tcPr>
          <w:p w14:paraId="6E550025" w14:textId="77777777" w:rsidR="002D58E4" w:rsidRDefault="00F721D4">
            <w:pPr>
              <w:rPr>
                <w:sz w:val="20"/>
                <w:szCs w:val="20"/>
              </w:rPr>
            </w:pPr>
            <w:r>
              <w:rPr>
                <w:sz w:val="20"/>
                <w:szCs w:val="20"/>
              </w:rPr>
              <w:t xml:space="preserve">serious </w:t>
            </w:r>
            <w:r>
              <w:rPr>
                <w:sz w:val="20"/>
                <w:szCs w:val="20"/>
                <w:vertAlign w:val="superscript"/>
              </w:rPr>
              <w:t>c</w:t>
            </w:r>
          </w:p>
        </w:tc>
        <w:tc>
          <w:tcPr>
            <w:tcW w:w="966" w:type="dxa"/>
            <w:tcBorders>
              <w:top w:val="single" w:sz="6" w:space="0" w:color="000000"/>
              <w:left w:val="single" w:sz="6" w:space="0" w:color="000000"/>
              <w:bottom w:val="single" w:sz="6" w:space="0" w:color="000000"/>
              <w:right w:val="single" w:sz="6" w:space="0" w:color="000000"/>
            </w:tcBorders>
          </w:tcPr>
          <w:p w14:paraId="4DF3735E" w14:textId="77777777" w:rsidR="002D58E4" w:rsidRDefault="00F721D4">
            <w:pPr>
              <w:rPr>
                <w:sz w:val="20"/>
                <w:szCs w:val="20"/>
              </w:rPr>
            </w:pPr>
            <w:r>
              <w:rPr>
                <w:sz w:val="20"/>
                <w:szCs w:val="20"/>
              </w:rPr>
              <w:t xml:space="preserve">none </w:t>
            </w:r>
          </w:p>
        </w:tc>
        <w:tc>
          <w:tcPr>
            <w:tcW w:w="1191" w:type="dxa"/>
            <w:gridSpan w:val="2"/>
            <w:tcBorders>
              <w:top w:val="single" w:sz="6" w:space="0" w:color="000000"/>
              <w:left w:val="single" w:sz="6" w:space="0" w:color="000000"/>
              <w:bottom w:val="single" w:sz="6" w:space="0" w:color="000000"/>
              <w:right w:val="single" w:sz="6" w:space="0" w:color="000000"/>
            </w:tcBorders>
          </w:tcPr>
          <w:p w14:paraId="0F9DB498" w14:textId="77777777" w:rsidR="002D58E4" w:rsidRDefault="00F721D4">
            <w:pPr>
              <w:jc w:val="center"/>
              <w:rPr>
                <w:sz w:val="20"/>
                <w:szCs w:val="20"/>
              </w:rPr>
            </w:pPr>
            <w:r>
              <w:rPr>
                <w:sz w:val="20"/>
                <w:szCs w:val="20"/>
              </w:rPr>
              <w:t>0/177</w:t>
            </w:r>
          </w:p>
          <w:p w14:paraId="3025DDB9" w14:textId="77777777" w:rsidR="002D58E4" w:rsidRDefault="00F721D4">
            <w:pPr>
              <w:jc w:val="center"/>
              <w:rPr>
                <w:sz w:val="20"/>
                <w:szCs w:val="20"/>
              </w:rPr>
            </w:pPr>
            <w:r>
              <w:rPr>
                <w:sz w:val="20"/>
                <w:szCs w:val="20"/>
              </w:rPr>
              <w:t xml:space="preserve"> (0.0%) </w:t>
            </w:r>
          </w:p>
        </w:tc>
        <w:tc>
          <w:tcPr>
            <w:tcW w:w="1108" w:type="dxa"/>
            <w:tcBorders>
              <w:top w:val="single" w:sz="6" w:space="0" w:color="000000"/>
              <w:left w:val="single" w:sz="6" w:space="0" w:color="000000"/>
              <w:bottom w:val="single" w:sz="6" w:space="0" w:color="000000"/>
              <w:right w:val="single" w:sz="6" w:space="0" w:color="000000"/>
            </w:tcBorders>
          </w:tcPr>
          <w:p w14:paraId="37B7C605" w14:textId="77777777" w:rsidR="002D58E4" w:rsidRDefault="00F721D4">
            <w:pPr>
              <w:jc w:val="center"/>
              <w:rPr>
                <w:sz w:val="20"/>
                <w:szCs w:val="20"/>
              </w:rPr>
            </w:pPr>
            <w:r>
              <w:rPr>
                <w:sz w:val="20"/>
                <w:szCs w:val="20"/>
              </w:rPr>
              <w:t xml:space="preserve">1/156 </w:t>
            </w:r>
          </w:p>
          <w:p w14:paraId="2034700E" w14:textId="77777777" w:rsidR="002D58E4" w:rsidRDefault="00F721D4">
            <w:pPr>
              <w:jc w:val="center"/>
              <w:rPr>
                <w:sz w:val="20"/>
                <w:szCs w:val="20"/>
              </w:rPr>
            </w:pPr>
            <w:r>
              <w:rPr>
                <w:sz w:val="20"/>
                <w:szCs w:val="20"/>
              </w:rPr>
              <w:t xml:space="preserve">(0.6%) </w:t>
            </w:r>
          </w:p>
        </w:tc>
        <w:tc>
          <w:tcPr>
            <w:tcW w:w="1386" w:type="dxa"/>
            <w:tcBorders>
              <w:top w:val="single" w:sz="6" w:space="0" w:color="000000"/>
              <w:left w:val="single" w:sz="6" w:space="0" w:color="000000"/>
              <w:bottom w:val="single" w:sz="6" w:space="0" w:color="000000"/>
              <w:right w:val="single" w:sz="6" w:space="0" w:color="000000"/>
            </w:tcBorders>
          </w:tcPr>
          <w:p w14:paraId="16BB9272" w14:textId="77777777" w:rsidR="002D58E4" w:rsidRDefault="00F721D4">
            <w:pPr>
              <w:jc w:val="center"/>
              <w:rPr>
                <w:sz w:val="20"/>
                <w:szCs w:val="20"/>
              </w:rPr>
            </w:pPr>
            <w:r>
              <w:rPr>
                <w:sz w:val="20"/>
                <w:szCs w:val="20"/>
              </w:rPr>
              <w:t xml:space="preserve">NA </w:t>
            </w:r>
            <w:r>
              <w:rPr>
                <w:sz w:val="20"/>
                <w:szCs w:val="20"/>
                <w:vertAlign w:val="superscript"/>
              </w:rPr>
              <w:t>d</w:t>
            </w:r>
          </w:p>
          <w:p w14:paraId="34EDCC39" w14:textId="77777777" w:rsidR="002D58E4" w:rsidRDefault="002D58E4">
            <w:pPr>
              <w:jc w:val="center"/>
              <w:rPr>
                <w:sz w:val="20"/>
                <w:szCs w:val="20"/>
              </w:rPr>
            </w:pPr>
          </w:p>
        </w:tc>
        <w:tc>
          <w:tcPr>
            <w:tcW w:w="2334" w:type="dxa"/>
            <w:tcBorders>
              <w:top w:val="single" w:sz="6" w:space="0" w:color="000000"/>
              <w:left w:val="single" w:sz="6" w:space="0" w:color="000000"/>
              <w:bottom w:val="single" w:sz="6" w:space="0" w:color="000000"/>
              <w:right w:val="single" w:sz="6" w:space="0" w:color="000000"/>
            </w:tcBorders>
          </w:tcPr>
          <w:p w14:paraId="21C07203" w14:textId="77777777" w:rsidR="002D58E4" w:rsidRDefault="00F721D4">
            <w:pPr>
              <w:jc w:val="center"/>
              <w:rPr>
                <w:sz w:val="20"/>
                <w:szCs w:val="20"/>
              </w:rPr>
            </w:pPr>
            <w:r>
              <w:rPr>
                <w:sz w:val="20"/>
                <w:szCs w:val="20"/>
              </w:rPr>
              <w:t>6 fewer per 1,000</w:t>
            </w:r>
            <w:r>
              <w:rPr>
                <w:sz w:val="20"/>
                <w:szCs w:val="20"/>
              </w:rPr>
              <w:br/>
              <w:t xml:space="preserve"> </w:t>
            </w:r>
          </w:p>
        </w:tc>
        <w:tc>
          <w:tcPr>
            <w:tcW w:w="1241" w:type="dxa"/>
            <w:tcBorders>
              <w:top w:val="single" w:sz="6" w:space="0" w:color="000000"/>
              <w:left w:val="single" w:sz="6" w:space="0" w:color="000000"/>
              <w:bottom w:val="single" w:sz="6" w:space="0" w:color="000000"/>
              <w:right w:val="single" w:sz="6" w:space="0" w:color="000000"/>
            </w:tcBorders>
          </w:tcPr>
          <w:p w14:paraId="6EE2A59E"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07F89803" w14:textId="77777777" w:rsidR="002D58E4" w:rsidRDefault="00F721D4">
            <w:pPr>
              <w:rPr>
                <w:sz w:val="20"/>
                <w:szCs w:val="20"/>
              </w:rPr>
            </w:pPr>
            <w:r>
              <w:rPr>
                <w:sz w:val="20"/>
                <w:szCs w:val="20"/>
              </w:rPr>
              <w:t xml:space="preserve">CRITICAL </w:t>
            </w:r>
          </w:p>
        </w:tc>
      </w:tr>
      <w:tr w:rsidR="002D58E4" w14:paraId="76E97CA7" w14:textId="77777777" w:rsidTr="00FF641A">
        <w:tc>
          <w:tcPr>
            <w:tcW w:w="14742"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13D53F49" w14:textId="77777777" w:rsidR="002D58E4" w:rsidRDefault="00F721D4">
            <w:pPr>
              <w:rPr>
                <w:sz w:val="20"/>
                <w:szCs w:val="20"/>
              </w:rPr>
            </w:pPr>
            <w:r>
              <w:rPr>
                <w:b/>
                <w:sz w:val="20"/>
                <w:szCs w:val="20"/>
              </w:rPr>
              <w:t>Treatment-related Adverse Events</w:t>
            </w:r>
            <w:r>
              <w:rPr>
                <w:sz w:val="20"/>
                <w:szCs w:val="20"/>
              </w:rPr>
              <w:t xml:space="preserve"> </w:t>
            </w:r>
          </w:p>
        </w:tc>
      </w:tr>
      <w:tr w:rsidR="002D58E4" w14:paraId="4009A06B" w14:textId="77777777" w:rsidTr="00FF641A">
        <w:tc>
          <w:tcPr>
            <w:tcW w:w="727" w:type="dxa"/>
            <w:tcBorders>
              <w:top w:val="single" w:sz="6" w:space="0" w:color="000000"/>
              <w:left w:val="single" w:sz="6" w:space="0" w:color="000000"/>
              <w:bottom w:val="single" w:sz="6" w:space="0" w:color="000000"/>
              <w:right w:val="single" w:sz="6" w:space="0" w:color="000000"/>
            </w:tcBorders>
          </w:tcPr>
          <w:p w14:paraId="76600827" w14:textId="77777777" w:rsidR="002D58E4" w:rsidRDefault="00F721D4">
            <w:pPr>
              <w:rPr>
                <w:sz w:val="20"/>
                <w:szCs w:val="20"/>
              </w:rPr>
            </w:pPr>
            <w:r>
              <w:rPr>
                <w:sz w:val="20"/>
                <w:szCs w:val="20"/>
              </w:rPr>
              <w:t xml:space="preserve">1 </w:t>
            </w:r>
          </w:p>
        </w:tc>
        <w:tc>
          <w:tcPr>
            <w:tcW w:w="1004" w:type="dxa"/>
            <w:tcBorders>
              <w:top w:val="single" w:sz="6" w:space="0" w:color="000000"/>
              <w:left w:val="single" w:sz="6" w:space="0" w:color="000000"/>
              <w:bottom w:val="single" w:sz="6" w:space="0" w:color="000000"/>
              <w:right w:val="single" w:sz="6" w:space="0" w:color="000000"/>
            </w:tcBorders>
          </w:tcPr>
          <w:p w14:paraId="5D25B92D" w14:textId="77777777" w:rsidR="002D58E4" w:rsidRDefault="00F721D4">
            <w:pPr>
              <w:rPr>
                <w:sz w:val="20"/>
                <w:szCs w:val="20"/>
              </w:rPr>
            </w:pPr>
            <w:r>
              <w:rPr>
                <w:sz w:val="20"/>
                <w:szCs w:val="20"/>
              </w:rPr>
              <w:t xml:space="preserve">RCT </w:t>
            </w:r>
            <w:r>
              <w:rPr>
                <w:sz w:val="20"/>
                <w:szCs w:val="20"/>
                <w:vertAlign w:val="superscript"/>
              </w:rPr>
              <w:t>1</w:t>
            </w:r>
          </w:p>
        </w:tc>
        <w:tc>
          <w:tcPr>
            <w:tcW w:w="820" w:type="dxa"/>
            <w:tcBorders>
              <w:top w:val="single" w:sz="6" w:space="0" w:color="000000"/>
              <w:left w:val="single" w:sz="6" w:space="0" w:color="000000"/>
              <w:bottom w:val="single" w:sz="6" w:space="0" w:color="000000"/>
              <w:right w:val="single" w:sz="6" w:space="0" w:color="000000"/>
            </w:tcBorders>
          </w:tcPr>
          <w:p w14:paraId="0B3DDAAD" w14:textId="77777777" w:rsidR="002D58E4" w:rsidRDefault="00F721D4">
            <w:pPr>
              <w:rPr>
                <w:sz w:val="20"/>
                <w:szCs w:val="20"/>
              </w:rPr>
            </w:pPr>
            <w:r>
              <w:rPr>
                <w:sz w:val="20"/>
                <w:szCs w:val="20"/>
              </w:rPr>
              <w:t xml:space="preserve">serious </w:t>
            </w:r>
            <w:r>
              <w:rPr>
                <w:sz w:val="20"/>
                <w:szCs w:val="20"/>
                <w:vertAlign w:val="superscript"/>
              </w:rPr>
              <w:t>a</w:t>
            </w:r>
          </w:p>
        </w:tc>
        <w:tc>
          <w:tcPr>
            <w:tcW w:w="986" w:type="dxa"/>
            <w:tcBorders>
              <w:top w:val="single" w:sz="6" w:space="0" w:color="000000"/>
              <w:left w:val="single" w:sz="6" w:space="0" w:color="000000"/>
              <w:bottom w:val="single" w:sz="6" w:space="0" w:color="000000"/>
              <w:right w:val="single" w:sz="6" w:space="0" w:color="000000"/>
            </w:tcBorders>
          </w:tcPr>
          <w:p w14:paraId="5EFAE4D4"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5A298BE1" w14:textId="77777777" w:rsidR="002D58E4" w:rsidRDefault="00F721D4">
            <w:pPr>
              <w:rPr>
                <w:sz w:val="20"/>
                <w:szCs w:val="20"/>
              </w:rPr>
            </w:pPr>
            <w:r>
              <w:rPr>
                <w:sz w:val="20"/>
                <w:szCs w:val="20"/>
              </w:rPr>
              <w:t xml:space="preserve">not serious </w:t>
            </w:r>
          </w:p>
        </w:tc>
        <w:tc>
          <w:tcPr>
            <w:tcW w:w="853" w:type="dxa"/>
            <w:tcBorders>
              <w:top w:val="single" w:sz="6" w:space="0" w:color="000000"/>
              <w:left w:val="single" w:sz="6" w:space="0" w:color="000000"/>
              <w:bottom w:val="single" w:sz="6" w:space="0" w:color="000000"/>
              <w:right w:val="single" w:sz="6" w:space="0" w:color="000000"/>
            </w:tcBorders>
          </w:tcPr>
          <w:p w14:paraId="06E8220A" w14:textId="77777777" w:rsidR="002D58E4" w:rsidRDefault="00F721D4">
            <w:pPr>
              <w:rPr>
                <w:sz w:val="20"/>
                <w:szCs w:val="20"/>
              </w:rPr>
            </w:pPr>
            <w:r>
              <w:rPr>
                <w:sz w:val="20"/>
                <w:szCs w:val="20"/>
              </w:rPr>
              <w:t xml:space="preserve">serious </w:t>
            </w:r>
            <w:r>
              <w:rPr>
                <w:sz w:val="20"/>
                <w:szCs w:val="20"/>
                <w:vertAlign w:val="superscript"/>
              </w:rPr>
              <w:t>c</w:t>
            </w:r>
          </w:p>
        </w:tc>
        <w:tc>
          <w:tcPr>
            <w:tcW w:w="966" w:type="dxa"/>
            <w:tcBorders>
              <w:top w:val="single" w:sz="6" w:space="0" w:color="000000"/>
              <w:left w:val="single" w:sz="6" w:space="0" w:color="000000"/>
              <w:bottom w:val="single" w:sz="6" w:space="0" w:color="000000"/>
              <w:right w:val="single" w:sz="6" w:space="0" w:color="000000"/>
            </w:tcBorders>
          </w:tcPr>
          <w:p w14:paraId="126E914F" w14:textId="77777777" w:rsidR="002D58E4" w:rsidRDefault="00F721D4">
            <w:pPr>
              <w:rPr>
                <w:sz w:val="20"/>
                <w:szCs w:val="20"/>
              </w:rPr>
            </w:pPr>
            <w:r>
              <w:rPr>
                <w:sz w:val="20"/>
                <w:szCs w:val="20"/>
              </w:rPr>
              <w:t xml:space="preserve">none </w:t>
            </w:r>
          </w:p>
        </w:tc>
        <w:tc>
          <w:tcPr>
            <w:tcW w:w="1191" w:type="dxa"/>
            <w:gridSpan w:val="2"/>
            <w:tcBorders>
              <w:top w:val="single" w:sz="6" w:space="0" w:color="000000"/>
              <w:left w:val="single" w:sz="6" w:space="0" w:color="000000"/>
              <w:bottom w:val="single" w:sz="6" w:space="0" w:color="000000"/>
              <w:right w:val="single" w:sz="6" w:space="0" w:color="000000"/>
            </w:tcBorders>
          </w:tcPr>
          <w:p w14:paraId="36C9359A" w14:textId="77777777" w:rsidR="002D58E4" w:rsidRDefault="00F721D4">
            <w:pPr>
              <w:jc w:val="center"/>
              <w:rPr>
                <w:sz w:val="20"/>
                <w:szCs w:val="20"/>
              </w:rPr>
            </w:pPr>
            <w:r>
              <w:rPr>
                <w:sz w:val="20"/>
                <w:szCs w:val="20"/>
              </w:rPr>
              <w:t xml:space="preserve">3/47 </w:t>
            </w:r>
          </w:p>
          <w:p w14:paraId="601A2DBC" w14:textId="77777777" w:rsidR="002D58E4" w:rsidRDefault="00F721D4">
            <w:pPr>
              <w:jc w:val="center"/>
              <w:rPr>
                <w:sz w:val="20"/>
                <w:szCs w:val="20"/>
              </w:rPr>
            </w:pPr>
            <w:r>
              <w:rPr>
                <w:sz w:val="20"/>
                <w:szCs w:val="20"/>
              </w:rPr>
              <w:t xml:space="preserve">(6.4%) </w:t>
            </w:r>
          </w:p>
        </w:tc>
        <w:tc>
          <w:tcPr>
            <w:tcW w:w="1108" w:type="dxa"/>
            <w:tcBorders>
              <w:top w:val="single" w:sz="6" w:space="0" w:color="000000"/>
              <w:left w:val="single" w:sz="6" w:space="0" w:color="000000"/>
              <w:bottom w:val="single" w:sz="6" w:space="0" w:color="000000"/>
              <w:right w:val="single" w:sz="6" w:space="0" w:color="000000"/>
            </w:tcBorders>
          </w:tcPr>
          <w:p w14:paraId="67596880" w14:textId="77777777" w:rsidR="002D58E4" w:rsidRDefault="00F721D4">
            <w:pPr>
              <w:jc w:val="center"/>
              <w:rPr>
                <w:sz w:val="20"/>
                <w:szCs w:val="20"/>
              </w:rPr>
            </w:pPr>
            <w:r>
              <w:rPr>
                <w:sz w:val="20"/>
                <w:szCs w:val="20"/>
              </w:rPr>
              <w:t xml:space="preserve">5/35 </w:t>
            </w:r>
          </w:p>
          <w:p w14:paraId="6C0AE338" w14:textId="77777777" w:rsidR="002D58E4" w:rsidRDefault="00F721D4">
            <w:pPr>
              <w:jc w:val="center"/>
              <w:rPr>
                <w:sz w:val="20"/>
                <w:szCs w:val="20"/>
              </w:rPr>
            </w:pPr>
            <w:r>
              <w:rPr>
                <w:sz w:val="20"/>
                <w:szCs w:val="20"/>
              </w:rPr>
              <w:t xml:space="preserve">(14.3%) </w:t>
            </w:r>
          </w:p>
        </w:tc>
        <w:tc>
          <w:tcPr>
            <w:tcW w:w="1386" w:type="dxa"/>
            <w:tcBorders>
              <w:top w:val="single" w:sz="6" w:space="0" w:color="000000"/>
              <w:left w:val="single" w:sz="6" w:space="0" w:color="000000"/>
              <w:bottom w:val="single" w:sz="6" w:space="0" w:color="000000"/>
              <w:right w:val="single" w:sz="6" w:space="0" w:color="000000"/>
            </w:tcBorders>
          </w:tcPr>
          <w:p w14:paraId="78BBCAAF" w14:textId="77777777" w:rsidR="002D58E4" w:rsidRDefault="00F721D4">
            <w:pPr>
              <w:jc w:val="center"/>
              <w:rPr>
                <w:sz w:val="20"/>
                <w:szCs w:val="20"/>
              </w:rPr>
            </w:pPr>
            <w:r>
              <w:rPr>
                <w:sz w:val="20"/>
                <w:szCs w:val="20"/>
              </w:rPr>
              <w:t>RR 0.45</w:t>
            </w:r>
            <w:r>
              <w:rPr>
                <w:sz w:val="20"/>
                <w:szCs w:val="20"/>
              </w:rPr>
              <w:br/>
              <w:t xml:space="preserve">(0.11 to 1.75) </w:t>
            </w:r>
          </w:p>
        </w:tc>
        <w:tc>
          <w:tcPr>
            <w:tcW w:w="2334" w:type="dxa"/>
            <w:tcBorders>
              <w:top w:val="single" w:sz="6" w:space="0" w:color="000000"/>
              <w:left w:val="single" w:sz="6" w:space="0" w:color="000000"/>
              <w:bottom w:val="single" w:sz="6" w:space="0" w:color="000000"/>
              <w:right w:val="single" w:sz="6" w:space="0" w:color="000000"/>
            </w:tcBorders>
          </w:tcPr>
          <w:p w14:paraId="575B98C7" w14:textId="77777777" w:rsidR="002D58E4" w:rsidRDefault="00F721D4">
            <w:pPr>
              <w:jc w:val="center"/>
              <w:rPr>
                <w:sz w:val="20"/>
                <w:szCs w:val="20"/>
              </w:rPr>
            </w:pPr>
            <w:r>
              <w:rPr>
                <w:sz w:val="20"/>
                <w:szCs w:val="20"/>
              </w:rPr>
              <w:t>79 fewer per 1,000</w:t>
            </w:r>
            <w:r>
              <w:rPr>
                <w:sz w:val="20"/>
                <w:szCs w:val="20"/>
              </w:rPr>
              <w:br/>
              <w:t xml:space="preserve">(from 107 more to 127 fewer) </w:t>
            </w:r>
          </w:p>
        </w:tc>
        <w:tc>
          <w:tcPr>
            <w:tcW w:w="1241" w:type="dxa"/>
            <w:tcBorders>
              <w:top w:val="single" w:sz="6" w:space="0" w:color="000000"/>
              <w:left w:val="single" w:sz="6" w:space="0" w:color="000000"/>
              <w:bottom w:val="single" w:sz="6" w:space="0" w:color="000000"/>
              <w:right w:val="single" w:sz="6" w:space="0" w:color="000000"/>
            </w:tcBorders>
          </w:tcPr>
          <w:p w14:paraId="7000F83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703F1B5D" w14:textId="77777777" w:rsidR="002D58E4" w:rsidRDefault="00F721D4">
            <w:pPr>
              <w:rPr>
                <w:sz w:val="20"/>
                <w:szCs w:val="20"/>
              </w:rPr>
            </w:pPr>
            <w:r>
              <w:rPr>
                <w:sz w:val="20"/>
                <w:szCs w:val="20"/>
              </w:rPr>
              <w:t xml:space="preserve">IMPORTANT </w:t>
            </w:r>
          </w:p>
        </w:tc>
      </w:tr>
      <w:tr w:rsidR="002D58E4" w14:paraId="7F0966FF" w14:textId="77777777" w:rsidTr="00FF641A">
        <w:tc>
          <w:tcPr>
            <w:tcW w:w="14742"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C5BF66C" w14:textId="77777777" w:rsidR="002D58E4" w:rsidRDefault="00F721D4">
            <w:pPr>
              <w:rPr>
                <w:sz w:val="20"/>
                <w:szCs w:val="20"/>
              </w:rPr>
            </w:pPr>
            <w:r>
              <w:rPr>
                <w:b/>
                <w:sz w:val="20"/>
                <w:szCs w:val="20"/>
              </w:rPr>
              <w:lastRenderedPageBreak/>
              <w:t xml:space="preserve">Gastrointestinal Adverse Events </w:t>
            </w:r>
          </w:p>
        </w:tc>
      </w:tr>
      <w:tr w:rsidR="002D58E4" w14:paraId="0162BA29" w14:textId="77777777" w:rsidTr="00FF641A">
        <w:tc>
          <w:tcPr>
            <w:tcW w:w="727" w:type="dxa"/>
            <w:tcBorders>
              <w:top w:val="single" w:sz="6" w:space="0" w:color="000000"/>
              <w:left w:val="single" w:sz="6" w:space="0" w:color="000000"/>
              <w:bottom w:val="single" w:sz="6" w:space="0" w:color="000000"/>
              <w:right w:val="single" w:sz="6" w:space="0" w:color="000000"/>
            </w:tcBorders>
          </w:tcPr>
          <w:p w14:paraId="26C135B5" w14:textId="77777777" w:rsidR="002D58E4" w:rsidRDefault="00F721D4">
            <w:pPr>
              <w:rPr>
                <w:sz w:val="20"/>
                <w:szCs w:val="20"/>
              </w:rPr>
            </w:pPr>
            <w:r>
              <w:rPr>
                <w:sz w:val="20"/>
                <w:szCs w:val="20"/>
              </w:rPr>
              <w:t xml:space="preserve">4 </w:t>
            </w:r>
          </w:p>
        </w:tc>
        <w:tc>
          <w:tcPr>
            <w:tcW w:w="1004" w:type="dxa"/>
            <w:tcBorders>
              <w:top w:val="single" w:sz="6" w:space="0" w:color="000000"/>
              <w:left w:val="single" w:sz="6" w:space="0" w:color="000000"/>
              <w:bottom w:val="single" w:sz="6" w:space="0" w:color="000000"/>
              <w:right w:val="single" w:sz="6" w:space="0" w:color="000000"/>
            </w:tcBorders>
          </w:tcPr>
          <w:p w14:paraId="5D3617F9" w14:textId="77777777" w:rsidR="002D58E4" w:rsidRDefault="00F721D4">
            <w:pPr>
              <w:rPr>
                <w:sz w:val="20"/>
                <w:szCs w:val="20"/>
              </w:rPr>
            </w:pPr>
            <w:r>
              <w:rPr>
                <w:sz w:val="20"/>
                <w:szCs w:val="20"/>
              </w:rPr>
              <w:t xml:space="preserve">RCT </w:t>
            </w:r>
            <w:r>
              <w:rPr>
                <w:sz w:val="20"/>
                <w:szCs w:val="20"/>
                <w:vertAlign w:val="superscript"/>
              </w:rPr>
              <w:t>1,3,4,5</w:t>
            </w:r>
          </w:p>
        </w:tc>
        <w:tc>
          <w:tcPr>
            <w:tcW w:w="820" w:type="dxa"/>
            <w:tcBorders>
              <w:top w:val="single" w:sz="6" w:space="0" w:color="000000"/>
              <w:left w:val="single" w:sz="6" w:space="0" w:color="000000"/>
              <w:bottom w:val="single" w:sz="6" w:space="0" w:color="000000"/>
              <w:right w:val="single" w:sz="6" w:space="0" w:color="000000"/>
            </w:tcBorders>
          </w:tcPr>
          <w:p w14:paraId="7F42A6A3" w14:textId="77777777" w:rsidR="002D58E4" w:rsidRDefault="00F721D4">
            <w:pPr>
              <w:rPr>
                <w:sz w:val="20"/>
                <w:szCs w:val="20"/>
              </w:rPr>
            </w:pPr>
            <w:r>
              <w:rPr>
                <w:sz w:val="20"/>
                <w:szCs w:val="20"/>
              </w:rPr>
              <w:t xml:space="preserve">serious </w:t>
            </w:r>
            <w:r>
              <w:rPr>
                <w:sz w:val="20"/>
                <w:szCs w:val="20"/>
                <w:vertAlign w:val="superscript"/>
              </w:rPr>
              <w:t>a</w:t>
            </w:r>
          </w:p>
        </w:tc>
        <w:tc>
          <w:tcPr>
            <w:tcW w:w="986" w:type="dxa"/>
            <w:tcBorders>
              <w:top w:val="single" w:sz="6" w:space="0" w:color="000000"/>
              <w:left w:val="single" w:sz="6" w:space="0" w:color="000000"/>
              <w:bottom w:val="single" w:sz="6" w:space="0" w:color="000000"/>
              <w:right w:val="single" w:sz="6" w:space="0" w:color="000000"/>
            </w:tcBorders>
          </w:tcPr>
          <w:p w14:paraId="3AFFACBB"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7D9262F6" w14:textId="77777777" w:rsidR="002D58E4" w:rsidRDefault="00F721D4">
            <w:pPr>
              <w:rPr>
                <w:sz w:val="20"/>
                <w:szCs w:val="20"/>
              </w:rPr>
            </w:pPr>
            <w:r>
              <w:rPr>
                <w:sz w:val="20"/>
                <w:szCs w:val="20"/>
              </w:rPr>
              <w:t xml:space="preserve">not serious </w:t>
            </w:r>
          </w:p>
        </w:tc>
        <w:tc>
          <w:tcPr>
            <w:tcW w:w="853" w:type="dxa"/>
            <w:tcBorders>
              <w:top w:val="single" w:sz="6" w:space="0" w:color="000000"/>
              <w:left w:val="single" w:sz="6" w:space="0" w:color="000000"/>
              <w:bottom w:val="single" w:sz="6" w:space="0" w:color="000000"/>
              <w:right w:val="single" w:sz="6" w:space="0" w:color="000000"/>
            </w:tcBorders>
          </w:tcPr>
          <w:p w14:paraId="73EB802F" w14:textId="77777777" w:rsidR="002D58E4" w:rsidRDefault="00F721D4">
            <w:pPr>
              <w:rPr>
                <w:sz w:val="20"/>
                <w:szCs w:val="20"/>
              </w:rPr>
            </w:pPr>
            <w:r>
              <w:rPr>
                <w:sz w:val="20"/>
                <w:szCs w:val="20"/>
              </w:rPr>
              <w:t>not serious</w:t>
            </w:r>
          </w:p>
        </w:tc>
        <w:tc>
          <w:tcPr>
            <w:tcW w:w="966" w:type="dxa"/>
            <w:tcBorders>
              <w:top w:val="single" w:sz="6" w:space="0" w:color="000000"/>
              <w:left w:val="single" w:sz="6" w:space="0" w:color="000000"/>
              <w:bottom w:val="single" w:sz="6" w:space="0" w:color="000000"/>
              <w:right w:val="single" w:sz="6" w:space="0" w:color="000000"/>
            </w:tcBorders>
          </w:tcPr>
          <w:p w14:paraId="2CA17EFD" w14:textId="77777777" w:rsidR="002D58E4" w:rsidRDefault="00F721D4">
            <w:pPr>
              <w:rPr>
                <w:sz w:val="20"/>
                <w:szCs w:val="20"/>
              </w:rPr>
            </w:pPr>
            <w:r>
              <w:rPr>
                <w:sz w:val="20"/>
                <w:szCs w:val="20"/>
              </w:rPr>
              <w:t xml:space="preserve">none </w:t>
            </w:r>
          </w:p>
        </w:tc>
        <w:tc>
          <w:tcPr>
            <w:tcW w:w="1191" w:type="dxa"/>
            <w:gridSpan w:val="2"/>
            <w:tcBorders>
              <w:top w:val="single" w:sz="6" w:space="0" w:color="000000"/>
              <w:left w:val="single" w:sz="6" w:space="0" w:color="000000"/>
              <w:bottom w:val="single" w:sz="6" w:space="0" w:color="000000"/>
              <w:right w:val="single" w:sz="6" w:space="0" w:color="000000"/>
            </w:tcBorders>
          </w:tcPr>
          <w:p w14:paraId="4A9189C0" w14:textId="77777777" w:rsidR="002D58E4" w:rsidRDefault="00F721D4">
            <w:pPr>
              <w:jc w:val="center"/>
              <w:rPr>
                <w:sz w:val="20"/>
                <w:szCs w:val="20"/>
              </w:rPr>
            </w:pPr>
            <w:r>
              <w:rPr>
                <w:sz w:val="20"/>
                <w:szCs w:val="20"/>
              </w:rPr>
              <w:t xml:space="preserve">17/180 </w:t>
            </w:r>
          </w:p>
          <w:p w14:paraId="4C5E5C6C" w14:textId="77777777" w:rsidR="002D58E4" w:rsidRDefault="00F721D4">
            <w:pPr>
              <w:jc w:val="center"/>
              <w:rPr>
                <w:sz w:val="20"/>
                <w:szCs w:val="20"/>
              </w:rPr>
            </w:pPr>
            <w:r>
              <w:rPr>
                <w:sz w:val="20"/>
                <w:szCs w:val="20"/>
              </w:rPr>
              <w:t xml:space="preserve">(9.4%) </w:t>
            </w:r>
          </w:p>
        </w:tc>
        <w:tc>
          <w:tcPr>
            <w:tcW w:w="1108" w:type="dxa"/>
            <w:tcBorders>
              <w:top w:val="single" w:sz="6" w:space="0" w:color="000000"/>
              <w:left w:val="single" w:sz="6" w:space="0" w:color="000000"/>
              <w:bottom w:val="single" w:sz="6" w:space="0" w:color="000000"/>
              <w:right w:val="single" w:sz="6" w:space="0" w:color="000000"/>
            </w:tcBorders>
          </w:tcPr>
          <w:p w14:paraId="5B0C749F" w14:textId="77777777" w:rsidR="002D58E4" w:rsidRDefault="00F721D4">
            <w:pPr>
              <w:jc w:val="center"/>
              <w:rPr>
                <w:sz w:val="20"/>
                <w:szCs w:val="20"/>
              </w:rPr>
            </w:pPr>
            <w:r>
              <w:rPr>
                <w:sz w:val="20"/>
                <w:szCs w:val="20"/>
              </w:rPr>
              <w:t xml:space="preserve">32/152 (21.1%) </w:t>
            </w:r>
          </w:p>
        </w:tc>
        <w:tc>
          <w:tcPr>
            <w:tcW w:w="1386" w:type="dxa"/>
            <w:tcBorders>
              <w:top w:val="single" w:sz="6" w:space="0" w:color="000000"/>
              <w:left w:val="single" w:sz="6" w:space="0" w:color="000000"/>
              <w:bottom w:val="single" w:sz="6" w:space="0" w:color="000000"/>
              <w:right w:val="single" w:sz="6" w:space="0" w:color="000000"/>
            </w:tcBorders>
          </w:tcPr>
          <w:p w14:paraId="07E2EC5B" w14:textId="77777777" w:rsidR="002D58E4" w:rsidRDefault="00F721D4">
            <w:pPr>
              <w:jc w:val="center"/>
              <w:rPr>
                <w:b/>
                <w:sz w:val="20"/>
                <w:szCs w:val="20"/>
              </w:rPr>
            </w:pPr>
            <w:r>
              <w:rPr>
                <w:b/>
                <w:sz w:val="20"/>
                <w:szCs w:val="20"/>
              </w:rPr>
              <w:t>RR 0.46</w:t>
            </w:r>
            <w:r>
              <w:rPr>
                <w:b/>
                <w:sz w:val="20"/>
                <w:szCs w:val="20"/>
              </w:rPr>
              <w:br/>
              <w:t xml:space="preserve">(0.27 to 0.80) </w:t>
            </w:r>
          </w:p>
        </w:tc>
        <w:tc>
          <w:tcPr>
            <w:tcW w:w="2334" w:type="dxa"/>
            <w:tcBorders>
              <w:top w:val="single" w:sz="6" w:space="0" w:color="000000"/>
              <w:left w:val="single" w:sz="6" w:space="0" w:color="000000"/>
              <w:bottom w:val="single" w:sz="6" w:space="0" w:color="000000"/>
              <w:right w:val="single" w:sz="6" w:space="0" w:color="000000"/>
            </w:tcBorders>
          </w:tcPr>
          <w:p w14:paraId="27920473" w14:textId="77777777" w:rsidR="002D58E4" w:rsidRDefault="00F721D4">
            <w:pPr>
              <w:jc w:val="center"/>
              <w:rPr>
                <w:b/>
                <w:sz w:val="20"/>
                <w:szCs w:val="20"/>
              </w:rPr>
            </w:pPr>
            <w:r>
              <w:rPr>
                <w:b/>
                <w:sz w:val="20"/>
                <w:szCs w:val="20"/>
              </w:rPr>
              <w:t>114 fewer per 1,000</w:t>
            </w:r>
            <w:r>
              <w:rPr>
                <w:b/>
                <w:sz w:val="20"/>
                <w:szCs w:val="20"/>
              </w:rPr>
              <w:br/>
              <w:t xml:space="preserve">(from 42 fewer to 154 fewer) </w:t>
            </w:r>
          </w:p>
        </w:tc>
        <w:tc>
          <w:tcPr>
            <w:tcW w:w="1241" w:type="dxa"/>
            <w:tcBorders>
              <w:top w:val="single" w:sz="6" w:space="0" w:color="000000"/>
              <w:left w:val="single" w:sz="6" w:space="0" w:color="000000"/>
              <w:bottom w:val="single" w:sz="6" w:space="0" w:color="000000"/>
              <w:right w:val="single" w:sz="6" w:space="0" w:color="000000"/>
            </w:tcBorders>
          </w:tcPr>
          <w:p w14:paraId="27C17BC2"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34" w:type="dxa"/>
            <w:tcBorders>
              <w:top w:val="single" w:sz="6" w:space="0" w:color="000000"/>
              <w:left w:val="single" w:sz="6" w:space="0" w:color="000000"/>
              <w:bottom w:val="single" w:sz="6" w:space="0" w:color="000000"/>
              <w:right w:val="single" w:sz="6" w:space="0" w:color="000000"/>
            </w:tcBorders>
          </w:tcPr>
          <w:p w14:paraId="44B57BFF" w14:textId="77777777" w:rsidR="002D58E4" w:rsidRDefault="00F721D4">
            <w:pPr>
              <w:rPr>
                <w:sz w:val="20"/>
                <w:szCs w:val="20"/>
              </w:rPr>
            </w:pPr>
            <w:r>
              <w:rPr>
                <w:sz w:val="20"/>
                <w:szCs w:val="20"/>
              </w:rPr>
              <w:t>IMPORTANT</w:t>
            </w:r>
          </w:p>
        </w:tc>
      </w:tr>
      <w:tr w:rsidR="002D58E4" w14:paraId="7C38976C" w14:textId="77777777" w:rsidTr="00FF641A">
        <w:tc>
          <w:tcPr>
            <w:tcW w:w="14742"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38C662D" w14:textId="77777777" w:rsidR="002D58E4" w:rsidRDefault="00F721D4">
            <w:pPr>
              <w:rPr>
                <w:sz w:val="20"/>
                <w:szCs w:val="20"/>
              </w:rPr>
            </w:pPr>
            <w:r>
              <w:rPr>
                <w:b/>
                <w:sz w:val="20"/>
                <w:szCs w:val="20"/>
              </w:rPr>
              <w:t xml:space="preserve">Allergic reaction </w:t>
            </w:r>
          </w:p>
        </w:tc>
      </w:tr>
      <w:tr w:rsidR="002D58E4" w14:paraId="43B445BD" w14:textId="77777777" w:rsidTr="00FF641A">
        <w:tc>
          <w:tcPr>
            <w:tcW w:w="727" w:type="dxa"/>
            <w:tcBorders>
              <w:top w:val="single" w:sz="6" w:space="0" w:color="000000"/>
              <w:left w:val="single" w:sz="6" w:space="0" w:color="000000"/>
              <w:bottom w:val="single" w:sz="6" w:space="0" w:color="000000"/>
              <w:right w:val="single" w:sz="6" w:space="0" w:color="000000"/>
            </w:tcBorders>
          </w:tcPr>
          <w:p w14:paraId="2216160D" w14:textId="77777777" w:rsidR="002D58E4" w:rsidRDefault="00F721D4">
            <w:pPr>
              <w:rPr>
                <w:sz w:val="20"/>
                <w:szCs w:val="20"/>
              </w:rPr>
            </w:pPr>
            <w:r>
              <w:rPr>
                <w:sz w:val="20"/>
                <w:szCs w:val="20"/>
              </w:rPr>
              <w:t xml:space="preserve">5 </w:t>
            </w:r>
          </w:p>
        </w:tc>
        <w:tc>
          <w:tcPr>
            <w:tcW w:w="1004" w:type="dxa"/>
            <w:tcBorders>
              <w:top w:val="single" w:sz="6" w:space="0" w:color="000000"/>
              <w:left w:val="single" w:sz="6" w:space="0" w:color="000000"/>
              <w:bottom w:val="single" w:sz="6" w:space="0" w:color="000000"/>
              <w:right w:val="single" w:sz="6" w:space="0" w:color="000000"/>
            </w:tcBorders>
          </w:tcPr>
          <w:p w14:paraId="4458C877" w14:textId="77777777" w:rsidR="002D58E4" w:rsidRDefault="00F721D4">
            <w:pPr>
              <w:rPr>
                <w:sz w:val="20"/>
                <w:szCs w:val="20"/>
              </w:rPr>
            </w:pPr>
            <w:r>
              <w:rPr>
                <w:sz w:val="20"/>
                <w:szCs w:val="20"/>
              </w:rPr>
              <w:t xml:space="preserve">RCT </w:t>
            </w:r>
            <w:r>
              <w:rPr>
                <w:sz w:val="20"/>
                <w:szCs w:val="20"/>
                <w:vertAlign w:val="superscript"/>
              </w:rPr>
              <w:t>1,2,3,4,5</w:t>
            </w:r>
          </w:p>
        </w:tc>
        <w:tc>
          <w:tcPr>
            <w:tcW w:w="820" w:type="dxa"/>
            <w:tcBorders>
              <w:top w:val="single" w:sz="6" w:space="0" w:color="000000"/>
              <w:left w:val="single" w:sz="6" w:space="0" w:color="000000"/>
              <w:bottom w:val="single" w:sz="6" w:space="0" w:color="000000"/>
              <w:right w:val="single" w:sz="6" w:space="0" w:color="000000"/>
            </w:tcBorders>
          </w:tcPr>
          <w:p w14:paraId="1D0F4B9C" w14:textId="77777777" w:rsidR="002D58E4" w:rsidRDefault="00F721D4">
            <w:pPr>
              <w:rPr>
                <w:sz w:val="20"/>
                <w:szCs w:val="20"/>
              </w:rPr>
            </w:pPr>
            <w:r>
              <w:rPr>
                <w:sz w:val="20"/>
                <w:szCs w:val="20"/>
              </w:rPr>
              <w:t xml:space="preserve">serious </w:t>
            </w:r>
            <w:r>
              <w:rPr>
                <w:sz w:val="20"/>
                <w:szCs w:val="20"/>
                <w:vertAlign w:val="superscript"/>
              </w:rPr>
              <w:t>a</w:t>
            </w:r>
          </w:p>
        </w:tc>
        <w:tc>
          <w:tcPr>
            <w:tcW w:w="986" w:type="dxa"/>
            <w:tcBorders>
              <w:top w:val="single" w:sz="6" w:space="0" w:color="000000"/>
              <w:left w:val="single" w:sz="6" w:space="0" w:color="000000"/>
              <w:bottom w:val="single" w:sz="6" w:space="0" w:color="000000"/>
              <w:right w:val="single" w:sz="6" w:space="0" w:color="000000"/>
            </w:tcBorders>
          </w:tcPr>
          <w:p w14:paraId="6ED452FF"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6280EABC" w14:textId="77777777" w:rsidR="002D58E4" w:rsidRDefault="00F721D4">
            <w:pPr>
              <w:rPr>
                <w:sz w:val="20"/>
                <w:szCs w:val="20"/>
              </w:rPr>
            </w:pPr>
            <w:r>
              <w:rPr>
                <w:sz w:val="20"/>
                <w:szCs w:val="20"/>
              </w:rPr>
              <w:t xml:space="preserve">not serious </w:t>
            </w:r>
          </w:p>
        </w:tc>
        <w:tc>
          <w:tcPr>
            <w:tcW w:w="853" w:type="dxa"/>
            <w:tcBorders>
              <w:top w:val="single" w:sz="6" w:space="0" w:color="000000"/>
              <w:left w:val="single" w:sz="6" w:space="0" w:color="000000"/>
              <w:bottom w:val="single" w:sz="6" w:space="0" w:color="000000"/>
              <w:right w:val="single" w:sz="6" w:space="0" w:color="000000"/>
            </w:tcBorders>
          </w:tcPr>
          <w:p w14:paraId="06BA0FEF" w14:textId="77777777" w:rsidR="002D58E4" w:rsidRDefault="00F721D4">
            <w:pPr>
              <w:rPr>
                <w:sz w:val="20"/>
                <w:szCs w:val="20"/>
              </w:rPr>
            </w:pPr>
            <w:r>
              <w:rPr>
                <w:sz w:val="20"/>
                <w:szCs w:val="20"/>
              </w:rPr>
              <w:t xml:space="preserve">serious </w:t>
            </w:r>
            <w:r>
              <w:rPr>
                <w:sz w:val="20"/>
                <w:szCs w:val="20"/>
                <w:vertAlign w:val="superscript"/>
              </w:rPr>
              <w:t>c</w:t>
            </w:r>
          </w:p>
        </w:tc>
        <w:tc>
          <w:tcPr>
            <w:tcW w:w="966" w:type="dxa"/>
            <w:tcBorders>
              <w:top w:val="single" w:sz="6" w:space="0" w:color="000000"/>
              <w:left w:val="single" w:sz="6" w:space="0" w:color="000000"/>
              <w:bottom w:val="single" w:sz="6" w:space="0" w:color="000000"/>
              <w:right w:val="single" w:sz="6" w:space="0" w:color="000000"/>
            </w:tcBorders>
          </w:tcPr>
          <w:p w14:paraId="2B01EAF0" w14:textId="77777777" w:rsidR="002D58E4" w:rsidRDefault="00F721D4">
            <w:pPr>
              <w:rPr>
                <w:sz w:val="20"/>
                <w:szCs w:val="20"/>
              </w:rPr>
            </w:pPr>
            <w:r>
              <w:rPr>
                <w:sz w:val="20"/>
                <w:szCs w:val="20"/>
              </w:rPr>
              <w:t xml:space="preserve">none </w:t>
            </w:r>
          </w:p>
        </w:tc>
        <w:tc>
          <w:tcPr>
            <w:tcW w:w="1191" w:type="dxa"/>
            <w:gridSpan w:val="2"/>
            <w:tcBorders>
              <w:top w:val="single" w:sz="6" w:space="0" w:color="000000"/>
              <w:left w:val="single" w:sz="6" w:space="0" w:color="000000"/>
              <w:bottom w:val="single" w:sz="6" w:space="0" w:color="000000"/>
              <w:right w:val="single" w:sz="6" w:space="0" w:color="000000"/>
            </w:tcBorders>
          </w:tcPr>
          <w:p w14:paraId="039ECBFD" w14:textId="77777777" w:rsidR="002D58E4" w:rsidRDefault="00F721D4">
            <w:pPr>
              <w:jc w:val="center"/>
              <w:rPr>
                <w:sz w:val="20"/>
                <w:szCs w:val="20"/>
              </w:rPr>
            </w:pPr>
            <w:r>
              <w:rPr>
                <w:sz w:val="20"/>
                <w:szCs w:val="20"/>
              </w:rPr>
              <w:t xml:space="preserve">0/196 </w:t>
            </w:r>
          </w:p>
          <w:p w14:paraId="7E04515E" w14:textId="77777777" w:rsidR="002D58E4" w:rsidRDefault="00F721D4">
            <w:pPr>
              <w:jc w:val="center"/>
              <w:rPr>
                <w:sz w:val="20"/>
                <w:szCs w:val="20"/>
              </w:rPr>
            </w:pPr>
            <w:r>
              <w:rPr>
                <w:sz w:val="20"/>
                <w:szCs w:val="20"/>
              </w:rPr>
              <w:t xml:space="preserve">(0.0%) </w:t>
            </w:r>
          </w:p>
        </w:tc>
        <w:tc>
          <w:tcPr>
            <w:tcW w:w="1108" w:type="dxa"/>
            <w:tcBorders>
              <w:top w:val="single" w:sz="6" w:space="0" w:color="000000"/>
              <w:left w:val="single" w:sz="6" w:space="0" w:color="000000"/>
              <w:bottom w:val="single" w:sz="6" w:space="0" w:color="000000"/>
              <w:right w:val="single" w:sz="6" w:space="0" w:color="000000"/>
            </w:tcBorders>
          </w:tcPr>
          <w:p w14:paraId="06B286A7" w14:textId="77777777" w:rsidR="002D58E4" w:rsidRDefault="00F721D4">
            <w:pPr>
              <w:jc w:val="center"/>
              <w:rPr>
                <w:sz w:val="20"/>
                <w:szCs w:val="20"/>
              </w:rPr>
            </w:pPr>
            <w:r>
              <w:rPr>
                <w:sz w:val="20"/>
                <w:szCs w:val="20"/>
              </w:rPr>
              <w:t xml:space="preserve">14/174 (8.0%) </w:t>
            </w:r>
          </w:p>
        </w:tc>
        <w:tc>
          <w:tcPr>
            <w:tcW w:w="1386" w:type="dxa"/>
            <w:tcBorders>
              <w:top w:val="single" w:sz="6" w:space="0" w:color="000000"/>
              <w:left w:val="single" w:sz="6" w:space="0" w:color="000000"/>
              <w:bottom w:val="single" w:sz="6" w:space="0" w:color="000000"/>
              <w:right w:val="single" w:sz="6" w:space="0" w:color="000000"/>
            </w:tcBorders>
          </w:tcPr>
          <w:p w14:paraId="09E45FC1" w14:textId="77777777" w:rsidR="002D58E4" w:rsidRDefault="00F721D4">
            <w:pPr>
              <w:jc w:val="center"/>
              <w:rPr>
                <w:sz w:val="20"/>
                <w:szCs w:val="20"/>
              </w:rPr>
            </w:pPr>
            <w:r>
              <w:rPr>
                <w:sz w:val="20"/>
                <w:szCs w:val="20"/>
              </w:rPr>
              <w:t xml:space="preserve">NA </w:t>
            </w:r>
            <w:r>
              <w:rPr>
                <w:sz w:val="20"/>
                <w:szCs w:val="20"/>
                <w:vertAlign w:val="superscript"/>
              </w:rPr>
              <w:t>d</w:t>
            </w:r>
          </w:p>
          <w:p w14:paraId="193A339A" w14:textId="77777777" w:rsidR="002D58E4" w:rsidRDefault="002D58E4">
            <w:pPr>
              <w:jc w:val="center"/>
              <w:rPr>
                <w:b/>
                <w:sz w:val="20"/>
                <w:szCs w:val="20"/>
              </w:rPr>
            </w:pPr>
          </w:p>
        </w:tc>
        <w:tc>
          <w:tcPr>
            <w:tcW w:w="2334" w:type="dxa"/>
            <w:tcBorders>
              <w:top w:val="single" w:sz="6" w:space="0" w:color="000000"/>
              <w:left w:val="single" w:sz="6" w:space="0" w:color="000000"/>
              <w:bottom w:val="single" w:sz="6" w:space="0" w:color="000000"/>
              <w:right w:val="single" w:sz="6" w:space="0" w:color="000000"/>
            </w:tcBorders>
          </w:tcPr>
          <w:p w14:paraId="68DA4F2B" w14:textId="77777777" w:rsidR="002D58E4" w:rsidRDefault="00F721D4">
            <w:pPr>
              <w:jc w:val="center"/>
              <w:rPr>
                <w:sz w:val="20"/>
                <w:szCs w:val="20"/>
              </w:rPr>
            </w:pPr>
            <w:r>
              <w:rPr>
                <w:sz w:val="20"/>
                <w:szCs w:val="20"/>
              </w:rPr>
              <w:t>80 fewer per 1,000</w:t>
            </w:r>
            <w:r>
              <w:rPr>
                <w:sz w:val="20"/>
                <w:szCs w:val="20"/>
              </w:rPr>
              <w:br/>
            </w:r>
          </w:p>
        </w:tc>
        <w:tc>
          <w:tcPr>
            <w:tcW w:w="1241" w:type="dxa"/>
            <w:tcBorders>
              <w:top w:val="single" w:sz="6" w:space="0" w:color="000000"/>
              <w:left w:val="single" w:sz="6" w:space="0" w:color="000000"/>
              <w:bottom w:val="single" w:sz="6" w:space="0" w:color="000000"/>
              <w:right w:val="single" w:sz="6" w:space="0" w:color="000000"/>
            </w:tcBorders>
          </w:tcPr>
          <w:p w14:paraId="1A1C159E"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4" w:type="dxa"/>
            <w:tcBorders>
              <w:top w:val="single" w:sz="6" w:space="0" w:color="000000"/>
              <w:left w:val="single" w:sz="6" w:space="0" w:color="000000"/>
              <w:bottom w:val="single" w:sz="6" w:space="0" w:color="000000"/>
              <w:right w:val="single" w:sz="6" w:space="0" w:color="000000"/>
            </w:tcBorders>
          </w:tcPr>
          <w:p w14:paraId="4275FE94" w14:textId="77777777" w:rsidR="002D58E4" w:rsidRDefault="00F721D4">
            <w:pPr>
              <w:rPr>
                <w:sz w:val="20"/>
                <w:szCs w:val="20"/>
              </w:rPr>
            </w:pPr>
            <w:r>
              <w:rPr>
                <w:sz w:val="20"/>
                <w:szCs w:val="20"/>
              </w:rPr>
              <w:t>IMPORTANT</w:t>
            </w:r>
          </w:p>
        </w:tc>
      </w:tr>
    </w:tbl>
    <w:p w14:paraId="75E4328F" w14:textId="0AF3F64D" w:rsidR="002D58E4" w:rsidRDefault="00F721D4">
      <w:pPr>
        <w:spacing w:before="100" w:after="280"/>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 </w:t>
      </w:r>
      <w:r>
        <w:rPr>
          <w:b/>
          <w:color w:val="000000"/>
          <w:sz w:val="18"/>
          <w:szCs w:val="18"/>
        </w:rPr>
        <w:t>MD:</w:t>
      </w:r>
      <w:r>
        <w:rPr>
          <w:color w:val="000000"/>
          <w:sz w:val="18"/>
          <w:szCs w:val="18"/>
        </w:rPr>
        <w:t xml:space="preserve"> Mean difference</w:t>
      </w:r>
    </w:p>
    <w:p w14:paraId="6BC987D5" w14:textId="77777777" w:rsidR="00FF641A" w:rsidRDefault="00FF641A" w:rsidP="00FF641A">
      <w:pPr>
        <w:spacing w:before="280" w:after="0"/>
        <w:rPr>
          <w:b/>
          <w:color w:val="000000"/>
          <w:sz w:val="24"/>
          <w:szCs w:val="24"/>
        </w:rPr>
      </w:pPr>
      <w:r>
        <w:rPr>
          <w:b/>
          <w:color w:val="000000"/>
          <w:sz w:val="24"/>
          <w:szCs w:val="24"/>
        </w:rPr>
        <w:t>Explanations</w:t>
      </w:r>
    </w:p>
    <w:p w14:paraId="4E747C0E" w14:textId="2D6CD6D0" w:rsidR="002D58E4" w:rsidRDefault="00F721D4">
      <w:pPr>
        <w:spacing w:after="0" w:line="240" w:lineRule="auto"/>
        <w:rPr>
          <w:color w:val="000000"/>
          <w:sz w:val="18"/>
          <w:szCs w:val="18"/>
        </w:rPr>
      </w:pPr>
      <w:r>
        <w:rPr>
          <w:color w:val="000000"/>
          <w:sz w:val="18"/>
          <w:szCs w:val="18"/>
        </w:rPr>
        <w:t>a. All trials received at least one high risk of bias rating due to potentially inadequate blinding (self-reported outcomes).</w:t>
      </w:r>
    </w:p>
    <w:p w14:paraId="65C7F256" w14:textId="77777777" w:rsidR="002D58E4" w:rsidRDefault="00F721D4">
      <w:pPr>
        <w:spacing w:after="0" w:line="240" w:lineRule="auto"/>
        <w:rPr>
          <w:color w:val="000000"/>
          <w:sz w:val="18"/>
          <w:szCs w:val="18"/>
        </w:rPr>
      </w:pPr>
      <w:r>
        <w:rPr>
          <w:color w:val="000000"/>
          <w:sz w:val="18"/>
          <w:szCs w:val="18"/>
        </w:rPr>
        <w:t>b. Fragility due to small number of events</w:t>
      </w:r>
      <w:r>
        <w:rPr>
          <w:sz w:val="18"/>
          <w:szCs w:val="18"/>
        </w:rPr>
        <w:t xml:space="preserve"> and IOS criteria not met.</w:t>
      </w:r>
    </w:p>
    <w:p w14:paraId="42A8B17F" w14:textId="77777777" w:rsidR="002D58E4" w:rsidRDefault="00F721D4">
      <w:pPr>
        <w:spacing w:after="0" w:line="240" w:lineRule="auto"/>
        <w:rPr>
          <w:color w:val="000000"/>
          <w:sz w:val="18"/>
          <w:szCs w:val="18"/>
        </w:rPr>
      </w:pPr>
      <w:r>
        <w:rPr>
          <w:color w:val="000000"/>
          <w:sz w:val="18"/>
          <w:szCs w:val="18"/>
        </w:rPr>
        <w:t xml:space="preserve">c. 95% CI is wide and crossing the null value. </w:t>
      </w:r>
    </w:p>
    <w:p w14:paraId="5CAE3053" w14:textId="77777777" w:rsidR="002D58E4" w:rsidRDefault="00F721D4">
      <w:pPr>
        <w:spacing w:after="0" w:line="240" w:lineRule="auto"/>
        <w:rPr>
          <w:color w:val="000000"/>
          <w:sz w:val="18"/>
          <w:szCs w:val="18"/>
        </w:rPr>
      </w:pPr>
      <w:r>
        <w:rPr>
          <w:color w:val="000000"/>
          <w:sz w:val="18"/>
          <w:szCs w:val="18"/>
        </w:rPr>
        <w:t xml:space="preserve">d. Due to zero events in one study arm, unable to estimate relative risk. </w:t>
      </w:r>
    </w:p>
    <w:p w14:paraId="62BF7331" w14:textId="2FFCA718" w:rsidR="002D58E4" w:rsidRDefault="002D58E4" w:rsidP="00FF641A">
      <w:pPr>
        <w:rPr>
          <w:color w:val="0070C0"/>
          <w:sz w:val="24"/>
          <w:szCs w:val="24"/>
        </w:rPr>
        <w:sectPr w:rsidR="002D58E4" w:rsidSect="000F5BF4">
          <w:type w:val="continuous"/>
          <w:pgSz w:w="15840" w:h="12240"/>
          <w:pgMar w:top="720" w:right="672" w:bottom="720" w:left="720" w:header="720" w:footer="720" w:gutter="0"/>
          <w:cols w:space="720" w:equalWidth="0">
            <w:col w:w="14448"/>
          </w:cols>
        </w:sectPr>
      </w:pPr>
    </w:p>
    <w:p w14:paraId="2B872D18" w14:textId="77777777" w:rsidR="00FF641A" w:rsidRDefault="00FF641A">
      <w:pPr>
        <w:rPr>
          <w:b/>
          <w:sz w:val="32"/>
          <w:szCs w:val="32"/>
        </w:rPr>
      </w:pPr>
      <w:r>
        <w:rPr>
          <w:b/>
          <w:sz w:val="32"/>
          <w:szCs w:val="32"/>
        </w:rPr>
        <w:br w:type="page"/>
      </w:r>
    </w:p>
    <w:p w14:paraId="65B31A21" w14:textId="607CCB3B" w:rsidR="002D58E4" w:rsidRDefault="00F721D4">
      <w:pPr>
        <w:spacing w:before="240" w:after="0"/>
        <w:rPr>
          <w:b/>
          <w:sz w:val="32"/>
          <w:szCs w:val="32"/>
        </w:rPr>
      </w:pPr>
      <w:r>
        <w:rPr>
          <w:b/>
          <w:sz w:val="32"/>
          <w:szCs w:val="32"/>
        </w:rPr>
        <w:lastRenderedPageBreak/>
        <w:t xml:space="preserve">VII. How long should a patient with </w:t>
      </w:r>
      <w:r w:rsidR="008D091E">
        <w:rPr>
          <w:b/>
          <w:sz w:val="32"/>
          <w:szCs w:val="32"/>
        </w:rPr>
        <w:t xml:space="preserve">erythema migrans </w:t>
      </w:r>
      <w:r>
        <w:rPr>
          <w:b/>
          <w:sz w:val="32"/>
          <w:szCs w:val="32"/>
        </w:rPr>
        <w:t>be treated?</w:t>
      </w:r>
    </w:p>
    <w:p w14:paraId="22FE6372" w14:textId="77777777" w:rsidR="002D58E4" w:rsidRDefault="002D58E4">
      <w:pPr>
        <w:spacing w:after="0"/>
        <w:rPr>
          <w:sz w:val="18"/>
          <w:szCs w:val="18"/>
        </w:rPr>
      </w:pPr>
    </w:p>
    <w:p w14:paraId="1439BEC5" w14:textId="77777777" w:rsidR="002D58E4" w:rsidRDefault="00F721D4">
      <w:pPr>
        <w:spacing w:after="0"/>
        <w:rPr>
          <w:b/>
          <w:sz w:val="24"/>
          <w:szCs w:val="24"/>
          <w:u w:val="single"/>
        </w:rPr>
      </w:pPr>
      <w:r>
        <w:rPr>
          <w:b/>
          <w:sz w:val="24"/>
          <w:szCs w:val="24"/>
          <w:u w:val="single"/>
        </w:rPr>
        <w:t>10 DAYS DOXYCYCLINE vs. 20 DAYS DOXYCYCLINE</w:t>
      </w:r>
    </w:p>
    <w:p w14:paraId="06584172" w14:textId="77777777" w:rsidR="002D58E4" w:rsidRDefault="00F721D4">
      <w:pPr>
        <w:spacing w:after="0"/>
        <w:rPr>
          <w:b/>
        </w:rPr>
      </w:pPr>
      <w:r>
        <w:rPr>
          <w:b/>
        </w:rPr>
        <w:t>In patients with erythema migrans, should doxycycline be used for 10 days over 20 days?</w:t>
      </w:r>
    </w:p>
    <w:p w14:paraId="02D35689" w14:textId="77777777" w:rsidR="002D58E4" w:rsidRDefault="00F721D4">
      <w:pPr>
        <w:spacing w:after="0"/>
      </w:pPr>
      <w:r>
        <w:t>P: In patients with erythema migrans</w:t>
      </w:r>
    </w:p>
    <w:p w14:paraId="00AB6804" w14:textId="77777777" w:rsidR="002D58E4" w:rsidRDefault="00F721D4">
      <w:pPr>
        <w:spacing w:after="0"/>
      </w:pPr>
      <w:r>
        <w:t xml:space="preserve">I: 10-day course of Doxycycline </w:t>
      </w:r>
    </w:p>
    <w:p w14:paraId="4AC2154E" w14:textId="77777777" w:rsidR="002D58E4" w:rsidRDefault="00F721D4">
      <w:pPr>
        <w:spacing w:after="0"/>
      </w:pPr>
      <w:r>
        <w:t xml:space="preserve">C: 20-day course of Doxycycline </w:t>
      </w:r>
    </w:p>
    <w:p w14:paraId="12B8367D" w14:textId="77777777" w:rsidR="002D58E4" w:rsidRDefault="002D58E4">
      <w:pPr>
        <w:spacing w:after="0"/>
        <w:rPr>
          <w:b/>
          <w:sz w:val="18"/>
          <w:szCs w:val="18"/>
        </w:rPr>
      </w:pPr>
    </w:p>
    <w:p w14:paraId="400F0206" w14:textId="77777777" w:rsidR="002D58E4" w:rsidRDefault="00F721D4" w:rsidP="00DE33EC">
      <w:pPr>
        <w:rPr>
          <w:sz w:val="18"/>
          <w:szCs w:val="18"/>
        </w:rPr>
      </w:pPr>
      <w:r>
        <w:rPr>
          <w:b/>
          <w:sz w:val="18"/>
          <w:szCs w:val="18"/>
        </w:rPr>
        <w:t>Bibliography</w:t>
      </w:r>
      <w:r>
        <w:rPr>
          <w:sz w:val="18"/>
          <w:szCs w:val="18"/>
        </w:rPr>
        <w:t>: 1. Wormser, et al. Ann Intern Med. 2003 May 6; 138(9): 697-704.</w:t>
      </w:r>
    </w:p>
    <w:tbl>
      <w:tblPr>
        <w:tblStyle w:val="af7"/>
        <w:tblW w:w="1470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40"/>
        <w:gridCol w:w="710"/>
        <w:gridCol w:w="988"/>
        <w:gridCol w:w="994"/>
        <w:gridCol w:w="991"/>
        <w:gridCol w:w="1136"/>
        <w:gridCol w:w="861"/>
        <w:gridCol w:w="1137"/>
        <w:gridCol w:w="1132"/>
        <w:gridCol w:w="1276"/>
        <w:gridCol w:w="2268"/>
        <w:gridCol w:w="1134"/>
        <w:gridCol w:w="1234"/>
      </w:tblGrid>
      <w:tr w:rsidR="00FF641A" w14:paraId="06F1E405" w14:textId="77777777" w:rsidTr="000F5BF4">
        <w:tc>
          <w:tcPr>
            <w:tcW w:w="6520"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1ACD64E4" w14:textId="77777777" w:rsidR="00FF641A" w:rsidRDefault="00FF641A">
            <w:pPr>
              <w:jc w:val="center"/>
              <w:rPr>
                <w:b/>
                <w:sz w:val="20"/>
                <w:szCs w:val="20"/>
              </w:rPr>
            </w:pPr>
            <w:r>
              <w:rPr>
                <w:b/>
                <w:sz w:val="20"/>
                <w:szCs w:val="20"/>
              </w:rPr>
              <w:t>Certainty assessment</w:t>
            </w:r>
          </w:p>
        </w:tc>
        <w:tc>
          <w:tcPr>
            <w:tcW w:w="226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4A447F5" w14:textId="77777777" w:rsidR="00FF641A" w:rsidRDefault="00FF641A">
            <w:pPr>
              <w:jc w:val="center"/>
              <w:rPr>
                <w:b/>
                <w:sz w:val="18"/>
                <w:szCs w:val="18"/>
              </w:rPr>
            </w:pPr>
            <w:r>
              <w:rPr>
                <w:b/>
                <w:sz w:val="18"/>
                <w:szCs w:val="18"/>
              </w:rPr>
              <w:t>№ of Events/№ of patients</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D6966A2" w14:textId="77777777" w:rsidR="00FF641A" w:rsidRDefault="00FF641A">
            <w:pPr>
              <w:jc w:val="center"/>
              <w:rPr>
                <w:b/>
                <w:sz w:val="20"/>
                <w:szCs w:val="20"/>
              </w:rPr>
            </w:pPr>
            <w:r>
              <w:rPr>
                <w:b/>
                <w:sz w:val="20"/>
                <w:szCs w:val="20"/>
              </w:rPr>
              <w:t>Effect</w:t>
            </w:r>
          </w:p>
        </w:tc>
        <w:tc>
          <w:tcPr>
            <w:tcW w:w="1134" w:type="dxa"/>
            <w:vMerge w:val="restart"/>
            <w:tcBorders>
              <w:top w:val="single" w:sz="6" w:space="0" w:color="000000"/>
              <w:left w:val="single" w:sz="6" w:space="0" w:color="000000"/>
              <w:right w:val="single" w:sz="6" w:space="0" w:color="000000"/>
            </w:tcBorders>
            <w:shd w:val="clear" w:color="auto" w:fill="D9D9D9"/>
            <w:vAlign w:val="center"/>
          </w:tcPr>
          <w:p w14:paraId="0F932C85" w14:textId="77777777" w:rsidR="00FF641A" w:rsidRDefault="00FF641A">
            <w:pPr>
              <w:jc w:val="center"/>
              <w:rPr>
                <w:b/>
                <w:sz w:val="20"/>
                <w:szCs w:val="20"/>
              </w:rPr>
            </w:pPr>
            <w:r>
              <w:rPr>
                <w:b/>
                <w:sz w:val="20"/>
                <w:szCs w:val="20"/>
              </w:rPr>
              <w:t>Certainty</w:t>
            </w:r>
          </w:p>
        </w:tc>
        <w:tc>
          <w:tcPr>
            <w:tcW w:w="1234" w:type="dxa"/>
            <w:vMerge w:val="restart"/>
            <w:tcBorders>
              <w:top w:val="single" w:sz="6" w:space="0" w:color="000000"/>
              <w:left w:val="single" w:sz="6" w:space="0" w:color="000000"/>
              <w:right w:val="single" w:sz="6" w:space="0" w:color="000000"/>
            </w:tcBorders>
            <w:shd w:val="clear" w:color="auto" w:fill="D9D9D9"/>
            <w:vAlign w:val="center"/>
          </w:tcPr>
          <w:p w14:paraId="1C1FB1BA" w14:textId="77777777" w:rsidR="00FF641A" w:rsidRDefault="00FF641A">
            <w:pPr>
              <w:jc w:val="center"/>
              <w:rPr>
                <w:b/>
                <w:sz w:val="20"/>
                <w:szCs w:val="20"/>
              </w:rPr>
            </w:pPr>
            <w:r>
              <w:rPr>
                <w:b/>
                <w:sz w:val="20"/>
                <w:szCs w:val="20"/>
              </w:rPr>
              <w:t>Importance</w:t>
            </w:r>
          </w:p>
        </w:tc>
      </w:tr>
      <w:tr w:rsidR="00FF641A" w14:paraId="40A57C4E" w14:textId="77777777" w:rsidTr="000F5BF4">
        <w:tc>
          <w:tcPr>
            <w:tcW w:w="8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8C5572E" w14:textId="77777777" w:rsidR="00FF641A" w:rsidRDefault="00FF641A">
            <w:pPr>
              <w:jc w:val="center"/>
              <w:rPr>
                <w:b/>
                <w:sz w:val="20"/>
                <w:szCs w:val="20"/>
              </w:rPr>
            </w:pPr>
            <w:r>
              <w:rPr>
                <w:b/>
                <w:sz w:val="20"/>
                <w:szCs w:val="20"/>
              </w:rPr>
              <w:t>№ of studies</w:t>
            </w:r>
          </w:p>
        </w:tc>
        <w:tc>
          <w:tcPr>
            <w:tcW w:w="7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5AE3E81" w14:textId="77777777" w:rsidR="00FF641A" w:rsidRDefault="00FF641A">
            <w:pPr>
              <w:jc w:val="center"/>
              <w:rPr>
                <w:b/>
                <w:sz w:val="20"/>
                <w:szCs w:val="20"/>
              </w:rPr>
            </w:pPr>
            <w:r>
              <w:rPr>
                <w:b/>
                <w:sz w:val="20"/>
                <w:szCs w:val="20"/>
              </w:rPr>
              <w:t>Study design</w:t>
            </w:r>
          </w:p>
        </w:tc>
        <w:tc>
          <w:tcPr>
            <w:tcW w:w="98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A09694" w14:textId="77777777" w:rsidR="00FF641A" w:rsidRDefault="00FF641A">
            <w:pPr>
              <w:jc w:val="center"/>
              <w:rPr>
                <w:b/>
                <w:sz w:val="20"/>
                <w:szCs w:val="20"/>
              </w:rPr>
            </w:pPr>
            <w:r>
              <w:rPr>
                <w:b/>
                <w:sz w:val="20"/>
                <w:szCs w:val="20"/>
              </w:rPr>
              <w:t>Risk of bias</w:t>
            </w:r>
          </w:p>
        </w:tc>
        <w:tc>
          <w:tcPr>
            <w:tcW w:w="99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3BDA30E" w14:textId="77777777" w:rsidR="00FF641A" w:rsidRDefault="00FF641A">
            <w:pPr>
              <w:jc w:val="center"/>
              <w:rPr>
                <w:b/>
                <w:sz w:val="20"/>
                <w:szCs w:val="20"/>
              </w:rPr>
            </w:pPr>
            <w:r>
              <w:rPr>
                <w:b/>
                <w:sz w:val="20"/>
                <w:szCs w:val="20"/>
              </w:rPr>
              <w:t>Inconsistency</w:t>
            </w:r>
          </w:p>
        </w:tc>
        <w:tc>
          <w:tcPr>
            <w:tcW w:w="99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250A28" w14:textId="77777777" w:rsidR="00FF641A" w:rsidRDefault="00FF641A">
            <w:pPr>
              <w:jc w:val="center"/>
              <w:rPr>
                <w:b/>
                <w:sz w:val="20"/>
                <w:szCs w:val="20"/>
              </w:rPr>
            </w:pPr>
            <w:r>
              <w:rPr>
                <w:b/>
                <w:sz w:val="20"/>
                <w:szCs w:val="20"/>
              </w:rPr>
              <w:t>Indirectness</w:t>
            </w:r>
          </w:p>
        </w:tc>
        <w:tc>
          <w:tcPr>
            <w:tcW w:w="11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103719A" w14:textId="77777777" w:rsidR="00FF641A" w:rsidRDefault="00FF641A">
            <w:pPr>
              <w:jc w:val="center"/>
              <w:rPr>
                <w:b/>
                <w:sz w:val="20"/>
                <w:szCs w:val="20"/>
              </w:rPr>
            </w:pPr>
            <w:r>
              <w:rPr>
                <w:b/>
                <w:sz w:val="20"/>
                <w:szCs w:val="20"/>
              </w:rPr>
              <w:t>Imprecision</w:t>
            </w:r>
          </w:p>
        </w:tc>
        <w:tc>
          <w:tcPr>
            <w:tcW w:w="86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C2A0F51" w14:textId="77777777" w:rsidR="00FF641A" w:rsidRDefault="00FF641A">
            <w:pPr>
              <w:jc w:val="center"/>
              <w:rPr>
                <w:b/>
                <w:sz w:val="20"/>
                <w:szCs w:val="20"/>
              </w:rPr>
            </w:pPr>
            <w:r>
              <w:rPr>
                <w:b/>
                <w:sz w:val="20"/>
                <w:szCs w:val="20"/>
              </w:rPr>
              <w:t>Other considerations</w:t>
            </w:r>
          </w:p>
        </w:tc>
        <w:tc>
          <w:tcPr>
            <w:tcW w:w="113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49A5F42" w14:textId="77777777" w:rsidR="00FF641A" w:rsidRDefault="00FF641A">
            <w:pPr>
              <w:jc w:val="center"/>
              <w:rPr>
                <w:b/>
                <w:sz w:val="20"/>
                <w:szCs w:val="20"/>
              </w:rPr>
            </w:pPr>
            <w:r>
              <w:rPr>
                <w:b/>
                <w:sz w:val="20"/>
                <w:szCs w:val="20"/>
              </w:rPr>
              <w:t>Doxycycline 10 days</w:t>
            </w:r>
          </w:p>
        </w:tc>
        <w:tc>
          <w:tcPr>
            <w:tcW w:w="113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1452FBB" w14:textId="77777777" w:rsidR="00FF641A" w:rsidRDefault="00FF641A">
            <w:pPr>
              <w:jc w:val="center"/>
              <w:rPr>
                <w:b/>
                <w:sz w:val="20"/>
                <w:szCs w:val="20"/>
              </w:rPr>
            </w:pPr>
            <w:r>
              <w:rPr>
                <w:b/>
                <w:sz w:val="20"/>
                <w:szCs w:val="20"/>
              </w:rPr>
              <w:t>Doxycycline 20 days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450116" w14:textId="77777777" w:rsidR="00FF641A" w:rsidRDefault="00FF641A">
            <w:pPr>
              <w:jc w:val="center"/>
              <w:rPr>
                <w:b/>
                <w:sz w:val="20"/>
                <w:szCs w:val="20"/>
              </w:rPr>
            </w:pPr>
            <w:r>
              <w:rPr>
                <w:b/>
                <w:sz w:val="20"/>
                <w:szCs w:val="20"/>
              </w:rPr>
              <w:t>Relative</w:t>
            </w:r>
            <w:r>
              <w:rPr>
                <w:b/>
                <w:sz w:val="20"/>
                <w:szCs w:val="20"/>
              </w:rPr>
              <w:br/>
              <w:t>(95% CI)</w:t>
            </w:r>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0476F0D" w14:textId="77777777" w:rsidR="00FF641A" w:rsidRDefault="00FF641A">
            <w:pPr>
              <w:jc w:val="center"/>
              <w:rPr>
                <w:b/>
                <w:sz w:val="20"/>
                <w:szCs w:val="20"/>
              </w:rPr>
            </w:pPr>
            <w:r>
              <w:rPr>
                <w:b/>
                <w:sz w:val="20"/>
                <w:szCs w:val="20"/>
              </w:rPr>
              <w:t>Absolute</w:t>
            </w:r>
            <w:r>
              <w:rPr>
                <w:b/>
                <w:sz w:val="20"/>
                <w:szCs w:val="20"/>
              </w:rPr>
              <w:br/>
              <w:t>(95% CI)</w:t>
            </w:r>
          </w:p>
        </w:tc>
        <w:tc>
          <w:tcPr>
            <w:tcW w:w="1134" w:type="dxa"/>
            <w:vMerge/>
            <w:tcBorders>
              <w:left w:val="single" w:sz="6" w:space="0" w:color="000000"/>
              <w:bottom w:val="single" w:sz="6" w:space="0" w:color="000000"/>
              <w:right w:val="single" w:sz="6" w:space="0" w:color="000000"/>
            </w:tcBorders>
            <w:shd w:val="clear" w:color="auto" w:fill="D9D9D9"/>
            <w:vAlign w:val="center"/>
          </w:tcPr>
          <w:p w14:paraId="6F7C1931" w14:textId="77777777" w:rsidR="00FF641A" w:rsidRDefault="00FF641A">
            <w:pPr>
              <w:rPr>
                <w:b/>
                <w:sz w:val="20"/>
                <w:szCs w:val="20"/>
              </w:rPr>
            </w:pPr>
          </w:p>
        </w:tc>
        <w:tc>
          <w:tcPr>
            <w:tcW w:w="1234" w:type="dxa"/>
            <w:vMerge/>
            <w:tcBorders>
              <w:left w:val="single" w:sz="6" w:space="0" w:color="000000"/>
              <w:bottom w:val="single" w:sz="6" w:space="0" w:color="000000"/>
              <w:right w:val="single" w:sz="6" w:space="0" w:color="000000"/>
            </w:tcBorders>
            <w:shd w:val="clear" w:color="auto" w:fill="D9D9D9"/>
            <w:vAlign w:val="center"/>
          </w:tcPr>
          <w:p w14:paraId="06DF53FB" w14:textId="77777777" w:rsidR="00FF641A" w:rsidRDefault="00FF641A">
            <w:pPr>
              <w:rPr>
                <w:b/>
                <w:sz w:val="20"/>
                <w:szCs w:val="20"/>
              </w:rPr>
            </w:pPr>
          </w:p>
        </w:tc>
      </w:tr>
      <w:tr w:rsidR="002D58E4" w14:paraId="0A3BEACA" w14:textId="77777777" w:rsidTr="000F5BF4">
        <w:tc>
          <w:tcPr>
            <w:tcW w:w="1470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79E980D" w14:textId="77777777" w:rsidR="002D58E4" w:rsidRDefault="00F721D4">
            <w:pPr>
              <w:rPr>
                <w:sz w:val="20"/>
                <w:szCs w:val="20"/>
              </w:rPr>
            </w:pPr>
            <w:r>
              <w:rPr>
                <w:b/>
                <w:sz w:val="20"/>
                <w:szCs w:val="20"/>
              </w:rPr>
              <w:t xml:space="preserve">Resolution of Erythema Migrans </w:t>
            </w:r>
            <w:r>
              <w:rPr>
                <w:sz w:val="20"/>
                <w:szCs w:val="20"/>
              </w:rPr>
              <w:t>(a</w:t>
            </w:r>
            <w:r>
              <w:t xml:space="preserve">t </w:t>
            </w:r>
            <w:r>
              <w:rPr>
                <w:sz w:val="20"/>
                <w:szCs w:val="20"/>
              </w:rPr>
              <w:t>20 days)</w:t>
            </w:r>
          </w:p>
        </w:tc>
      </w:tr>
      <w:tr w:rsidR="002D58E4" w14:paraId="2FECB58A" w14:textId="77777777" w:rsidTr="000F5BF4">
        <w:tc>
          <w:tcPr>
            <w:tcW w:w="840" w:type="dxa"/>
            <w:tcBorders>
              <w:top w:val="single" w:sz="6" w:space="0" w:color="000000"/>
              <w:left w:val="single" w:sz="6" w:space="0" w:color="000000"/>
              <w:bottom w:val="single" w:sz="6" w:space="0" w:color="000000"/>
              <w:right w:val="single" w:sz="6" w:space="0" w:color="000000"/>
            </w:tcBorders>
          </w:tcPr>
          <w:p w14:paraId="37AB0679" w14:textId="77777777" w:rsidR="002D58E4" w:rsidRDefault="00F721D4">
            <w:pPr>
              <w:rPr>
                <w:sz w:val="20"/>
                <w:szCs w:val="20"/>
              </w:rPr>
            </w:pPr>
            <w:r>
              <w:rPr>
                <w:sz w:val="20"/>
                <w:szCs w:val="20"/>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3724278D"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010E0CAA" w14:textId="77777777" w:rsidR="002D58E4" w:rsidRDefault="00F721D4">
            <w:pPr>
              <w:rPr>
                <w:sz w:val="20"/>
                <w:szCs w:val="20"/>
              </w:rPr>
            </w:pPr>
            <w:r>
              <w:rPr>
                <w:sz w:val="20"/>
                <w:szCs w:val="20"/>
              </w:rPr>
              <w:t xml:space="preserve">not serious </w:t>
            </w:r>
          </w:p>
        </w:tc>
        <w:tc>
          <w:tcPr>
            <w:tcW w:w="994" w:type="dxa"/>
            <w:tcBorders>
              <w:top w:val="single" w:sz="6" w:space="0" w:color="000000"/>
              <w:left w:val="single" w:sz="6" w:space="0" w:color="000000"/>
              <w:bottom w:val="single" w:sz="6" w:space="0" w:color="000000"/>
              <w:right w:val="single" w:sz="6" w:space="0" w:color="000000"/>
            </w:tcBorders>
          </w:tcPr>
          <w:p w14:paraId="13089154" w14:textId="77777777" w:rsidR="002D58E4" w:rsidRDefault="00F721D4">
            <w:pPr>
              <w:rPr>
                <w:sz w:val="20"/>
                <w:szCs w:val="20"/>
              </w:rPr>
            </w:pPr>
            <w:r>
              <w:rPr>
                <w:sz w:val="20"/>
                <w:szCs w:val="20"/>
              </w:rPr>
              <w:t>not serious</w:t>
            </w:r>
          </w:p>
        </w:tc>
        <w:tc>
          <w:tcPr>
            <w:tcW w:w="991" w:type="dxa"/>
            <w:tcBorders>
              <w:top w:val="single" w:sz="6" w:space="0" w:color="000000"/>
              <w:left w:val="single" w:sz="6" w:space="0" w:color="000000"/>
              <w:bottom w:val="single" w:sz="6" w:space="0" w:color="000000"/>
              <w:right w:val="single" w:sz="6" w:space="0" w:color="000000"/>
            </w:tcBorders>
          </w:tcPr>
          <w:p w14:paraId="4ABC0681" w14:textId="77777777" w:rsidR="002D58E4" w:rsidRDefault="00F721D4">
            <w:pPr>
              <w:rPr>
                <w:sz w:val="20"/>
                <w:szCs w:val="20"/>
              </w:rPr>
            </w:pPr>
            <w:r>
              <w:rPr>
                <w:sz w:val="20"/>
                <w:szCs w:val="20"/>
              </w:rPr>
              <w:t xml:space="preserve">not serious </w:t>
            </w:r>
          </w:p>
        </w:tc>
        <w:tc>
          <w:tcPr>
            <w:tcW w:w="1136" w:type="dxa"/>
            <w:tcBorders>
              <w:top w:val="single" w:sz="6" w:space="0" w:color="000000"/>
              <w:left w:val="single" w:sz="6" w:space="0" w:color="000000"/>
              <w:bottom w:val="single" w:sz="6" w:space="0" w:color="000000"/>
              <w:right w:val="single" w:sz="6" w:space="0" w:color="000000"/>
            </w:tcBorders>
          </w:tcPr>
          <w:p w14:paraId="2A5250AE" w14:textId="77777777" w:rsidR="002D58E4" w:rsidRDefault="00F721D4">
            <w:pPr>
              <w:rPr>
                <w:sz w:val="20"/>
                <w:szCs w:val="20"/>
              </w:rPr>
            </w:pPr>
            <w:r>
              <w:rPr>
                <w:sz w:val="20"/>
                <w:szCs w:val="20"/>
              </w:rPr>
              <w:t xml:space="preserve">not serious </w:t>
            </w:r>
            <w:r>
              <w:rPr>
                <w:sz w:val="20"/>
                <w:szCs w:val="20"/>
                <w:vertAlign w:val="superscript"/>
              </w:rPr>
              <w:t>a</w:t>
            </w:r>
          </w:p>
        </w:tc>
        <w:tc>
          <w:tcPr>
            <w:tcW w:w="861" w:type="dxa"/>
            <w:tcBorders>
              <w:top w:val="single" w:sz="6" w:space="0" w:color="000000"/>
              <w:left w:val="single" w:sz="6" w:space="0" w:color="000000"/>
              <w:bottom w:val="single" w:sz="6" w:space="0" w:color="000000"/>
              <w:right w:val="single" w:sz="6" w:space="0" w:color="000000"/>
            </w:tcBorders>
          </w:tcPr>
          <w:p w14:paraId="32EDDBDC" w14:textId="77777777" w:rsidR="002D58E4" w:rsidRDefault="00F721D4">
            <w:pPr>
              <w:rPr>
                <w:sz w:val="20"/>
                <w:szCs w:val="20"/>
              </w:rPr>
            </w:pPr>
            <w:r>
              <w:rPr>
                <w:sz w:val="20"/>
                <w:szCs w:val="20"/>
              </w:rPr>
              <w:t xml:space="preserve">none </w:t>
            </w:r>
          </w:p>
        </w:tc>
        <w:tc>
          <w:tcPr>
            <w:tcW w:w="1137" w:type="dxa"/>
            <w:tcBorders>
              <w:top w:val="single" w:sz="6" w:space="0" w:color="000000"/>
              <w:left w:val="single" w:sz="6" w:space="0" w:color="000000"/>
              <w:bottom w:val="single" w:sz="6" w:space="0" w:color="000000"/>
              <w:right w:val="single" w:sz="6" w:space="0" w:color="000000"/>
            </w:tcBorders>
          </w:tcPr>
          <w:p w14:paraId="6A1846AF" w14:textId="77777777" w:rsidR="002D58E4" w:rsidRDefault="00F721D4">
            <w:pPr>
              <w:jc w:val="center"/>
              <w:rPr>
                <w:sz w:val="20"/>
                <w:szCs w:val="20"/>
              </w:rPr>
            </w:pPr>
            <w:r>
              <w:rPr>
                <w:sz w:val="20"/>
                <w:szCs w:val="20"/>
              </w:rPr>
              <w:t xml:space="preserve">47/48 (97.9%) </w:t>
            </w:r>
          </w:p>
        </w:tc>
        <w:tc>
          <w:tcPr>
            <w:tcW w:w="1132" w:type="dxa"/>
            <w:tcBorders>
              <w:top w:val="single" w:sz="6" w:space="0" w:color="000000"/>
              <w:left w:val="single" w:sz="6" w:space="0" w:color="000000"/>
              <w:bottom w:val="single" w:sz="6" w:space="0" w:color="000000"/>
              <w:right w:val="single" w:sz="6" w:space="0" w:color="000000"/>
            </w:tcBorders>
          </w:tcPr>
          <w:p w14:paraId="405C9784" w14:textId="77777777" w:rsidR="002D58E4" w:rsidRDefault="00F721D4">
            <w:pPr>
              <w:jc w:val="center"/>
              <w:rPr>
                <w:sz w:val="20"/>
                <w:szCs w:val="20"/>
              </w:rPr>
            </w:pPr>
            <w:r>
              <w:rPr>
                <w:sz w:val="20"/>
                <w:szCs w:val="20"/>
              </w:rPr>
              <w:t xml:space="preserve">45/45 (100.0%) </w:t>
            </w:r>
          </w:p>
        </w:tc>
        <w:tc>
          <w:tcPr>
            <w:tcW w:w="1276" w:type="dxa"/>
            <w:tcBorders>
              <w:top w:val="single" w:sz="6" w:space="0" w:color="000000"/>
              <w:left w:val="single" w:sz="6" w:space="0" w:color="000000"/>
              <w:bottom w:val="single" w:sz="6" w:space="0" w:color="000000"/>
              <w:right w:val="single" w:sz="6" w:space="0" w:color="000000"/>
            </w:tcBorders>
          </w:tcPr>
          <w:p w14:paraId="3B2D8B07" w14:textId="77777777" w:rsidR="002D58E4" w:rsidRDefault="00F721D4">
            <w:pPr>
              <w:jc w:val="center"/>
              <w:rPr>
                <w:sz w:val="20"/>
                <w:szCs w:val="20"/>
              </w:rPr>
            </w:pPr>
            <w:r>
              <w:rPr>
                <w:sz w:val="20"/>
                <w:szCs w:val="20"/>
              </w:rPr>
              <w:t>RR 0.98</w:t>
            </w:r>
            <w:r>
              <w:rPr>
                <w:sz w:val="20"/>
                <w:szCs w:val="20"/>
              </w:rPr>
              <w:br/>
              <w:t xml:space="preserve">(0.92 to 1.04) </w:t>
            </w:r>
          </w:p>
        </w:tc>
        <w:tc>
          <w:tcPr>
            <w:tcW w:w="2268" w:type="dxa"/>
            <w:tcBorders>
              <w:top w:val="single" w:sz="6" w:space="0" w:color="000000"/>
              <w:left w:val="single" w:sz="6" w:space="0" w:color="000000"/>
              <w:bottom w:val="single" w:sz="6" w:space="0" w:color="000000"/>
              <w:right w:val="single" w:sz="6" w:space="0" w:color="000000"/>
            </w:tcBorders>
          </w:tcPr>
          <w:p w14:paraId="5D3B70D8" w14:textId="77777777" w:rsidR="002D58E4" w:rsidRDefault="00F721D4">
            <w:pPr>
              <w:jc w:val="center"/>
              <w:rPr>
                <w:sz w:val="20"/>
                <w:szCs w:val="20"/>
              </w:rPr>
            </w:pPr>
            <w:r>
              <w:rPr>
                <w:sz w:val="20"/>
                <w:szCs w:val="20"/>
              </w:rPr>
              <w:t>20 fewer per 1,000</w:t>
            </w:r>
            <w:r>
              <w:rPr>
                <w:sz w:val="20"/>
                <w:szCs w:val="20"/>
              </w:rPr>
              <w:br/>
              <w:t xml:space="preserve">(from 80 fewer to 40 more) </w:t>
            </w:r>
          </w:p>
        </w:tc>
        <w:tc>
          <w:tcPr>
            <w:tcW w:w="1134" w:type="dxa"/>
            <w:tcBorders>
              <w:top w:val="single" w:sz="6" w:space="0" w:color="000000"/>
              <w:left w:val="single" w:sz="6" w:space="0" w:color="000000"/>
              <w:bottom w:val="single" w:sz="6" w:space="0" w:color="000000"/>
              <w:right w:val="single" w:sz="6" w:space="0" w:color="000000"/>
            </w:tcBorders>
          </w:tcPr>
          <w:p w14:paraId="4C64FE7C" w14:textId="77777777" w:rsidR="002D58E4" w:rsidRDefault="00F721D4">
            <w:pPr>
              <w:jc w:val="center"/>
              <w:rPr>
                <w:sz w:val="20"/>
                <w:szCs w:val="20"/>
              </w:rPr>
            </w:pPr>
            <w:r>
              <w:rPr>
                <w:rFonts w:ascii="Cambria Math" w:eastAsia="Cambria Math" w:hAnsi="Cambria Math" w:cs="Cambria Math"/>
                <w:sz w:val="20"/>
                <w:szCs w:val="20"/>
              </w:rPr>
              <w:t>⨁⨁⨁⨁</w:t>
            </w:r>
            <w:r>
              <w:rPr>
                <w:sz w:val="20"/>
                <w:szCs w:val="20"/>
              </w:rPr>
              <w:br/>
              <w:t>HIGH</w:t>
            </w:r>
          </w:p>
        </w:tc>
        <w:tc>
          <w:tcPr>
            <w:tcW w:w="1234" w:type="dxa"/>
            <w:tcBorders>
              <w:top w:val="single" w:sz="6" w:space="0" w:color="000000"/>
              <w:left w:val="single" w:sz="6" w:space="0" w:color="000000"/>
              <w:bottom w:val="single" w:sz="6" w:space="0" w:color="000000"/>
              <w:right w:val="single" w:sz="6" w:space="0" w:color="000000"/>
            </w:tcBorders>
          </w:tcPr>
          <w:p w14:paraId="5983CA17" w14:textId="77777777" w:rsidR="002D58E4" w:rsidRDefault="00F721D4">
            <w:pPr>
              <w:rPr>
                <w:sz w:val="20"/>
                <w:szCs w:val="20"/>
              </w:rPr>
            </w:pPr>
            <w:r>
              <w:rPr>
                <w:sz w:val="20"/>
                <w:szCs w:val="20"/>
              </w:rPr>
              <w:t xml:space="preserve">CRITICAL </w:t>
            </w:r>
          </w:p>
        </w:tc>
      </w:tr>
      <w:tr w:rsidR="002D58E4" w14:paraId="5B86C56A" w14:textId="77777777" w:rsidTr="000F5BF4">
        <w:tc>
          <w:tcPr>
            <w:tcW w:w="1470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6FD392A" w14:textId="77777777" w:rsidR="002D58E4" w:rsidRDefault="00F721D4">
            <w:pPr>
              <w:rPr>
                <w:sz w:val="20"/>
                <w:szCs w:val="20"/>
              </w:rPr>
            </w:pPr>
            <w:r>
              <w:rPr>
                <w:b/>
                <w:sz w:val="20"/>
                <w:szCs w:val="20"/>
              </w:rPr>
              <w:t xml:space="preserve">Patients Withdrawing due to Adverse Events </w:t>
            </w:r>
          </w:p>
        </w:tc>
      </w:tr>
      <w:tr w:rsidR="002D58E4" w14:paraId="0B2773A9" w14:textId="77777777" w:rsidTr="000F5BF4">
        <w:tc>
          <w:tcPr>
            <w:tcW w:w="840" w:type="dxa"/>
            <w:tcBorders>
              <w:top w:val="single" w:sz="6" w:space="0" w:color="000000"/>
              <w:left w:val="single" w:sz="6" w:space="0" w:color="000000"/>
              <w:bottom w:val="single" w:sz="6" w:space="0" w:color="000000"/>
              <w:right w:val="single" w:sz="6" w:space="0" w:color="000000"/>
            </w:tcBorders>
          </w:tcPr>
          <w:p w14:paraId="5C506672" w14:textId="77777777" w:rsidR="002D58E4" w:rsidRDefault="00F721D4">
            <w:pPr>
              <w:rPr>
                <w:sz w:val="20"/>
                <w:szCs w:val="20"/>
              </w:rPr>
            </w:pPr>
            <w:r>
              <w:rPr>
                <w:sz w:val="20"/>
                <w:szCs w:val="20"/>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137715AF"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5A878E20" w14:textId="77777777" w:rsidR="002D58E4" w:rsidRDefault="00F721D4">
            <w:pPr>
              <w:rPr>
                <w:sz w:val="20"/>
                <w:szCs w:val="20"/>
              </w:rPr>
            </w:pPr>
            <w:r>
              <w:rPr>
                <w:sz w:val="20"/>
                <w:szCs w:val="20"/>
              </w:rPr>
              <w:t xml:space="preserve">not serious </w:t>
            </w:r>
          </w:p>
        </w:tc>
        <w:tc>
          <w:tcPr>
            <w:tcW w:w="994" w:type="dxa"/>
            <w:tcBorders>
              <w:top w:val="single" w:sz="6" w:space="0" w:color="000000"/>
              <w:left w:val="single" w:sz="6" w:space="0" w:color="000000"/>
              <w:bottom w:val="single" w:sz="6" w:space="0" w:color="000000"/>
              <w:right w:val="single" w:sz="6" w:space="0" w:color="000000"/>
            </w:tcBorders>
          </w:tcPr>
          <w:p w14:paraId="1D643A45" w14:textId="77777777" w:rsidR="002D58E4" w:rsidRDefault="00F721D4">
            <w:pPr>
              <w:rPr>
                <w:sz w:val="20"/>
                <w:szCs w:val="20"/>
              </w:rPr>
            </w:pPr>
            <w:r>
              <w:rPr>
                <w:sz w:val="20"/>
                <w:szCs w:val="20"/>
              </w:rPr>
              <w:t>not serious</w:t>
            </w:r>
          </w:p>
        </w:tc>
        <w:tc>
          <w:tcPr>
            <w:tcW w:w="991" w:type="dxa"/>
            <w:tcBorders>
              <w:top w:val="single" w:sz="6" w:space="0" w:color="000000"/>
              <w:left w:val="single" w:sz="6" w:space="0" w:color="000000"/>
              <w:bottom w:val="single" w:sz="6" w:space="0" w:color="000000"/>
              <w:right w:val="single" w:sz="6" w:space="0" w:color="000000"/>
            </w:tcBorders>
          </w:tcPr>
          <w:p w14:paraId="291C17F9" w14:textId="77777777" w:rsidR="002D58E4" w:rsidRDefault="00F721D4">
            <w:pPr>
              <w:rPr>
                <w:sz w:val="20"/>
                <w:szCs w:val="20"/>
              </w:rPr>
            </w:pPr>
            <w:r>
              <w:rPr>
                <w:sz w:val="20"/>
                <w:szCs w:val="20"/>
              </w:rPr>
              <w:t xml:space="preserve">not serious </w:t>
            </w:r>
          </w:p>
        </w:tc>
        <w:tc>
          <w:tcPr>
            <w:tcW w:w="1136" w:type="dxa"/>
            <w:tcBorders>
              <w:top w:val="single" w:sz="6" w:space="0" w:color="000000"/>
              <w:left w:val="single" w:sz="6" w:space="0" w:color="000000"/>
              <w:bottom w:val="single" w:sz="6" w:space="0" w:color="000000"/>
              <w:right w:val="single" w:sz="6" w:space="0" w:color="000000"/>
            </w:tcBorders>
          </w:tcPr>
          <w:p w14:paraId="35D07A0F" w14:textId="77777777" w:rsidR="002D58E4" w:rsidRDefault="00F721D4">
            <w:pPr>
              <w:rPr>
                <w:sz w:val="20"/>
                <w:szCs w:val="20"/>
              </w:rPr>
            </w:pPr>
            <w:r>
              <w:rPr>
                <w:sz w:val="20"/>
                <w:szCs w:val="20"/>
              </w:rPr>
              <w:t xml:space="preserve">serious </w:t>
            </w:r>
            <w:r>
              <w:rPr>
                <w:sz w:val="20"/>
                <w:szCs w:val="20"/>
                <w:vertAlign w:val="superscript"/>
              </w:rPr>
              <w:t>b</w:t>
            </w:r>
          </w:p>
        </w:tc>
        <w:tc>
          <w:tcPr>
            <w:tcW w:w="861" w:type="dxa"/>
            <w:tcBorders>
              <w:top w:val="single" w:sz="6" w:space="0" w:color="000000"/>
              <w:left w:val="single" w:sz="6" w:space="0" w:color="000000"/>
              <w:bottom w:val="single" w:sz="6" w:space="0" w:color="000000"/>
              <w:right w:val="single" w:sz="6" w:space="0" w:color="000000"/>
            </w:tcBorders>
          </w:tcPr>
          <w:p w14:paraId="19E759AF" w14:textId="77777777" w:rsidR="002D58E4" w:rsidRDefault="00F721D4">
            <w:pPr>
              <w:rPr>
                <w:sz w:val="20"/>
                <w:szCs w:val="20"/>
              </w:rPr>
            </w:pPr>
            <w:r>
              <w:rPr>
                <w:sz w:val="20"/>
                <w:szCs w:val="20"/>
              </w:rPr>
              <w:t xml:space="preserve">none </w:t>
            </w:r>
          </w:p>
        </w:tc>
        <w:tc>
          <w:tcPr>
            <w:tcW w:w="1137" w:type="dxa"/>
            <w:tcBorders>
              <w:top w:val="single" w:sz="6" w:space="0" w:color="000000"/>
              <w:left w:val="single" w:sz="6" w:space="0" w:color="000000"/>
              <w:bottom w:val="single" w:sz="6" w:space="0" w:color="000000"/>
              <w:right w:val="single" w:sz="6" w:space="0" w:color="000000"/>
            </w:tcBorders>
          </w:tcPr>
          <w:p w14:paraId="5B6845F2" w14:textId="77777777" w:rsidR="002D58E4" w:rsidRDefault="00F721D4">
            <w:pPr>
              <w:jc w:val="center"/>
              <w:rPr>
                <w:sz w:val="20"/>
                <w:szCs w:val="20"/>
              </w:rPr>
            </w:pPr>
            <w:r>
              <w:rPr>
                <w:sz w:val="20"/>
                <w:szCs w:val="20"/>
              </w:rPr>
              <w:t xml:space="preserve">1/61 </w:t>
            </w:r>
          </w:p>
          <w:p w14:paraId="4A5037AB" w14:textId="77777777" w:rsidR="002D58E4" w:rsidRDefault="00F721D4">
            <w:pPr>
              <w:jc w:val="center"/>
              <w:rPr>
                <w:sz w:val="20"/>
                <w:szCs w:val="20"/>
              </w:rPr>
            </w:pPr>
            <w:r>
              <w:rPr>
                <w:sz w:val="20"/>
                <w:szCs w:val="20"/>
              </w:rPr>
              <w:t xml:space="preserve">(1.6%) </w:t>
            </w:r>
          </w:p>
        </w:tc>
        <w:tc>
          <w:tcPr>
            <w:tcW w:w="1132" w:type="dxa"/>
            <w:tcBorders>
              <w:top w:val="single" w:sz="6" w:space="0" w:color="000000"/>
              <w:left w:val="single" w:sz="6" w:space="0" w:color="000000"/>
              <w:bottom w:val="single" w:sz="6" w:space="0" w:color="000000"/>
              <w:right w:val="single" w:sz="6" w:space="0" w:color="000000"/>
            </w:tcBorders>
          </w:tcPr>
          <w:p w14:paraId="02748466" w14:textId="77777777" w:rsidR="002D58E4" w:rsidRDefault="00F721D4">
            <w:pPr>
              <w:jc w:val="center"/>
              <w:rPr>
                <w:sz w:val="20"/>
                <w:szCs w:val="20"/>
              </w:rPr>
            </w:pPr>
            <w:r>
              <w:rPr>
                <w:sz w:val="20"/>
                <w:szCs w:val="20"/>
              </w:rPr>
              <w:t xml:space="preserve">0/59 </w:t>
            </w:r>
          </w:p>
          <w:p w14:paraId="4B07F866" w14:textId="77777777" w:rsidR="002D58E4" w:rsidRDefault="00F721D4">
            <w:pPr>
              <w:jc w:val="center"/>
              <w:rPr>
                <w:sz w:val="20"/>
                <w:szCs w:val="20"/>
              </w:rPr>
            </w:pPr>
            <w:r>
              <w:rPr>
                <w:sz w:val="20"/>
                <w:szCs w:val="20"/>
              </w:rPr>
              <w:t xml:space="preserve">(0.0%) </w:t>
            </w:r>
          </w:p>
        </w:tc>
        <w:tc>
          <w:tcPr>
            <w:tcW w:w="1276" w:type="dxa"/>
            <w:tcBorders>
              <w:top w:val="single" w:sz="6" w:space="0" w:color="000000"/>
              <w:left w:val="single" w:sz="6" w:space="0" w:color="000000"/>
              <w:bottom w:val="single" w:sz="6" w:space="0" w:color="000000"/>
              <w:right w:val="single" w:sz="6" w:space="0" w:color="000000"/>
            </w:tcBorders>
          </w:tcPr>
          <w:p w14:paraId="0BD13581" w14:textId="77777777" w:rsidR="002D58E4" w:rsidRDefault="00F721D4">
            <w:pPr>
              <w:jc w:val="center"/>
              <w:rPr>
                <w:sz w:val="20"/>
                <w:szCs w:val="20"/>
              </w:rPr>
            </w:pPr>
            <w:r>
              <w:rPr>
                <w:sz w:val="20"/>
                <w:szCs w:val="20"/>
              </w:rPr>
              <w:t xml:space="preserve">NA </w:t>
            </w:r>
            <w:r>
              <w:rPr>
                <w:sz w:val="20"/>
                <w:szCs w:val="20"/>
                <w:vertAlign w:val="superscript"/>
              </w:rPr>
              <w:t>c</w:t>
            </w:r>
            <w:r>
              <w:rPr>
                <w:sz w:val="20"/>
                <w:szCs w:val="20"/>
              </w:rPr>
              <w:t xml:space="preserve"> </w:t>
            </w:r>
          </w:p>
          <w:p w14:paraId="73FE552D" w14:textId="77777777" w:rsidR="002D58E4" w:rsidRDefault="00F721D4">
            <w:pPr>
              <w:rPr>
                <w:sz w:val="20"/>
                <w:szCs w:val="20"/>
              </w:rPr>
            </w:pPr>
            <w:r>
              <w:rPr>
                <w:sz w:val="20"/>
                <w:szCs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7F168BD7" w14:textId="77777777" w:rsidR="002D58E4" w:rsidRDefault="00F721D4">
            <w:pPr>
              <w:jc w:val="center"/>
              <w:rPr>
                <w:sz w:val="20"/>
                <w:szCs w:val="20"/>
              </w:rPr>
            </w:pPr>
            <w:r>
              <w:rPr>
                <w:sz w:val="20"/>
                <w:szCs w:val="20"/>
              </w:rPr>
              <w:t>16 more per 1,000</w:t>
            </w:r>
          </w:p>
          <w:p w14:paraId="1EFFB7E9" w14:textId="77777777" w:rsidR="002D58E4" w:rsidRDefault="002D58E4">
            <w:pPr>
              <w:jc w:val="center"/>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533F226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34" w:type="dxa"/>
            <w:tcBorders>
              <w:top w:val="single" w:sz="6" w:space="0" w:color="000000"/>
              <w:left w:val="single" w:sz="6" w:space="0" w:color="000000"/>
              <w:bottom w:val="single" w:sz="6" w:space="0" w:color="000000"/>
              <w:right w:val="single" w:sz="6" w:space="0" w:color="000000"/>
            </w:tcBorders>
          </w:tcPr>
          <w:p w14:paraId="3817FBE6" w14:textId="77777777" w:rsidR="002D58E4" w:rsidRDefault="00F721D4">
            <w:pPr>
              <w:rPr>
                <w:sz w:val="20"/>
                <w:szCs w:val="20"/>
              </w:rPr>
            </w:pPr>
            <w:r>
              <w:rPr>
                <w:sz w:val="20"/>
                <w:szCs w:val="20"/>
              </w:rPr>
              <w:t>CRITICAL</w:t>
            </w:r>
          </w:p>
        </w:tc>
      </w:tr>
      <w:tr w:rsidR="002D58E4" w14:paraId="4B3B9BC3" w14:textId="77777777" w:rsidTr="000F5BF4">
        <w:tc>
          <w:tcPr>
            <w:tcW w:w="1470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38CCA5A" w14:textId="77777777" w:rsidR="002D58E4" w:rsidRDefault="00F721D4">
            <w:pPr>
              <w:rPr>
                <w:sz w:val="20"/>
                <w:szCs w:val="20"/>
              </w:rPr>
            </w:pPr>
            <w:r>
              <w:rPr>
                <w:b/>
                <w:sz w:val="20"/>
                <w:szCs w:val="20"/>
              </w:rPr>
              <w:t>Total Adverse Events</w:t>
            </w:r>
            <w:r>
              <w:rPr>
                <w:sz w:val="20"/>
                <w:szCs w:val="20"/>
              </w:rPr>
              <w:t xml:space="preserve"> </w:t>
            </w:r>
          </w:p>
        </w:tc>
      </w:tr>
      <w:tr w:rsidR="002D58E4" w14:paraId="45BC2AE6" w14:textId="77777777" w:rsidTr="000F5BF4">
        <w:tc>
          <w:tcPr>
            <w:tcW w:w="840" w:type="dxa"/>
            <w:tcBorders>
              <w:top w:val="single" w:sz="6" w:space="0" w:color="000000"/>
              <w:left w:val="single" w:sz="6" w:space="0" w:color="000000"/>
              <w:bottom w:val="single" w:sz="6" w:space="0" w:color="000000"/>
              <w:right w:val="single" w:sz="6" w:space="0" w:color="000000"/>
            </w:tcBorders>
          </w:tcPr>
          <w:p w14:paraId="48D3631A" w14:textId="77777777" w:rsidR="002D58E4" w:rsidRDefault="00F721D4">
            <w:pPr>
              <w:rPr>
                <w:sz w:val="20"/>
                <w:szCs w:val="20"/>
              </w:rPr>
            </w:pPr>
            <w:r>
              <w:rPr>
                <w:sz w:val="20"/>
                <w:szCs w:val="20"/>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708DBF6C"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08F5906B" w14:textId="77777777" w:rsidR="002D58E4" w:rsidRDefault="00F721D4">
            <w:pPr>
              <w:rPr>
                <w:sz w:val="20"/>
                <w:szCs w:val="20"/>
              </w:rPr>
            </w:pPr>
            <w:r>
              <w:rPr>
                <w:sz w:val="20"/>
                <w:szCs w:val="20"/>
              </w:rPr>
              <w:t xml:space="preserve">not serious </w:t>
            </w:r>
          </w:p>
        </w:tc>
        <w:tc>
          <w:tcPr>
            <w:tcW w:w="994" w:type="dxa"/>
            <w:tcBorders>
              <w:top w:val="single" w:sz="6" w:space="0" w:color="000000"/>
              <w:left w:val="single" w:sz="6" w:space="0" w:color="000000"/>
              <w:bottom w:val="single" w:sz="6" w:space="0" w:color="000000"/>
              <w:right w:val="single" w:sz="6" w:space="0" w:color="000000"/>
            </w:tcBorders>
          </w:tcPr>
          <w:p w14:paraId="4FB207DA" w14:textId="77777777" w:rsidR="002D58E4" w:rsidRDefault="00F721D4">
            <w:pPr>
              <w:rPr>
                <w:sz w:val="20"/>
                <w:szCs w:val="20"/>
              </w:rPr>
            </w:pPr>
            <w:r>
              <w:rPr>
                <w:sz w:val="20"/>
                <w:szCs w:val="20"/>
              </w:rPr>
              <w:t>not serious</w:t>
            </w:r>
          </w:p>
        </w:tc>
        <w:tc>
          <w:tcPr>
            <w:tcW w:w="991" w:type="dxa"/>
            <w:tcBorders>
              <w:top w:val="single" w:sz="6" w:space="0" w:color="000000"/>
              <w:left w:val="single" w:sz="6" w:space="0" w:color="000000"/>
              <w:bottom w:val="single" w:sz="6" w:space="0" w:color="000000"/>
              <w:right w:val="single" w:sz="6" w:space="0" w:color="000000"/>
            </w:tcBorders>
          </w:tcPr>
          <w:p w14:paraId="7BE40BC3" w14:textId="77777777" w:rsidR="002D58E4" w:rsidRDefault="00F721D4">
            <w:pPr>
              <w:rPr>
                <w:sz w:val="20"/>
                <w:szCs w:val="20"/>
              </w:rPr>
            </w:pPr>
            <w:r>
              <w:rPr>
                <w:sz w:val="20"/>
                <w:szCs w:val="20"/>
              </w:rPr>
              <w:t xml:space="preserve">not serious </w:t>
            </w:r>
          </w:p>
        </w:tc>
        <w:tc>
          <w:tcPr>
            <w:tcW w:w="1136" w:type="dxa"/>
            <w:tcBorders>
              <w:top w:val="single" w:sz="6" w:space="0" w:color="000000"/>
              <w:left w:val="single" w:sz="6" w:space="0" w:color="000000"/>
              <w:bottom w:val="single" w:sz="6" w:space="0" w:color="000000"/>
              <w:right w:val="single" w:sz="6" w:space="0" w:color="000000"/>
            </w:tcBorders>
          </w:tcPr>
          <w:p w14:paraId="76A4224F" w14:textId="77777777" w:rsidR="002D58E4" w:rsidRDefault="00F721D4">
            <w:pPr>
              <w:rPr>
                <w:sz w:val="20"/>
                <w:szCs w:val="20"/>
              </w:rPr>
            </w:pPr>
            <w:r>
              <w:rPr>
                <w:sz w:val="20"/>
                <w:szCs w:val="20"/>
              </w:rPr>
              <w:t xml:space="preserve">serious </w:t>
            </w:r>
            <w:r>
              <w:rPr>
                <w:sz w:val="20"/>
                <w:szCs w:val="20"/>
                <w:vertAlign w:val="superscript"/>
              </w:rPr>
              <w:t>d</w:t>
            </w:r>
          </w:p>
        </w:tc>
        <w:tc>
          <w:tcPr>
            <w:tcW w:w="861" w:type="dxa"/>
            <w:tcBorders>
              <w:top w:val="single" w:sz="6" w:space="0" w:color="000000"/>
              <w:left w:val="single" w:sz="6" w:space="0" w:color="000000"/>
              <w:bottom w:val="single" w:sz="6" w:space="0" w:color="000000"/>
              <w:right w:val="single" w:sz="6" w:space="0" w:color="000000"/>
            </w:tcBorders>
          </w:tcPr>
          <w:p w14:paraId="11C53540" w14:textId="77777777" w:rsidR="002D58E4" w:rsidRDefault="00F721D4">
            <w:pPr>
              <w:rPr>
                <w:sz w:val="20"/>
                <w:szCs w:val="20"/>
              </w:rPr>
            </w:pPr>
            <w:r>
              <w:rPr>
                <w:sz w:val="20"/>
                <w:szCs w:val="20"/>
              </w:rPr>
              <w:t xml:space="preserve">none </w:t>
            </w:r>
          </w:p>
        </w:tc>
        <w:tc>
          <w:tcPr>
            <w:tcW w:w="1137" w:type="dxa"/>
            <w:tcBorders>
              <w:top w:val="single" w:sz="6" w:space="0" w:color="000000"/>
              <w:left w:val="single" w:sz="6" w:space="0" w:color="000000"/>
              <w:bottom w:val="single" w:sz="6" w:space="0" w:color="000000"/>
              <w:right w:val="single" w:sz="6" w:space="0" w:color="000000"/>
            </w:tcBorders>
          </w:tcPr>
          <w:p w14:paraId="5598982A" w14:textId="77777777" w:rsidR="002D58E4" w:rsidRDefault="00F721D4">
            <w:pPr>
              <w:jc w:val="center"/>
              <w:rPr>
                <w:sz w:val="20"/>
                <w:szCs w:val="20"/>
              </w:rPr>
            </w:pPr>
            <w:r>
              <w:rPr>
                <w:sz w:val="20"/>
                <w:szCs w:val="20"/>
              </w:rPr>
              <w:t xml:space="preserve">27/61 (44.3%) </w:t>
            </w:r>
          </w:p>
        </w:tc>
        <w:tc>
          <w:tcPr>
            <w:tcW w:w="1132" w:type="dxa"/>
            <w:tcBorders>
              <w:top w:val="single" w:sz="6" w:space="0" w:color="000000"/>
              <w:left w:val="single" w:sz="6" w:space="0" w:color="000000"/>
              <w:bottom w:val="single" w:sz="6" w:space="0" w:color="000000"/>
              <w:right w:val="single" w:sz="6" w:space="0" w:color="000000"/>
            </w:tcBorders>
          </w:tcPr>
          <w:p w14:paraId="5A125AC6" w14:textId="77777777" w:rsidR="002D58E4" w:rsidRDefault="00F721D4">
            <w:pPr>
              <w:jc w:val="center"/>
              <w:rPr>
                <w:sz w:val="20"/>
                <w:szCs w:val="20"/>
              </w:rPr>
            </w:pPr>
            <w:r>
              <w:rPr>
                <w:sz w:val="20"/>
                <w:szCs w:val="20"/>
              </w:rPr>
              <w:t xml:space="preserve">25/59 </w:t>
            </w:r>
          </w:p>
          <w:p w14:paraId="0D313DC4" w14:textId="77777777" w:rsidR="002D58E4" w:rsidRDefault="00F721D4">
            <w:pPr>
              <w:jc w:val="center"/>
              <w:rPr>
                <w:sz w:val="20"/>
                <w:szCs w:val="20"/>
              </w:rPr>
            </w:pPr>
            <w:r>
              <w:rPr>
                <w:sz w:val="20"/>
                <w:szCs w:val="20"/>
              </w:rPr>
              <w:t xml:space="preserve">(42.4%) </w:t>
            </w:r>
          </w:p>
        </w:tc>
        <w:tc>
          <w:tcPr>
            <w:tcW w:w="1276" w:type="dxa"/>
            <w:tcBorders>
              <w:top w:val="single" w:sz="6" w:space="0" w:color="000000"/>
              <w:left w:val="single" w:sz="6" w:space="0" w:color="000000"/>
              <w:bottom w:val="single" w:sz="6" w:space="0" w:color="000000"/>
              <w:right w:val="single" w:sz="6" w:space="0" w:color="000000"/>
            </w:tcBorders>
          </w:tcPr>
          <w:p w14:paraId="351B47E5" w14:textId="77777777" w:rsidR="002D58E4" w:rsidRDefault="00F721D4">
            <w:pPr>
              <w:jc w:val="center"/>
              <w:rPr>
                <w:sz w:val="20"/>
                <w:szCs w:val="20"/>
              </w:rPr>
            </w:pPr>
            <w:r>
              <w:rPr>
                <w:sz w:val="20"/>
                <w:szCs w:val="20"/>
              </w:rPr>
              <w:t>RR 1.04</w:t>
            </w:r>
            <w:r>
              <w:rPr>
                <w:sz w:val="20"/>
                <w:szCs w:val="20"/>
              </w:rPr>
              <w:br/>
              <w:t xml:space="preserve">(0.69 to 1.57) </w:t>
            </w:r>
          </w:p>
        </w:tc>
        <w:tc>
          <w:tcPr>
            <w:tcW w:w="2268" w:type="dxa"/>
            <w:tcBorders>
              <w:top w:val="single" w:sz="6" w:space="0" w:color="000000"/>
              <w:left w:val="single" w:sz="6" w:space="0" w:color="000000"/>
              <w:bottom w:val="single" w:sz="6" w:space="0" w:color="000000"/>
              <w:right w:val="single" w:sz="6" w:space="0" w:color="000000"/>
            </w:tcBorders>
          </w:tcPr>
          <w:p w14:paraId="72A1DECD" w14:textId="77777777" w:rsidR="002D58E4" w:rsidRDefault="00F721D4">
            <w:pPr>
              <w:jc w:val="center"/>
              <w:rPr>
                <w:sz w:val="20"/>
                <w:szCs w:val="20"/>
              </w:rPr>
            </w:pPr>
            <w:r>
              <w:rPr>
                <w:sz w:val="20"/>
                <w:szCs w:val="20"/>
              </w:rPr>
              <w:t>17 more per 1,000</w:t>
            </w:r>
            <w:r>
              <w:rPr>
                <w:sz w:val="20"/>
                <w:szCs w:val="20"/>
              </w:rPr>
              <w:br/>
              <w:t xml:space="preserve">(from 131 fewer to 242 more) </w:t>
            </w:r>
          </w:p>
        </w:tc>
        <w:tc>
          <w:tcPr>
            <w:tcW w:w="1134" w:type="dxa"/>
            <w:tcBorders>
              <w:top w:val="single" w:sz="6" w:space="0" w:color="000000"/>
              <w:left w:val="single" w:sz="6" w:space="0" w:color="000000"/>
              <w:bottom w:val="single" w:sz="6" w:space="0" w:color="000000"/>
              <w:right w:val="single" w:sz="6" w:space="0" w:color="000000"/>
            </w:tcBorders>
          </w:tcPr>
          <w:p w14:paraId="46ED4AA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34" w:type="dxa"/>
            <w:tcBorders>
              <w:top w:val="single" w:sz="6" w:space="0" w:color="000000"/>
              <w:left w:val="single" w:sz="6" w:space="0" w:color="000000"/>
              <w:bottom w:val="single" w:sz="6" w:space="0" w:color="000000"/>
              <w:right w:val="single" w:sz="6" w:space="0" w:color="000000"/>
            </w:tcBorders>
          </w:tcPr>
          <w:p w14:paraId="1856670D" w14:textId="77777777" w:rsidR="002D58E4" w:rsidRDefault="00F721D4">
            <w:pPr>
              <w:rPr>
                <w:sz w:val="20"/>
                <w:szCs w:val="20"/>
              </w:rPr>
            </w:pPr>
            <w:r>
              <w:rPr>
                <w:sz w:val="20"/>
                <w:szCs w:val="20"/>
              </w:rPr>
              <w:t xml:space="preserve">IMPORTANT </w:t>
            </w:r>
          </w:p>
        </w:tc>
      </w:tr>
      <w:tr w:rsidR="002D58E4" w14:paraId="0395956B" w14:textId="77777777" w:rsidTr="000F5BF4">
        <w:tc>
          <w:tcPr>
            <w:tcW w:w="1470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EC696D7" w14:textId="77777777" w:rsidR="002D58E4" w:rsidRDefault="00F721D4">
            <w:pPr>
              <w:rPr>
                <w:sz w:val="20"/>
                <w:szCs w:val="20"/>
              </w:rPr>
            </w:pPr>
            <w:r>
              <w:rPr>
                <w:b/>
                <w:sz w:val="20"/>
                <w:szCs w:val="20"/>
              </w:rPr>
              <w:t>Gastrointestinal Adverse Events</w:t>
            </w:r>
            <w:r>
              <w:rPr>
                <w:sz w:val="20"/>
                <w:szCs w:val="20"/>
              </w:rPr>
              <w:t xml:space="preserve"> </w:t>
            </w:r>
          </w:p>
        </w:tc>
      </w:tr>
      <w:tr w:rsidR="002D58E4" w14:paraId="1AC5EB75" w14:textId="77777777" w:rsidTr="000F5BF4">
        <w:trPr>
          <w:trHeight w:val="580"/>
        </w:trPr>
        <w:tc>
          <w:tcPr>
            <w:tcW w:w="840" w:type="dxa"/>
            <w:tcBorders>
              <w:top w:val="single" w:sz="6" w:space="0" w:color="000000"/>
              <w:left w:val="single" w:sz="6" w:space="0" w:color="000000"/>
              <w:bottom w:val="single" w:sz="6" w:space="0" w:color="000000"/>
              <w:right w:val="single" w:sz="6" w:space="0" w:color="000000"/>
            </w:tcBorders>
          </w:tcPr>
          <w:p w14:paraId="1C91DF26" w14:textId="77777777" w:rsidR="002D58E4" w:rsidRDefault="00F721D4">
            <w:pPr>
              <w:rPr>
                <w:sz w:val="20"/>
                <w:szCs w:val="20"/>
              </w:rPr>
            </w:pPr>
            <w:r>
              <w:rPr>
                <w:sz w:val="20"/>
                <w:szCs w:val="20"/>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232A6DE7"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2DC6FA21" w14:textId="77777777" w:rsidR="002D58E4" w:rsidRDefault="00F721D4">
            <w:pPr>
              <w:rPr>
                <w:sz w:val="20"/>
                <w:szCs w:val="20"/>
              </w:rPr>
            </w:pPr>
            <w:r>
              <w:rPr>
                <w:sz w:val="20"/>
                <w:szCs w:val="20"/>
              </w:rPr>
              <w:t xml:space="preserve">not serious </w:t>
            </w:r>
          </w:p>
        </w:tc>
        <w:tc>
          <w:tcPr>
            <w:tcW w:w="994" w:type="dxa"/>
            <w:tcBorders>
              <w:top w:val="single" w:sz="6" w:space="0" w:color="000000"/>
              <w:left w:val="single" w:sz="6" w:space="0" w:color="000000"/>
              <w:bottom w:val="single" w:sz="6" w:space="0" w:color="000000"/>
              <w:right w:val="single" w:sz="6" w:space="0" w:color="000000"/>
            </w:tcBorders>
          </w:tcPr>
          <w:p w14:paraId="45769B34" w14:textId="77777777" w:rsidR="002D58E4" w:rsidRDefault="00F721D4">
            <w:pPr>
              <w:rPr>
                <w:sz w:val="20"/>
                <w:szCs w:val="20"/>
              </w:rPr>
            </w:pPr>
            <w:r>
              <w:rPr>
                <w:sz w:val="20"/>
                <w:szCs w:val="20"/>
              </w:rPr>
              <w:t>not serious</w:t>
            </w:r>
          </w:p>
        </w:tc>
        <w:tc>
          <w:tcPr>
            <w:tcW w:w="991" w:type="dxa"/>
            <w:tcBorders>
              <w:top w:val="single" w:sz="6" w:space="0" w:color="000000"/>
              <w:left w:val="single" w:sz="6" w:space="0" w:color="000000"/>
              <w:bottom w:val="single" w:sz="6" w:space="0" w:color="000000"/>
              <w:right w:val="single" w:sz="6" w:space="0" w:color="000000"/>
            </w:tcBorders>
          </w:tcPr>
          <w:p w14:paraId="722D0436" w14:textId="77777777" w:rsidR="002D58E4" w:rsidRDefault="00F721D4">
            <w:pPr>
              <w:rPr>
                <w:sz w:val="20"/>
                <w:szCs w:val="20"/>
              </w:rPr>
            </w:pPr>
            <w:r>
              <w:rPr>
                <w:sz w:val="20"/>
                <w:szCs w:val="20"/>
              </w:rPr>
              <w:t xml:space="preserve">not serious </w:t>
            </w:r>
          </w:p>
        </w:tc>
        <w:tc>
          <w:tcPr>
            <w:tcW w:w="1136" w:type="dxa"/>
            <w:tcBorders>
              <w:top w:val="single" w:sz="6" w:space="0" w:color="000000"/>
              <w:left w:val="single" w:sz="6" w:space="0" w:color="000000"/>
              <w:bottom w:val="single" w:sz="6" w:space="0" w:color="000000"/>
              <w:right w:val="single" w:sz="6" w:space="0" w:color="000000"/>
            </w:tcBorders>
          </w:tcPr>
          <w:p w14:paraId="44078227" w14:textId="77777777" w:rsidR="002D58E4" w:rsidRDefault="00F721D4">
            <w:pPr>
              <w:rPr>
                <w:sz w:val="20"/>
                <w:szCs w:val="20"/>
              </w:rPr>
            </w:pPr>
            <w:r>
              <w:rPr>
                <w:sz w:val="20"/>
                <w:szCs w:val="20"/>
              </w:rPr>
              <w:t xml:space="preserve"> serious </w:t>
            </w:r>
            <w:r>
              <w:rPr>
                <w:sz w:val="20"/>
                <w:szCs w:val="20"/>
                <w:vertAlign w:val="superscript"/>
              </w:rPr>
              <w:t>d</w:t>
            </w:r>
          </w:p>
        </w:tc>
        <w:tc>
          <w:tcPr>
            <w:tcW w:w="861" w:type="dxa"/>
            <w:tcBorders>
              <w:top w:val="single" w:sz="6" w:space="0" w:color="000000"/>
              <w:left w:val="single" w:sz="6" w:space="0" w:color="000000"/>
              <w:bottom w:val="single" w:sz="6" w:space="0" w:color="000000"/>
              <w:right w:val="single" w:sz="6" w:space="0" w:color="000000"/>
            </w:tcBorders>
          </w:tcPr>
          <w:p w14:paraId="6F18F9CB" w14:textId="77777777" w:rsidR="002D58E4" w:rsidRDefault="00F721D4">
            <w:pPr>
              <w:rPr>
                <w:sz w:val="20"/>
                <w:szCs w:val="20"/>
              </w:rPr>
            </w:pPr>
            <w:r>
              <w:rPr>
                <w:sz w:val="20"/>
                <w:szCs w:val="20"/>
              </w:rPr>
              <w:t xml:space="preserve">none </w:t>
            </w:r>
          </w:p>
        </w:tc>
        <w:tc>
          <w:tcPr>
            <w:tcW w:w="1137" w:type="dxa"/>
            <w:tcBorders>
              <w:top w:val="single" w:sz="6" w:space="0" w:color="000000"/>
              <w:left w:val="single" w:sz="6" w:space="0" w:color="000000"/>
              <w:bottom w:val="single" w:sz="6" w:space="0" w:color="000000"/>
              <w:right w:val="single" w:sz="6" w:space="0" w:color="000000"/>
            </w:tcBorders>
          </w:tcPr>
          <w:p w14:paraId="2C33C29B" w14:textId="77777777" w:rsidR="002D58E4" w:rsidRDefault="00F721D4">
            <w:pPr>
              <w:jc w:val="center"/>
              <w:rPr>
                <w:sz w:val="20"/>
                <w:szCs w:val="20"/>
              </w:rPr>
            </w:pPr>
            <w:r>
              <w:rPr>
                <w:sz w:val="20"/>
                <w:szCs w:val="20"/>
              </w:rPr>
              <w:t xml:space="preserve">21/61 (34.4%) </w:t>
            </w:r>
          </w:p>
        </w:tc>
        <w:tc>
          <w:tcPr>
            <w:tcW w:w="1132" w:type="dxa"/>
            <w:tcBorders>
              <w:top w:val="single" w:sz="6" w:space="0" w:color="000000"/>
              <w:left w:val="single" w:sz="6" w:space="0" w:color="000000"/>
              <w:bottom w:val="single" w:sz="6" w:space="0" w:color="000000"/>
              <w:right w:val="single" w:sz="6" w:space="0" w:color="000000"/>
            </w:tcBorders>
          </w:tcPr>
          <w:p w14:paraId="58BD707A" w14:textId="77777777" w:rsidR="002D58E4" w:rsidRDefault="00F721D4">
            <w:pPr>
              <w:jc w:val="center"/>
              <w:rPr>
                <w:sz w:val="20"/>
                <w:szCs w:val="20"/>
              </w:rPr>
            </w:pPr>
            <w:r>
              <w:rPr>
                <w:sz w:val="20"/>
                <w:szCs w:val="20"/>
              </w:rPr>
              <w:t xml:space="preserve">22/59 </w:t>
            </w:r>
          </w:p>
          <w:p w14:paraId="7690CCB0" w14:textId="77777777" w:rsidR="002D58E4" w:rsidRDefault="00F721D4">
            <w:pPr>
              <w:jc w:val="center"/>
              <w:rPr>
                <w:sz w:val="20"/>
                <w:szCs w:val="20"/>
              </w:rPr>
            </w:pPr>
            <w:r>
              <w:rPr>
                <w:sz w:val="20"/>
                <w:szCs w:val="20"/>
              </w:rPr>
              <w:t xml:space="preserve">(37.3%) </w:t>
            </w:r>
          </w:p>
        </w:tc>
        <w:tc>
          <w:tcPr>
            <w:tcW w:w="1276" w:type="dxa"/>
            <w:tcBorders>
              <w:top w:val="single" w:sz="6" w:space="0" w:color="000000"/>
              <w:left w:val="single" w:sz="6" w:space="0" w:color="000000"/>
              <w:bottom w:val="single" w:sz="6" w:space="0" w:color="000000"/>
              <w:right w:val="single" w:sz="6" w:space="0" w:color="000000"/>
            </w:tcBorders>
          </w:tcPr>
          <w:p w14:paraId="2C096A02" w14:textId="77777777" w:rsidR="002D58E4" w:rsidRDefault="00F721D4">
            <w:pPr>
              <w:jc w:val="center"/>
              <w:rPr>
                <w:sz w:val="20"/>
                <w:szCs w:val="20"/>
              </w:rPr>
            </w:pPr>
            <w:r>
              <w:rPr>
                <w:sz w:val="20"/>
                <w:szCs w:val="20"/>
              </w:rPr>
              <w:t>RR 0.92</w:t>
            </w:r>
            <w:r>
              <w:rPr>
                <w:sz w:val="20"/>
                <w:szCs w:val="20"/>
              </w:rPr>
              <w:br/>
              <w:t xml:space="preserve">(0.57 to 1.49) </w:t>
            </w:r>
          </w:p>
        </w:tc>
        <w:tc>
          <w:tcPr>
            <w:tcW w:w="2268" w:type="dxa"/>
            <w:tcBorders>
              <w:top w:val="single" w:sz="6" w:space="0" w:color="000000"/>
              <w:left w:val="single" w:sz="6" w:space="0" w:color="000000"/>
              <w:bottom w:val="single" w:sz="6" w:space="0" w:color="000000"/>
              <w:right w:val="single" w:sz="6" w:space="0" w:color="000000"/>
            </w:tcBorders>
          </w:tcPr>
          <w:p w14:paraId="0034A220" w14:textId="77777777" w:rsidR="002D58E4" w:rsidRDefault="00F721D4">
            <w:pPr>
              <w:jc w:val="center"/>
              <w:rPr>
                <w:sz w:val="20"/>
                <w:szCs w:val="20"/>
              </w:rPr>
            </w:pPr>
            <w:r>
              <w:rPr>
                <w:sz w:val="20"/>
                <w:szCs w:val="20"/>
              </w:rPr>
              <w:t>30 fewer per 1,000</w:t>
            </w:r>
            <w:r>
              <w:rPr>
                <w:sz w:val="20"/>
                <w:szCs w:val="20"/>
              </w:rPr>
              <w:br/>
              <w:t xml:space="preserve">(from 160 fewer to 183 more) </w:t>
            </w:r>
          </w:p>
        </w:tc>
        <w:tc>
          <w:tcPr>
            <w:tcW w:w="1134" w:type="dxa"/>
            <w:tcBorders>
              <w:top w:val="single" w:sz="6" w:space="0" w:color="000000"/>
              <w:left w:val="single" w:sz="6" w:space="0" w:color="000000"/>
              <w:bottom w:val="single" w:sz="6" w:space="0" w:color="000000"/>
              <w:right w:val="single" w:sz="6" w:space="0" w:color="000000"/>
            </w:tcBorders>
          </w:tcPr>
          <w:p w14:paraId="7E3C5F7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234" w:type="dxa"/>
            <w:tcBorders>
              <w:top w:val="single" w:sz="6" w:space="0" w:color="000000"/>
              <w:left w:val="single" w:sz="6" w:space="0" w:color="000000"/>
              <w:bottom w:val="single" w:sz="6" w:space="0" w:color="000000"/>
              <w:right w:val="single" w:sz="6" w:space="0" w:color="000000"/>
            </w:tcBorders>
          </w:tcPr>
          <w:p w14:paraId="6D276120" w14:textId="77777777" w:rsidR="002D58E4" w:rsidRDefault="00F721D4">
            <w:pPr>
              <w:rPr>
                <w:sz w:val="20"/>
                <w:szCs w:val="20"/>
              </w:rPr>
            </w:pPr>
            <w:r>
              <w:rPr>
                <w:sz w:val="20"/>
                <w:szCs w:val="20"/>
              </w:rPr>
              <w:t>IMPORTANT</w:t>
            </w:r>
          </w:p>
        </w:tc>
      </w:tr>
      <w:tr w:rsidR="002D58E4" w14:paraId="6E32BA0E" w14:textId="77777777" w:rsidTr="000F5BF4">
        <w:tc>
          <w:tcPr>
            <w:tcW w:w="1470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5E6B176" w14:textId="77777777" w:rsidR="002D58E4" w:rsidRDefault="00F721D4">
            <w:pPr>
              <w:rPr>
                <w:sz w:val="20"/>
                <w:szCs w:val="20"/>
              </w:rPr>
            </w:pPr>
            <w:r>
              <w:rPr>
                <w:b/>
                <w:sz w:val="20"/>
                <w:szCs w:val="20"/>
              </w:rPr>
              <w:t>Photosensitivity Reaction</w:t>
            </w:r>
            <w:r>
              <w:rPr>
                <w:sz w:val="20"/>
                <w:szCs w:val="20"/>
              </w:rPr>
              <w:t xml:space="preserve"> </w:t>
            </w:r>
          </w:p>
        </w:tc>
      </w:tr>
      <w:tr w:rsidR="002D58E4" w14:paraId="36621CAB" w14:textId="77777777" w:rsidTr="000F5BF4">
        <w:tc>
          <w:tcPr>
            <w:tcW w:w="840" w:type="dxa"/>
            <w:tcBorders>
              <w:top w:val="single" w:sz="6" w:space="0" w:color="000000"/>
              <w:left w:val="single" w:sz="6" w:space="0" w:color="000000"/>
              <w:bottom w:val="single" w:sz="6" w:space="0" w:color="000000"/>
              <w:right w:val="single" w:sz="6" w:space="0" w:color="000000"/>
            </w:tcBorders>
          </w:tcPr>
          <w:p w14:paraId="2B18A226" w14:textId="77777777" w:rsidR="002D58E4" w:rsidRDefault="00F721D4">
            <w:pPr>
              <w:rPr>
                <w:sz w:val="20"/>
                <w:szCs w:val="20"/>
              </w:rPr>
            </w:pPr>
            <w:r>
              <w:rPr>
                <w:sz w:val="20"/>
                <w:szCs w:val="20"/>
              </w:rPr>
              <w:lastRenderedPageBreak/>
              <w:t xml:space="preserve">1 </w:t>
            </w:r>
          </w:p>
        </w:tc>
        <w:tc>
          <w:tcPr>
            <w:tcW w:w="710" w:type="dxa"/>
            <w:tcBorders>
              <w:top w:val="single" w:sz="6" w:space="0" w:color="000000"/>
              <w:left w:val="single" w:sz="6" w:space="0" w:color="000000"/>
              <w:bottom w:val="single" w:sz="6" w:space="0" w:color="000000"/>
              <w:right w:val="single" w:sz="6" w:space="0" w:color="000000"/>
            </w:tcBorders>
          </w:tcPr>
          <w:p w14:paraId="6B115768"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13531530" w14:textId="77777777" w:rsidR="002D58E4" w:rsidRDefault="00F721D4">
            <w:pPr>
              <w:rPr>
                <w:sz w:val="20"/>
                <w:szCs w:val="20"/>
              </w:rPr>
            </w:pPr>
            <w:r>
              <w:rPr>
                <w:sz w:val="20"/>
                <w:szCs w:val="20"/>
              </w:rPr>
              <w:t xml:space="preserve">not serious </w:t>
            </w:r>
          </w:p>
        </w:tc>
        <w:tc>
          <w:tcPr>
            <w:tcW w:w="994" w:type="dxa"/>
            <w:tcBorders>
              <w:top w:val="single" w:sz="6" w:space="0" w:color="000000"/>
              <w:left w:val="single" w:sz="6" w:space="0" w:color="000000"/>
              <w:bottom w:val="single" w:sz="6" w:space="0" w:color="000000"/>
              <w:right w:val="single" w:sz="6" w:space="0" w:color="000000"/>
            </w:tcBorders>
          </w:tcPr>
          <w:p w14:paraId="75609532" w14:textId="77777777" w:rsidR="002D58E4" w:rsidRDefault="00F721D4">
            <w:pPr>
              <w:rPr>
                <w:sz w:val="20"/>
                <w:szCs w:val="20"/>
              </w:rPr>
            </w:pPr>
            <w:r>
              <w:rPr>
                <w:sz w:val="20"/>
                <w:szCs w:val="20"/>
              </w:rPr>
              <w:t>not serious</w:t>
            </w:r>
          </w:p>
        </w:tc>
        <w:tc>
          <w:tcPr>
            <w:tcW w:w="991" w:type="dxa"/>
            <w:tcBorders>
              <w:top w:val="single" w:sz="6" w:space="0" w:color="000000"/>
              <w:left w:val="single" w:sz="6" w:space="0" w:color="000000"/>
              <w:bottom w:val="single" w:sz="6" w:space="0" w:color="000000"/>
              <w:right w:val="single" w:sz="6" w:space="0" w:color="000000"/>
            </w:tcBorders>
          </w:tcPr>
          <w:p w14:paraId="1548994D" w14:textId="77777777" w:rsidR="002D58E4" w:rsidRDefault="00F721D4">
            <w:pPr>
              <w:rPr>
                <w:sz w:val="20"/>
                <w:szCs w:val="20"/>
              </w:rPr>
            </w:pPr>
            <w:r>
              <w:rPr>
                <w:sz w:val="20"/>
                <w:szCs w:val="20"/>
              </w:rPr>
              <w:t xml:space="preserve">not serious </w:t>
            </w:r>
          </w:p>
        </w:tc>
        <w:tc>
          <w:tcPr>
            <w:tcW w:w="1136" w:type="dxa"/>
            <w:tcBorders>
              <w:top w:val="single" w:sz="6" w:space="0" w:color="000000"/>
              <w:left w:val="single" w:sz="6" w:space="0" w:color="000000"/>
              <w:bottom w:val="single" w:sz="6" w:space="0" w:color="000000"/>
              <w:right w:val="single" w:sz="6" w:space="0" w:color="000000"/>
            </w:tcBorders>
          </w:tcPr>
          <w:p w14:paraId="1D2DD573" w14:textId="77777777" w:rsidR="002D58E4" w:rsidRDefault="00F721D4">
            <w:pPr>
              <w:rPr>
                <w:sz w:val="20"/>
                <w:szCs w:val="20"/>
              </w:rPr>
            </w:pPr>
            <w:r>
              <w:rPr>
                <w:sz w:val="20"/>
                <w:szCs w:val="20"/>
              </w:rPr>
              <w:t xml:space="preserve">serious </w:t>
            </w:r>
            <w:r>
              <w:rPr>
                <w:sz w:val="20"/>
                <w:szCs w:val="20"/>
                <w:vertAlign w:val="superscript"/>
              </w:rPr>
              <w:t>d</w:t>
            </w:r>
          </w:p>
        </w:tc>
        <w:tc>
          <w:tcPr>
            <w:tcW w:w="861" w:type="dxa"/>
            <w:tcBorders>
              <w:top w:val="single" w:sz="6" w:space="0" w:color="000000"/>
              <w:left w:val="single" w:sz="6" w:space="0" w:color="000000"/>
              <w:bottom w:val="single" w:sz="6" w:space="0" w:color="000000"/>
              <w:right w:val="single" w:sz="6" w:space="0" w:color="000000"/>
            </w:tcBorders>
          </w:tcPr>
          <w:p w14:paraId="02625248" w14:textId="77777777" w:rsidR="002D58E4" w:rsidRDefault="00F721D4">
            <w:pPr>
              <w:rPr>
                <w:sz w:val="20"/>
                <w:szCs w:val="20"/>
              </w:rPr>
            </w:pPr>
            <w:r>
              <w:rPr>
                <w:sz w:val="20"/>
                <w:szCs w:val="20"/>
              </w:rPr>
              <w:t xml:space="preserve">none </w:t>
            </w:r>
          </w:p>
        </w:tc>
        <w:tc>
          <w:tcPr>
            <w:tcW w:w="1137" w:type="dxa"/>
            <w:tcBorders>
              <w:top w:val="single" w:sz="6" w:space="0" w:color="000000"/>
              <w:left w:val="single" w:sz="6" w:space="0" w:color="000000"/>
              <w:bottom w:val="single" w:sz="6" w:space="0" w:color="000000"/>
              <w:right w:val="single" w:sz="6" w:space="0" w:color="000000"/>
            </w:tcBorders>
          </w:tcPr>
          <w:p w14:paraId="10FB3BCC" w14:textId="77777777" w:rsidR="002D58E4" w:rsidRDefault="00F721D4">
            <w:pPr>
              <w:jc w:val="center"/>
              <w:rPr>
                <w:sz w:val="20"/>
                <w:szCs w:val="20"/>
              </w:rPr>
            </w:pPr>
            <w:r>
              <w:rPr>
                <w:sz w:val="20"/>
                <w:szCs w:val="20"/>
              </w:rPr>
              <w:t xml:space="preserve">5/61 </w:t>
            </w:r>
          </w:p>
          <w:p w14:paraId="1131B7F6" w14:textId="77777777" w:rsidR="002D58E4" w:rsidRDefault="00F721D4">
            <w:pPr>
              <w:jc w:val="center"/>
              <w:rPr>
                <w:sz w:val="20"/>
                <w:szCs w:val="20"/>
              </w:rPr>
            </w:pPr>
            <w:r>
              <w:rPr>
                <w:sz w:val="20"/>
                <w:szCs w:val="20"/>
              </w:rPr>
              <w:t xml:space="preserve">(8.2%) </w:t>
            </w:r>
          </w:p>
        </w:tc>
        <w:tc>
          <w:tcPr>
            <w:tcW w:w="1132" w:type="dxa"/>
            <w:tcBorders>
              <w:top w:val="single" w:sz="6" w:space="0" w:color="000000"/>
              <w:left w:val="single" w:sz="6" w:space="0" w:color="000000"/>
              <w:bottom w:val="single" w:sz="6" w:space="0" w:color="000000"/>
              <w:right w:val="single" w:sz="6" w:space="0" w:color="000000"/>
            </w:tcBorders>
          </w:tcPr>
          <w:p w14:paraId="3B6B2159" w14:textId="77777777" w:rsidR="002D58E4" w:rsidRDefault="00F721D4">
            <w:pPr>
              <w:jc w:val="center"/>
              <w:rPr>
                <w:sz w:val="20"/>
                <w:szCs w:val="20"/>
              </w:rPr>
            </w:pPr>
            <w:r>
              <w:rPr>
                <w:sz w:val="20"/>
                <w:szCs w:val="20"/>
              </w:rPr>
              <w:t xml:space="preserve">2/59 </w:t>
            </w:r>
          </w:p>
          <w:p w14:paraId="17EB2A07" w14:textId="77777777" w:rsidR="002D58E4" w:rsidRDefault="00F721D4">
            <w:pPr>
              <w:jc w:val="center"/>
              <w:rPr>
                <w:sz w:val="20"/>
                <w:szCs w:val="20"/>
              </w:rPr>
            </w:pPr>
            <w:r>
              <w:rPr>
                <w:sz w:val="20"/>
                <w:szCs w:val="20"/>
              </w:rPr>
              <w:t xml:space="preserve">(3.4%) </w:t>
            </w:r>
          </w:p>
        </w:tc>
        <w:tc>
          <w:tcPr>
            <w:tcW w:w="1276" w:type="dxa"/>
            <w:tcBorders>
              <w:top w:val="single" w:sz="6" w:space="0" w:color="000000"/>
              <w:left w:val="single" w:sz="6" w:space="0" w:color="000000"/>
              <w:bottom w:val="single" w:sz="6" w:space="0" w:color="000000"/>
              <w:right w:val="single" w:sz="6" w:space="0" w:color="000000"/>
            </w:tcBorders>
          </w:tcPr>
          <w:p w14:paraId="33B80817" w14:textId="77777777" w:rsidR="002D58E4" w:rsidRDefault="00F721D4">
            <w:pPr>
              <w:jc w:val="center"/>
              <w:rPr>
                <w:sz w:val="20"/>
                <w:szCs w:val="20"/>
              </w:rPr>
            </w:pPr>
            <w:r>
              <w:rPr>
                <w:sz w:val="20"/>
                <w:szCs w:val="20"/>
              </w:rPr>
              <w:t>RR 2.42</w:t>
            </w:r>
            <w:r>
              <w:rPr>
                <w:sz w:val="20"/>
                <w:szCs w:val="20"/>
              </w:rPr>
              <w:br/>
              <w:t xml:space="preserve">(0.49 to 11.98) </w:t>
            </w:r>
          </w:p>
        </w:tc>
        <w:tc>
          <w:tcPr>
            <w:tcW w:w="2268" w:type="dxa"/>
            <w:tcBorders>
              <w:top w:val="single" w:sz="6" w:space="0" w:color="000000"/>
              <w:left w:val="single" w:sz="6" w:space="0" w:color="000000"/>
              <w:bottom w:val="single" w:sz="6" w:space="0" w:color="000000"/>
              <w:right w:val="single" w:sz="6" w:space="0" w:color="000000"/>
            </w:tcBorders>
          </w:tcPr>
          <w:p w14:paraId="361B2104" w14:textId="77777777" w:rsidR="002D58E4" w:rsidRDefault="00F721D4">
            <w:pPr>
              <w:jc w:val="center"/>
              <w:rPr>
                <w:sz w:val="20"/>
                <w:szCs w:val="20"/>
              </w:rPr>
            </w:pPr>
            <w:r>
              <w:rPr>
                <w:sz w:val="20"/>
                <w:szCs w:val="20"/>
              </w:rPr>
              <w:t>48 more per 1,000</w:t>
            </w:r>
            <w:r>
              <w:rPr>
                <w:sz w:val="20"/>
                <w:szCs w:val="20"/>
              </w:rPr>
              <w:br/>
              <w:t xml:space="preserve">(from 17 fewer to 372 more) </w:t>
            </w:r>
          </w:p>
        </w:tc>
        <w:tc>
          <w:tcPr>
            <w:tcW w:w="1134" w:type="dxa"/>
            <w:tcBorders>
              <w:top w:val="single" w:sz="6" w:space="0" w:color="000000"/>
              <w:left w:val="single" w:sz="6" w:space="0" w:color="000000"/>
              <w:bottom w:val="single" w:sz="6" w:space="0" w:color="000000"/>
              <w:right w:val="single" w:sz="6" w:space="0" w:color="000000"/>
            </w:tcBorders>
          </w:tcPr>
          <w:p w14:paraId="49CE54F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34" w:type="dxa"/>
            <w:tcBorders>
              <w:top w:val="single" w:sz="6" w:space="0" w:color="000000"/>
              <w:left w:val="single" w:sz="6" w:space="0" w:color="000000"/>
              <w:bottom w:val="single" w:sz="6" w:space="0" w:color="000000"/>
              <w:right w:val="single" w:sz="6" w:space="0" w:color="000000"/>
            </w:tcBorders>
          </w:tcPr>
          <w:p w14:paraId="0B9D8E20" w14:textId="77777777" w:rsidR="002D58E4" w:rsidRDefault="00F721D4">
            <w:pPr>
              <w:rPr>
                <w:sz w:val="20"/>
                <w:szCs w:val="20"/>
              </w:rPr>
            </w:pPr>
            <w:r>
              <w:rPr>
                <w:sz w:val="20"/>
                <w:szCs w:val="20"/>
              </w:rPr>
              <w:t>IMPORTANT</w:t>
            </w:r>
          </w:p>
        </w:tc>
      </w:tr>
    </w:tbl>
    <w:p w14:paraId="6CF2AB0E" w14:textId="77777777" w:rsidR="002D58E4" w:rsidRDefault="00F721D4">
      <w:pPr>
        <w:spacing w:before="100" w:after="280"/>
        <w:rPr>
          <w:sz w:val="18"/>
          <w:szCs w:val="18"/>
        </w:rPr>
      </w:pPr>
      <w:r>
        <w:rPr>
          <w:b/>
          <w:sz w:val="18"/>
          <w:szCs w:val="18"/>
        </w:rPr>
        <w:t>CI:</w:t>
      </w:r>
      <w:r>
        <w:rPr>
          <w:sz w:val="18"/>
          <w:szCs w:val="18"/>
        </w:rPr>
        <w:t xml:space="preserve"> Confidence interval; </w:t>
      </w:r>
      <w:r>
        <w:rPr>
          <w:b/>
          <w:sz w:val="18"/>
          <w:szCs w:val="18"/>
        </w:rPr>
        <w:t>RR:</w:t>
      </w:r>
      <w:r>
        <w:rPr>
          <w:sz w:val="18"/>
          <w:szCs w:val="18"/>
        </w:rPr>
        <w:t xml:space="preserve"> Risk ratio; </w:t>
      </w:r>
      <w:r>
        <w:rPr>
          <w:b/>
          <w:sz w:val="18"/>
          <w:szCs w:val="18"/>
        </w:rPr>
        <w:t>MD:</w:t>
      </w:r>
      <w:r>
        <w:rPr>
          <w:sz w:val="18"/>
          <w:szCs w:val="18"/>
        </w:rPr>
        <w:t xml:space="preserve"> Mean difference</w:t>
      </w:r>
    </w:p>
    <w:p w14:paraId="60E52EF2" w14:textId="77777777" w:rsidR="00FF641A" w:rsidRDefault="00FF641A" w:rsidP="00FF641A">
      <w:pPr>
        <w:spacing w:before="280" w:after="0"/>
        <w:rPr>
          <w:b/>
          <w:color w:val="000000"/>
          <w:sz w:val="24"/>
          <w:szCs w:val="24"/>
        </w:rPr>
      </w:pPr>
      <w:r>
        <w:rPr>
          <w:b/>
          <w:color w:val="000000"/>
          <w:sz w:val="24"/>
          <w:szCs w:val="24"/>
        </w:rPr>
        <w:t>Explanations</w:t>
      </w:r>
    </w:p>
    <w:p w14:paraId="3499173F" w14:textId="77777777" w:rsidR="002D58E4" w:rsidRDefault="00F721D4">
      <w:pPr>
        <w:spacing w:after="0" w:line="240" w:lineRule="auto"/>
        <w:rPr>
          <w:sz w:val="18"/>
          <w:szCs w:val="18"/>
        </w:rPr>
      </w:pPr>
      <w:r>
        <w:rPr>
          <w:sz w:val="18"/>
          <w:szCs w:val="18"/>
        </w:rPr>
        <w:t xml:space="preserve">a. Based on an inferiority margin of 15%, not rated down for imprecision.  </w:t>
      </w:r>
    </w:p>
    <w:p w14:paraId="701D99BC" w14:textId="77777777" w:rsidR="002D58E4" w:rsidRDefault="00F721D4">
      <w:pPr>
        <w:spacing w:after="0" w:line="240" w:lineRule="auto"/>
        <w:rPr>
          <w:sz w:val="18"/>
          <w:szCs w:val="18"/>
        </w:rPr>
      </w:pPr>
      <w:r>
        <w:rPr>
          <w:sz w:val="18"/>
          <w:szCs w:val="18"/>
        </w:rPr>
        <w:t>b. Due to low event rate.</w:t>
      </w:r>
    </w:p>
    <w:p w14:paraId="3A9FB6EF" w14:textId="77777777" w:rsidR="002D58E4" w:rsidRDefault="00F721D4">
      <w:pPr>
        <w:spacing w:after="0" w:line="240" w:lineRule="auto"/>
        <w:rPr>
          <w:color w:val="000000"/>
          <w:sz w:val="18"/>
          <w:szCs w:val="18"/>
        </w:rPr>
      </w:pPr>
      <w:r>
        <w:rPr>
          <w:sz w:val="18"/>
          <w:szCs w:val="18"/>
        </w:rPr>
        <w:t>c.</w:t>
      </w:r>
      <w:r>
        <w:t xml:space="preserve"> </w:t>
      </w:r>
      <w:r>
        <w:rPr>
          <w:color w:val="000000"/>
          <w:sz w:val="18"/>
          <w:szCs w:val="18"/>
        </w:rPr>
        <w:t xml:space="preserve">Due to zero events in one study arm, unable to estimate relative risk. </w:t>
      </w:r>
    </w:p>
    <w:p w14:paraId="1C39CF8F" w14:textId="77777777" w:rsidR="002D58E4" w:rsidRDefault="00F721D4">
      <w:pPr>
        <w:spacing w:after="0" w:line="240" w:lineRule="auto"/>
        <w:rPr>
          <w:color w:val="000000"/>
          <w:sz w:val="18"/>
          <w:szCs w:val="18"/>
        </w:rPr>
      </w:pPr>
      <w:r>
        <w:rPr>
          <w:color w:val="000000"/>
          <w:sz w:val="18"/>
          <w:szCs w:val="18"/>
        </w:rPr>
        <w:t xml:space="preserve">d. 95% CI wide and crossing the null value. </w:t>
      </w:r>
    </w:p>
    <w:p w14:paraId="70DC6787" w14:textId="77777777" w:rsidR="002D58E4" w:rsidRDefault="00F721D4">
      <w:pPr>
        <w:spacing w:after="0" w:line="240" w:lineRule="auto"/>
        <w:rPr>
          <w:color w:val="000000"/>
          <w:sz w:val="18"/>
          <w:szCs w:val="18"/>
        </w:rPr>
      </w:pPr>
      <w:r>
        <w:br w:type="page"/>
      </w:r>
    </w:p>
    <w:p w14:paraId="527CAA4A" w14:textId="77777777" w:rsidR="002D58E4" w:rsidRDefault="00F721D4">
      <w:pPr>
        <w:spacing w:after="0"/>
        <w:rPr>
          <w:b/>
          <w:sz w:val="24"/>
          <w:szCs w:val="24"/>
          <w:u w:val="single"/>
        </w:rPr>
      </w:pPr>
      <w:r>
        <w:rPr>
          <w:b/>
          <w:sz w:val="24"/>
          <w:szCs w:val="24"/>
          <w:u w:val="single"/>
        </w:rPr>
        <w:lastRenderedPageBreak/>
        <w:t>10 DAYS DOXYCYCLINE vs. 15 DAYS DOXYCYCLINE</w:t>
      </w:r>
    </w:p>
    <w:p w14:paraId="139DC9A7" w14:textId="77777777" w:rsidR="002D58E4" w:rsidRDefault="00F721D4">
      <w:pPr>
        <w:spacing w:after="0"/>
        <w:rPr>
          <w:b/>
        </w:rPr>
      </w:pPr>
      <w:r>
        <w:rPr>
          <w:b/>
        </w:rPr>
        <w:t>In patients with erythema migrans, should doxycycline be used for 10 days over 15 days?</w:t>
      </w:r>
    </w:p>
    <w:p w14:paraId="274DCD4F" w14:textId="77777777" w:rsidR="002D58E4" w:rsidRDefault="00F721D4">
      <w:pPr>
        <w:spacing w:after="0"/>
      </w:pPr>
      <w:r>
        <w:t>P: In patients with erythema migrans</w:t>
      </w:r>
    </w:p>
    <w:p w14:paraId="6ECA07AB" w14:textId="77777777" w:rsidR="002D58E4" w:rsidRDefault="00F721D4">
      <w:pPr>
        <w:spacing w:after="0"/>
      </w:pPr>
      <w:r>
        <w:t>I: 10-day course of Doxycycline</w:t>
      </w:r>
    </w:p>
    <w:p w14:paraId="57951F42" w14:textId="77777777" w:rsidR="002D58E4" w:rsidRDefault="00F721D4">
      <w:pPr>
        <w:spacing w:after="0"/>
      </w:pPr>
      <w:r>
        <w:t>C: 15-day course of Doxycycline</w:t>
      </w:r>
    </w:p>
    <w:p w14:paraId="0EDD15CD" w14:textId="77777777" w:rsidR="002D58E4" w:rsidRDefault="002D58E4">
      <w:pPr>
        <w:spacing w:after="0"/>
        <w:rPr>
          <w:b/>
          <w:sz w:val="18"/>
          <w:szCs w:val="18"/>
        </w:rPr>
      </w:pPr>
    </w:p>
    <w:p w14:paraId="5299FF63" w14:textId="77777777" w:rsidR="002D58E4" w:rsidRDefault="00F721D4" w:rsidP="00DE33EC">
      <w:pPr>
        <w:rPr>
          <w:sz w:val="18"/>
          <w:szCs w:val="18"/>
        </w:rPr>
      </w:pPr>
      <w:r>
        <w:rPr>
          <w:b/>
          <w:sz w:val="18"/>
          <w:szCs w:val="18"/>
        </w:rPr>
        <w:t>Bibliography</w:t>
      </w:r>
      <w:r>
        <w:rPr>
          <w:sz w:val="18"/>
          <w:szCs w:val="18"/>
        </w:rPr>
        <w:t>: 1. Stupica, et al. Clin Infect Dis. 2012 Aug; 55(3): 343-50.</w:t>
      </w:r>
    </w:p>
    <w:tbl>
      <w:tblPr>
        <w:tblStyle w:val="af8"/>
        <w:tblW w:w="14897"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42"/>
        <w:gridCol w:w="691"/>
        <w:gridCol w:w="940"/>
        <w:gridCol w:w="1213"/>
        <w:gridCol w:w="1134"/>
        <w:gridCol w:w="1177"/>
        <w:gridCol w:w="50"/>
        <w:gridCol w:w="957"/>
        <w:gridCol w:w="10"/>
        <w:gridCol w:w="1131"/>
        <w:gridCol w:w="15"/>
        <w:gridCol w:w="1171"/>
        <w:gridCol w:w="10"/>
        <w:gridCol w:w="1205"/>
        <w:gridCol w:w="1787"/>
        <w:gridCol w:w="1239"/>
        <w:gridCol w:w="1325"/>
      </w:tblGrid>
      <w:tr w:rsidR="000F5BF4" w14:paraId="3FF6E005" w14:textId="77777777" w:rsidTr="000F5BF4">
        <w:tc>
          <w:tcPr>
            <w:tcW w:w="7014" w:type="dxa"/>
            <w:gridSpan w:val="9"/>
            <w:tcBorders>
              <w:top w:val="single" w:sz="6" w:space="0" w:color="000000"/>
              <w:left w:val="single" w:sz="6" w:space="0" w:color="000000"/>
              <w:bottom w:val="single" w:sz="6" w:space="0" w:color="000000"/>
              <w:right w:val="single" w:sz="6" w:space="0" w:color="000000"/>
            </w:tcBorders>
            <w:shd w:val="clear" w:color="auto" w:fill="D9D9D9"/>
            <w:vAlign w:val="center"/>
          </w:tcPr>
          <w:p w14:paraId="78E74F5B" w14:textId="77777777" w:rsidR="000F5BF4" w:rsidRDefault="000F5BF4">
            <w:pPr>
              <w:jc w:val="center"/>
              <w:rPr>
                <w:b/>
                <w:sz w:val="20"/>
                <w:szCs w:val="20"/>
              </w:rPr>
            </w:pPr>
            <w:r>
              <w:rPr>
                <w:b/>
                <w:sz w:val="20"/>
                <w:szCs w:val="20"/>
              </w:rPr>
              <w:t>Certainty assessment</w:t>
            </w:r>
          </w:p>
        </w:tc>
        <w:tc>
          <w:tcPr>
            <w:tcW w:w="2327"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5CDC4075" w14:textId="77777777" w:rsidR="000F5BF4" w:rsidRDefault="000F5BF4">
            <w:pPr>
              <w:jc w:val="center"/>
              <w:rPr>
                <w:b/>
                <w:sz w:val="18"/>
                <w:szCs w:val="18"/>
              </w:rPr>
            </w:pPr>
            <w:r>
              <w:rPr>
                <w:b/>
                <w:sz w:val="18"/>
                <w:szCs w:val="18"/>
              </w:rPr>
              <w:t>№ of Events/№ of patients</w:t>
            </w:r>
          </w:p>
        </w:tc>
        <w:tc>
          <w:tcPr>
            <w:tcW w:w="299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8A19FA6" w14:textId="77777777" w:rsidR="000F5BF4" w:rsidRDefault="000F5BF4">
            <w:pPr>
              <w:jc w:val="center"/>
              <w:rPr>
                <w:b/>
                <w:sz w:val="20"/>
                <w:szCs w:val="20"/>
              </w:rPr>
            </w:pPr>
            <w:r>
              <w:rPr>
                <w:b/>
                <w:sz w:val="20"/>
                <w:szCs w:val="20"/>
              </w:rPr>
              <w:t>Effect</w:t>
            </w:r>
          </w:p>
        </w:tc>
        <w:tc>
          <w:tcPr>
            <w:tcW w:w="1239" w:type="dxa"/>
            <w:vMerge w:val="restart"/>
            <w:tcBorders>
              <w:top w:val="single" w:sz="6" w:space="0" w:color="000000"/>
              <w:left w:val="single" w:sz="6" w:space="0" w:color="000000"/>
              <w:right w:val="single" w:sz="6" w:space="0" w:color="000000"/>
            </w:tcBorders>
            <w:shd w:val="clear" w:color="auto" w:fill="D9D9D9"/>
            <w:vAlign w:val="center"/>
          </w:tcPr>
          <w:p w14:paraId="3B76604C" w14:textId="77777777" w:rsidR="000F5BF4" w:rsidRDefault="000F5BF4">
            <w:pPr>
              <w:jc w:val="center"/>
              <w:rPr>
                <w:b/>
                <w:sz w:val="20"/>
                <w:szCs w:val="20"/>
              </w:rPr>
            </w:pPr>
            <w:r>
              <w:rPr>
                <w:b/>
                <w:sz w:val="20"/>
                <w:szCs w:val="20"/>
              </w:rPr>
              <w:t>Certainty</w:t>
            </w:r>
          </w:p>
        </w:tc>
        <w:tc>
          <w:tcPr>
            <w:tcW w:w="1320" w:type="dxa"/>
            <w:vMerge w:val="restart"/>
            <w:tcBorders>
              <w:top w:val="single" w:sz="6" w:space="0" w:color="000000"/>
              <w:left w:val="single" w:sz="6" w:space="0" w:color="000000"/>
              <w:right w:val="single" w:sz="6" w:space="0" w:color="000000"/>
            </w:tcBorders>
            <w:shd w:val="clear" w:color="auto" w:fill="D9D9D9"/>
            <w:vAlign w:val="center"/>
          </w:tcPr>
          <w:p w14:paraId="475917E7" w14:textId="77777777" w:rsidR="000F5BF4" w:rsidRDefault="000F5BF4">
            <w:pPr>
              <w:jc w:val="center"/>
              <w:rPr>
                <w:b/>
                <w:sz w:val="20"/>
                <w:szCs w:val="20"/>
              </w:rPr>
            </w:pPr>
            <w:r>
              <w:rPr>
                <w:b/>
                <w:sz w:val="20"/>
                <w:szCs w:val="20"/>
              </w:rPr>
              <w:t>Importance</w:t>
            </w:r>
          </w:p>
        </w:tc>
      </w:tr>
      <w:tr w:rsidR="000F5BF4" w14:paraId="3AC6FFBE" w14:textId="77777777" w:rsidTr="000F5BF4">
        <w:tc>
          <w:tcPr>
            <w:tcW w:w="8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CFCF741" w14:textId="77777777" w:rsidR="000F5BF4" w:rsidRDefault="000F5BF4">
            <w:pPr>
              <w:jc w:val="center"/>
              <w:rPr>
                <w:b/>
                <w:sz w:val="20"/>
                <w:szCs w:val="20"/>
              </w:rPr>
            </w:pPr>
            <w:r>
              <w:rPr>
                <w:b/>
                <w:sz w:val="20"/>
                <w:szCs w:val="20"/>
              </w:rPr>
              <w:t>№ of studies</w:t>
            </w:r>
          </w:p>
        </w:tc>
        <w:tc>
          <w:tcPr>
            <w:tcW w:w="69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A677D8" w14:textId="77777777" w:rsidR="000F5BF4" w:rsidRDefault="000F5BF4">
            <w:pPr>
              <w:jc w:val="center"/>
              <w:rPr>
                <w:b/>
                <w:sz w:val="20"/>
                <w:szCs w:val="20"/>
              </w:rPr>
            </w:pPr>
            <w:r>
              <w:rPr>
                <w:b/>
                <w:sz w:val="20"/>
                <w:szCs w:val="20"/>
              </w:rPr>
              <w:t>Study design</w:t>
            </w:r>
          </w:p>
        </w:tc>
        <w:tc>
          <w:tcPr>
            <w:tcW w:w="9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505D6F" w14:textId="77777777" w:rsidR="000F5BF4" w:rsidRDefault="000F5BF4">
            <w:pPr>
              <w:jc w:val="center"/>
              <w:rPr>
                <w:b/>
                <w:sz w:val="20"/>
                <w:szCs w:val="20"/>
              </w:rPr>
            </w:pPr>
            <w:r>
              <w:rPr>
                <w:b/>
                <w:sz w:val="20"/>
                <w:szCs w:val="20"/>
              </w:rPr>
              <w:t>Risk of bias</w:t>
            </w:r>
          </w:p>
        </w:tc>
        <w:tc>
          <w:tcPr>
            <w:tcW w:w="121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61D1523" w14:textId="77777777" w:rsidR="000F5BF4" w:rsidRDefault="000F5BF4">
            <w:pPr>
              <w:jc w:val="center"/>
              <w:rPr>
                <w:b/>
                <w:sz w:val="19"/>
                <w:szCs w:val="19"/>
              </w:rPr>
            </w:pPr>
            <w:r>
              <w:rPr>
                <w:b/>
                <w:sz w:val="19"/>
                <w:szCs w:val="19"/>
              </w:rPr>
              <w:t>Inconsistency</w:t>
            </w:r>
          </w:p>
        </w:tc>
        <w:tc>
          <w:tcPr>
            <w:tcW w:w="11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4C0A0D4" w14:textId="77777777" w:rsidR="000F5BF4" w:rsidRDefault="000F5BF4">
            <w:pPr>
              <w:jc w:val="center"/>
              <w:rPr>
                <w:b/>
                <w:sz w:val="20"/>
                <w:szCs w:val="20"/>
              </w:rPr>
            </w:pPr>
            <w:r>
              <w:rPr>
                <w:b/>
                <w:sz w:val="20"/>
                <w:szCs w:val="20"/>
              </w:rPr>
              <w:t>Indirectness</w:t>
            </w:r>
          </w:p>
        </w:tc>
        <w:tc>
          <w:tcPr>
            <w:tcW w:w="122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CE6C753" w14:textId="77777777" w:rsidR="000F5BF4" w:rsidRDefault="000F5BF4">
            <w:pPr>
              <w:jc w:val="center"/>
              <w:rPr>
                <w:b/>
                <w:sz w:val="20"/>
                <w:szCs w:val="20"/>
              </w:rPr>
            </w:pPr>
            <w:r>
              <w:rPr>
                <w:b/>
                <w:sz w:val="20"/>
                <w:szCs w:val="20"/>
              </w:rPr>
              <w:t>Imprecision</w:t>
            </w:r>
          </w:p>
        </w:tc>
        <w:tc>
          <w:tcPr>
            <w:tcW w:w="95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C797A9E" w14:textId="77777777" w:rsidR="000F5BF4" w:rsidRDefault="000F5BF4">
            <w:pPr>
              <w:jc w:val="center"/>
              <w:rPr>
                <w:b/>
                <w:sz w:val="20"/>
                <w:szCs w:val="20"/>
              </w:rPr>
            </w:pPr>
            <w:r>
              <w:rPr>
                <w:b/>
                <w:sz w:val="20"/>
                <w:szCs w:val="20"/>
              </w:rPr>
              <w:t>Other considerations</w:t>
            </w:r>
          </w:p>
        </w:tc>
        <w:tc>
          <w:tcPr>
            <w:tcW w:w="1156"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4B61D378" w14:textId="77777777" w:rsidR="000F5BF4" w:rsidRDefault="000F5BF4">
            <w:pPr>
              <w:jc w:val="center"/>
              <w:rPr>
                <w:b/>
                <w:sz w:val="20"/>
                <w:szCs w:val="20"/>
              </w:rPr>
            </w:pPr>
            <w:r>
              <w:rPr>
                <w:b/>
                <w:sz w:val="20"/>
                <w:szCs w:val="20"/>
              </w:rPr>
              <w:t>Doxycycline 10 days</w:t>
            </w:r>
          </w:p>
        </w:tc>
        <w:tc>
          <w:tcPr>
            <w:tcW w:w="117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FA74CB" w14:textId="77777777" w:rsidR="000F5BF4" w:rsidRDefault="000F5BF4">
            <w:pPr>
              <w:jc w:val="center"/>
              <w:rPr>
                <w:b/>
                <w:sz w:val="20"/>
                <w:szCs w:val="20"/>
              </w:rPr>
            </w:pPr>
            <w:r>
              <w:rPr>
                <w:b/>
                <w:sz w:val="20"/>
                <w:szCs w:val="20"/>
              </w:rPr>
              <w:t xml:space="preserve">Doxycycline 15 days </w:t>
            </w: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D5F4D30" w14:textId="77777777" w:rsidR="000F5BF4" w:rsidRDefault="000F5BF4">
            <w:pPr>
              <w:jc w:val="center"/>
              <w:rPr>
                <w:b/>
                <w:sz w:val="20"/>
                <w:szCs w:val="20"/>
              </w:rPr>
            </w:pPr>
            <w:r>
              <w:rPr>
                <w:b/>
                <w:sz w:val="20"/>
                <w:szCs w:val="20"/>
              </w:rPr>
              <w:t>Relative</w:t>
            </w:r>
            <w:r>
              <w:rPr>
                <w:b/>
                <w:sz w:val="20"/>
                <w:szCs w:val="20"/>
              </w:rPr>
              <w:br/>
              <w:t>(95% CI)</w:t>
            </w:r>
          </w:p>
        </w:tc>
        <w:tc>
          <w:tcPr>
            <w:tcW w:w="17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C21022F" w14:textId="77777777" w:rsidR="000F5BF4" w:rsidRDefault="000F5BF4">
            <w:pPr>
              <w:jc w:val="center"/>
              <w:rPr>
                <w:b/>
                <w:sz w:val="20"/>
                <w:szCs w:val="20"/>
              </w:rPr>
            </w:pPr>
            <w:r>
              <w:rPr>
                <w:b/>
                <w:sz w:val="20"/>
                <w:szCs w:val="20"/>
              </w:rPr>
              <w:t>Absolute</w:t>
            </w:r>
            <w:r>
              <w:rPr>
                <w:b/>
                <w:sz w:val="20"/>
                <w:szCs w:val="20"/>
              </w:rPr>
              <w:br/>
              <w:t>(95% CI)</w:t>
            </w:r>
          </w:p>
        </w:tc>
        <w:tc>
          <w:tcPr>
            <w:tcW w:w="1239" w:type="dxa"/>
            <w:vMerge/>
            <w:tcBorders>
              <w:left w:val="single" w:sz="6" w:space="0" w:color="000000"/>
              <w:bottom w:val="single" w:sz="6" w:space="0" w:color="000000"/>
              <w:right w:val="single" w:sz="6" w:space="0" w:color="000000"/>
            </w:tcBorders>
            <w:shd w:val="clear" w:color="auto" w:fill="D9D9D9"/>
            <w:vAlign w:val="center"/>
          </w:tcPr>
          <w:p w14:paraId="095D8418" w14:textId="77777777" w:rsidR="000F5BF4" w:rsidRDefault="000F5BF4">
            <w:pPr>
              <w:rPr>
                <w:b/>
                <w:sz w:val="20"/>
                <w:szCs w:val="20"/>
              </w:rPr>
            </w:pPr>
          </w:p>
        </w:tc>
        <w:tc>
          <w:tcPr>
            <w:tcW w:w="1320" w:type="dxa"/>
            <w:vMerge/>
            <w:tcBorders>
              <w:left w:val="single" w:sz="6" w:space="0" w:color="000000"/>
              <w:bottom w:val="single" w:sz="6" w:space="0" w:color="000000"/>
              <w:right w:val="single" w:sz="6" w:space="0" w:color="000000"/>
            </w:tcBorders>
            <w:shd w:val="clear" w:color="auto" w:fill="D9D9D9"/>
            <w:vAlign w:val="center"/>
          </w:tcPr>
          <w:p w14:paraId="63A136FA" w14:textId="77777777" w:rsidR="000F5BF4" w:rsidRDefault="000F5BF4">
            <w:pPr>
              <w:rPr>
                <w:b/>
                <w:sz w:val="20"/>
                <w:szCs w:val="20"/>
              </w:rPr>
            </w:pPr>
          </w:p>
        </w:tc>
      </w:tr>
      <w:tr w:rsidR="002D58E4" w14:paraId="6E0603A2" w14:textId="77777777" w:rsidTr="000F5BF4">
        <w:tc>
          <w:tcPr>
            <w:tcW w:w="14897" w:type="dxa"/>
            <w:gridSpan w:val="17"/>
            <w:tcBorders>
              <w:top w:val="single" w:sz="6" w:space="0" w:color="000000"/>
              <w:left w:val="single" w:sz="6" w:space="0" w:color="000000"/>
              <w:bottom w:val="single" w:sz="6" w:space="0" w:color="000000"/>
              <w:right w:val="single" w:sz="6" w:space="0" w:color="000000"/>
            </w:tcBorders>
            <w:shd w:val="clear" w:color="auto" w:fill="EDEDED"/>
            <w:vAlign w:val="center"/>
          </w:tcPr>
          <w:p w14:paraId="7F4DFD94" w14:textId="77777777" w:rsidR="002D58E4" w:rsidRDefault="00F721D4">
            <w:pPr>
              <w:rPr>
                <w:sz w:val="20"/>
                <w:szCs w:val="20"/>
              </w:rPr>
            </w:pPr>
            <w:r>
              <w:rPr>
                <w:b/>
                <w:sz w:val="20"/>
                <w:szCs w:val="20"/>
              </w:rPr>
              <w:t xml:space="preserve">Resolution of Erythema Migrans </w:t>
            </w:r>
            <w:r>
              <w:rPr>
                <w:sz w:val="20"/>
                <w:szCs w:val="20"/>
              </w:rPr>
              <w:t>(a</w:t>
            </w:r>
            <w:r>
              <w:t xml:space="preserve">t </w:t>
            </w:r>
            <w:r>
              <w:rPr>
                <w:sz w:val="20"/>
                <w:szCs w:val="20"/>
              </w:rPr>
              <w:t xml:space="preserve">14 days) </w:t>
            </w:r>
          </w:p>
        </w:tc>
      </w:tr>
      <w:tr w:rsidR="002D58E4" w14:paraId="1AB9D6FB" w14:textId="77777777" w:rsidTr="000F5BF4">
        <w:tc>
          <w:tcPr>
            <w:tcW w:w="842" w:type="dxa"/>
            <w:tcBorders>
              <w:top w:val="single" w:sz="6" w:space="0" w:color="000000"/>
              <w:left w:val="single" w:sz="6" w:space="0" w:color="000000"/>
              <w:bottom w:val="single" w:sz="6" w:space="0" w:color="000000"/>
              <w:right w:val="single" w:sz="6" w:space="0" w:color="000000"/>
            </w:tcBorders>
          </w:tcPr>
          <w:p w14:paraId="77C65B34"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0FA5D5C0" w14:textId="77777777" w:rsidR="002D58E4" w:rsidRDefault="00F721D4">
            <w:pPr>
              <w:rPr>
                <w:sz w:val="20"/>
                <w:szCs w:val="20"/>
              </w:rPr>
            </w:pPr>
            <w:r>
              <w:rPr>
                <w:sz w:val="20"/>
                <w:szCs w:val="20"/>
              </w:rPr>
              <w:t xml:space="preserve">RCT </w:t>
            </w:r>
            <w:r>
              <w:rPr>
                <w:sz w:val="20"/>
                <w:szCs w:val="20"/>
                <w:vertAlign w:val="superscript"/>
              </w:rPr>
              <w:t>1</w:t>
            </w:r>
          </w:p>
        </w:tc>
        <w:tc>
          <w:tcPr>
            <w:tcW w:w="940" w:type="dxa"/>
            <w:tcBorders>
              <w:top w:val="single" w:sz="6" w:space="0" w:color="000000"/>
              <w:left w:val="single" w:sz="6" w:space="0" w:color="000000"/>
              <w:bottom w:val="single" w:sz="6" w:space="0" w:color="000000"/>
              <w:right w:val="single" w:sz="6" w:space="0" w:color="000000"/>
            </w:tcBorders>
          </w:tcPr>
          <w:p w14:paraId="6805E3F7" w14:textId="77777777" w:rsidR="002D58E4" w:rsidRDefault="00F721D4">
            <w:pPr>
              <w:rPr>
                <w:sz w:val="20"/>
                <w:szCs w:val="20"/>
              </w:rPr>
            </w:pPr>
            <w:r>
              <w:rPr>
                <w:sz w:val="20"/>
                <w:szCs w:val="20"/>
              </w:rPr>
              <w:t xml:space="preserve">serious </w:t>
            </w:r>
            <w:r>
              <w:rPr>
                <w:sz w:val="20"/>
                <w:szCs w:val="20"/>
                <w:vertAlign w:val="superscript"/>
              </w:rPr>
              <w:t>a</w:t>
            </w:r>
          </w:p>
        </w:tc>
        <w:tc>
          <w:tcPr>
            <w:tcW w:w="1213" w:type="dxa"/>
            <w:tcBorders>
              <w:top w:val="single" w:sz="6" w:space="0" w:color="000000"/>
              <w:left w:val="single" w:sz="6" w:space="0" w:color="000000"/>
              <w:bottom w:val="single" w:sz="6" w:space="0" w:color="000000"/>
              <w:right w:val="single" w:sz="6" w:space="0" w:color="000000"/>
            </w:tcBorders>
          </w:tcPr>
          <w:p w14:paraId="450763EE"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47917C33" w14:textId="77777777" w:rsidR="002D58E4" w:rsidRDefault="00F721D4">
            <w:pPr>
              <w:rPr>
                <w:sz w:val="20"/>
                <w:szCs w:val="20"/>
              </w:rPr>
            </w:pPr>
            <w:r>
              <w:rPr>
                <w:sz w:val="20"/>
                <w:szCs w:val="20"/>
              </w:rPr>
              <w:t xml:space="preserve">not serious </w:t>
            </w:r>
          </w:p>
        </w:tc>
        <w:tc>
          <w:tcPr>
            <w:tcW w:w="1177" w:type="dxa"/>
            <w:tcBorders>
              <w:top w:val="single" w:sz="6" w:space="0" w:color="000000"/>
              <w:left w:val="single" w:sz="6" w:space="0" w:color="000000"/>
              <w:bottom w:val="single" w:sz="6" w:space="0" w:color="000000"/>
              <w:right w:val="single" w:sz="6" w:space="0" w:color="000000"/>
            </w:tcBorders>
          </w:tcPr>
          <w:p w14:paraId="33568918" w14:textId="77777777" w:rsidR="002D58E4" w:rsidRDefault="00F721D4">
            <w:pPr>
              <w:rPr>
                <w:sz w:val="20"/>
                <w:szCs w:val="20"/>
              </w:rPr>
            </w:pPr>
            <w:r>
              <w:rPr>
                <w:sz w:val="20"/>
                <w:szCs w:val="20"/>
              </w:rPr>
              <w:t xml:space="preserve">not serious </w:t>
            </w:r>
            <w:r>
              <w:rPr>
                <w:sz w:val="20"/>
                <w:szCs w:val="20"/>
                <w:vertAlign w:val="superscript"/>
              </w:rPr>
              <w:t>b</w:t>
            </w:r>
          </w:p>
        </w:tc>
        <w:tc>
          <w:tcPr>
            <w:tcW w:w="1007" w:type="dxa"/>
            <w:gridSpan w:val="2"/>
            <w:tcBorders>
              <w:top w:val="single" w:sz="6" w:space="0" w:color="000000"/>
              <w:left w:val="single" w:sz="6" w:space="0" w:color="000000"/>
              <w:bottom w:val="single" w:sz="6" w:space="0" w:color="000000"/>
              <w:right w:val="single" w:sz="6" w:space="0" w:color="000000"/>
            </w:tcBorders>
          </w:tcPr>
          <w:p w14:paraId="19D62C05" w14:textId="77777777" w:rsidR="002D58E4" w:rsidRDefault="00F721D4">
            <w:pPr>
              <w:rPr>
                <w:sz w:val="20"/>
                <w:szCs w:val="20"/>
              </w:rPr>
            </w:pPr>
            <w:r>
              <w:rPr>
                <w:sz w:val="20"/>
                <w:szCs w:val="20"/>
              </w:rPr>
              <w:t xml:space="preserve">none </w:t>
            </w:r>
          </w:p>
        </w:tc>
        <w:tc>
          <w:tcPr>
            <w:tcW w:w="1156" w:type="dxa"/>
            <w:gridSpan w:val="3"/>
            <w:tcBorders>
              <w:top w:val="single" w:sz="6" w:space="0" w:color="000000"/>
              <w:left w:val="single" w:sz="6" w:space="0" w:color="000000"/>
              <w:bottom w:val="single" w:sz="6" w:space="0" w:color="000000"/>
              <w:right w:val="single" w:sz="6" w:space="0" w:color="000000"/>
            </w:tcBorders>
          </w:tcPr>
          <w:p w14:paraId="48638E89" w14:textId="77777777" w:rsidR="002D58E4" w:rsidRDefault="00F721D4">
            <w:pPr>
              <w:jc w:val="center"/>
              <w:rPr>
                <w:sz w:val="20"/>
                <w:szCs w:val="20"/>
              </w:rPr>
            </w:pPr>
            <w:r>
              <w:rPr>
                <w:sz w:val="20"/>
                <w:szCs w:val="20"/>
              </w:rPr>
              <w:t xml:space="preserve">82/108 (75.9%) </w:t>
            </w:r>
          </w:p>
        </w:tc>
        <w:tc>
          <w:tcPr>
            <w:tcW w:w="1171" w:type="dxa"/>
            <w:tcBorders>
              <w:top w:val="single" w:sz="6" w:space="0" w:color="000000"/>
              <w:left w:val="single" w:sz="6" w:space="0" w:color="000000"/>
              <w:bottom w:val="single" w:sz="6" w:space="0" w:color="000000"/>
              <w:right w:val="single" w:sz="6" w:space="0" w:color="000000"/>
            </w:tcBorders>
          </w:tcPr>
          <w:p w14:paraId="2E600BFE" w14:textId="77777777" w:rsidR="002D58E4" w:rsidRDefault="00F721D4">
            <w:pPr>
              <w:jc w:val="center"/>
              <w:rPr>
                <w:sz w:val="20"/>
                <w:szCs w:val="20"/>
              </w:rPr>
            </w:pPr>
            <w:r>
              <w:rPr>
                <w:sz w:val="20"/>
                <w:szCs w:val="20"/>
              </w:rPr>
              <w:t xml:space="preserve">84/117 (71.8%) </w:t>
            </w:r>
          </w:p>
        </w:tc>
        <w:tc>
          <w:tcPr>
            <w:tcW w:w="1215" w:type="dxa"/>
            <w:gridSpan w:val="2"/>
            <w:tcBorders>
              <w:top w:val="single" w:sz="6" w:space="0" w:color="000000"/>
              <w:left w:val="single" w:sz="6" w:space="0" w:color="000000"/>
              <w:bottom w:val="single" w:sz="6" w:space="0" w:color="000000"/>
              <w:right w:val="single" w:sz="6" w:space="0" w:color="000000"/>
            </w:tcBorders>
          </w:tcPr>
          <w:p w14:paraId="35B8CA2B" w14:textId="77777777" w:rsidR="002D58E4" w:rsidRDefault="00F721D4">
            <w:pPr>
              <w:jc w:val="center"/>
              <w:rPr>
                <w:sz w:val="20"/>
                <w:szCs w:val="20"/>
              </w:rPr>
            </w:pPr>
            <w:r>
              <w:rPr>
                <w:sz w:val="20"/>
                <w:szCs w:val="20"/>
              </w:rPr>
              <w:t>RR 1.06</w:t>
            </w:r>
            <w:r>
              <w:rPr>
                <w:sz w:val="20"/>
                <w:szCs w:val="20"/>
              </w:rPr>
              <w:br/>
              <w:t xml:space="preserve">(0.91 to 1.24) </w:t>
            </w:r>
          </w:p>
        </w:tc>
        <w:tc>
          <w:tcPr>
            <w:tcW w:w="1787" w:type="dxa"/>
            <w:tcBorders>
              <w:top w:val="single" w:sz="6" w:space="0" w:color="000000"/>
              <w:left w:val="single" w:sz="6" w:space="0" w:color="000000"/>
              <w:bottom w:val="single" w:sz="6" w:space="0" w:color="000000"/>
              <w:right w:val="single" w:sz="6" w:space="0" w:color="000000"/>
            </w:tcBorders>
          </w:tcPr>
          <w:p w14:paraId="0D30A49F" w14:textId="77777777" w:rsidR="002D58E4" w:rsidRDefault="00F721D4">
            <w:pPr>
              <w:jc w:val="center"/>
              <w:rPr>
                <w:sz w:val="20"/>
                <w:szCs w:val="20"/>
              </w:rPr>
            </w:pPr>
            <w:r>
              <w:rPr>
                <w:sz w:val="20"/>
                <w:szCs w:val="20"/>
              </w:rPr>
              <w:t>43 more per 1,000</w:t>
            </w:r>
            <w:r>
              <w:rPr>
                <w:sz w:val="20"/>
                <w:szCs w:val="20"/>
              </w:rPr>
              <w:br/>
              <w:t xml:space="preserve">(from 65 fewer to 172 more) </w:t>
            </w:r>
          </w:p>
        </w:tc>
        <w:tc>
          <w:tcPr>
            <w:tcW w:w="1239" w:type="dxa"/>
            <w:tcBorders>
              <w:top w:val="single" w:sz="6" w:space="0" w:color="000000"/>
              <w:left w:val="single" w:sz="6" w:space="0" w:color="000000"/>
              <w:bottom w:val="single" w:sz="6" w:space="0" w:color="000000"/>
              <w:right w:val="single" w:sz="6" w:space="0" w:color="000000"/>
            </w:tcBorders>
          </w:tcPr>
          <w:p w14:paraId="1E2828C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320" w:type="dxa"/>
            <w:tcBorders>
              <w:top w:val="single" w:sz="6" w:space="0" w:color="000000"/>
              <w:left w:val="single" w:sz="6" w:space="0" w:color="000000"/>
              <w:bottom w:val="single" w:sz="6" w:space="0" w:color="000000"/>
              <w:right w:val="single" w:sz="6" w:space="0" w:color="000000"/>
            </w:tcBorders>
          </w:tcPr>
          <w:p w14:paraId="05B20D6E" w14:textId="77777777" w:rsidR="002D58E4" w:rsidRDefault="00F721D4">
            <w:pPr>
              <w:rPr>
                <w:sz w:val="20"/>
                <w:szCs w:val="20"/>
              </w:rPr>
            </w:pPr>
            <w:r>
              <w:rPr>
                <w:sz w:val="20"/>
                <w:szCs w:val="20"/>
              </w:rPr>
              <w:t xml:space="preserve">CRITICAL </w:t>
            </w:r>
          </w:p>
        </w:tc>
      </w:tr>
      <w:tr w:rsidR="002D58E4" w14:paraId="4FE05C49" w14:textId="77777777" w:rsidTr="000F5BF4">
        <w:tc>
          <w:tcPr>
            <w:tcW w:w="14897" w:type="dxa"/>
            <w:gridSpan w:val="17"/>
            <w:tcBorders>
              <w:top w:val="single" w:sz="6" w:space="0" w:color="000000"/>
              <w:left w:val="single" w:sz="6" w:space="0" w:color="000000"/>
              <w:bottom w:val="single" w:sz="6" w:space="0" w:color="000000"/>
              <w:right w:val="single" w:sz="6" w:space="0" w:color="000000"/>
            </w:tcBorders>
            <w:shd w:val="clear" w:color="auto" w:fill="EDEDED"/>
            <w:vAlign w:val="center"/>
          </w:tcPr>
          <w:p w14:paraId="6679207E" w14:textId="77777777" w:rsidR="002D58E4" w:rsidRDefault="00F721D4">
            <w:pPr>
              <w:rPr>
                <w:sz w:val="20"/>
                <w:szCs w:val="20"/>
              </w:rPr>
            </w:pPr>
            <w:r>
              <w:rPr>
                <w:b/>
                <w:sz w:val="20"/>
                <w:szCs w:val="20"/>
              </w:rPr>
              <w:t xml:space="preserve">Patients Experiencing Objective Findings of Lyme </w:t>
            </w:r>
            <w:r>
              <w:rPr>
                <w:sz w:val="20"/>
                <w:szCs w:val="20"/>
              </w:rPr>
              <w:t>(at 6 months and beyond)</w:t>
            </w:r>
          </w:p>
        </w:tc>
      </w:tr>
      <w:tr w:rsidR="002D58E4" w14:paraId="7842E65C" w14:textId="77777777" w:rsidTr="000F5BF4">
        <w:tc>
          <w:tcPr>
            <w:tcW w:w="842" w:type="dxa"/>
            <w:tcBorders>
              <w:top w:val="single" w:sz="6" w:space="0" w:color="000000"/>
              <w:left w:val="single" w:sz="6" w:space="0" w:color="000000"/>
              <w:bottom w:val="single" w:sz="6" w:space="0" w:color="000000"/>
              <w:right w:val="single" w:sz="6" w:space="0" w:color="000000"/>
            </w:tcBorders>
          </w:tcPr>
          <w:p w14:paraId="6D41468A"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7C3C1D28" w14:textId="77777777" w:rsidR="002D58E4" w:rsidRDefault="00F721D4">
            <w:pPr>
              <w:rPr>
                <w:sz w:val="20"/>
                <w:szCs w:val="20"/>
              </w:rPr>
            </w:pPr>
            <w:r>
              <w:rPr>
                <w:sz w:val="20"/>
                <w:szCs w:val="20"/>
              </w:rPr>
              <w:t xml:space="preserve">RCT </w:t>
            </w:r>
            <w:r>
              <w:rPr>
                <w:sz w:val="20"/>
                <w:szCs w:val="20"/>
                <w:vertAlign w:val="superscript"/>
              </w:rPr>
              <w:t>1</w:t>
            </w:r>
          </w:p>
        </w:tc>
        <w:tc>
          <w:tcPr>
            <w:tcW w:w="940" w:type="dxa"/>
            <w:tcBorders>
              <w:top w:val="single" w:sz="6" w:space="0" w:color="000000"/>
              <w:left w:val="single" w:sz="6" w:space="0" w:color="000000"/>
              <w:bottom w:val="single" w:sz="6" w:space="0" w:color="000000"/>
              <w:right w:val="single" w:sz="6" w:space="0" w:color="000000"/>
            </w:tcBorders>
          </w:tcPr>
          <w:p w14:paraId="29377FA5" w14:textId="77777777" w:rsidR="002D58E4" w:rsidRDefault="00F721D4">
            <w:pPr>
              <w:rPr>
                <w:sz w:val="20"/>
                <w:szCs w:val="20"/>
              </w:rPr>
            </w:pPr>
            <w:r>
              <w:rPr>
                <w:sz w:val="20"/>
                <w:szCs w:val="20"/>
              </w:rPr>
              <w:t xml:space="preserve">serious </w:t>
            </w:r>
            <w:r>
              <w:rPr>
                <w:sz w:val="20"/>
                <w:szCs w:val="20"/>
                <w:vertAlign w:val="superscript"/>
              </w:rPr>
              <w:t>a</w:t>
            </w:r>
          </w:p>
        </w:tc>
        <w:tc>
          <w:tcPr>
            <w:tcW w:w="1213" w:type="dxa"/>
            <w:tcBorders>
              <w:top w:val="single" w:sz="6" w:space="0" w:color="000000"/>
              <w:left w:val="single" w:sz="6" w:space="0" w:color="000000"/>
              <w:bottom w:val="single" w:sz="6" w:space="0" w:color="000000"/>
              <w:right w:val="single" w:sz="6" w:space="0" w:color="000000"/>
            </w:tcBorders>
          </w:tcPr>
          <w:p w14:paraId="51289703"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1D361F2A" w14:textId="77777777" w:rsidR="002D58E4" w:rsidRDefault="00F721D4">
            <w:pPr>
              <w:rPr>
                <w:sz w:val="20"/>
                <w:szCs w:val="20"/>
              </w:rPr>
            </w:pPr>
            <w:r>
              <w:rPr>
                <w:sz w:val="20"/>
                <w:szCs w:val="20"/>
              </w:rPr>
              <w:t>not serious</w:t>
            </w:r>
          </w:p>
        </w:tc>
        <w:tc>
          <w:tcPr>
            <w:tcW w:w="1177" w:type="dxa"/>
            <w:tcBorders>
              <w:top w:val="single" w:sz="6" w:space="0" w:color="000000"/>
              <w:left w:val="single" w:sz="6" w:space="0" w:color="000000"/>
              <w:bottom w:val="single" w:sz="6" w:space="0" w:color="000000"/>
              <w:right w:val="single" w:sz="6" w:space="0" w:color="000000"/>
            </w:tcBorders>
          </w:tcPr>
          <w:p w14:paraId="40565644" w14:textId="77777777" w:rsidR="002D58E4" w:rsidRDefault="00F721D4">
            <w:pPr>
              <w:rPr>
                <w:sz w:val="20"/>
                <w:szCs w:val="20"/>
              </w:rPr>
            </w:pPr>
            <w:r>
              <w:rPr>
                <w:sz w:val="20"/>
                <w:szCs w:val="20"/>
              </w:rPr>
              <w:t xml:space="preserve">serious </w:t>
            </w:r>
            <w:r>
              <w:rPr>
                <w:sz w:val="20"/>
                <w:szCs w:val="20"/>
                <w:vertAlign w:val="superscript"/>
              </w:rPr>
              <w:t>c</w:t>
            </w:r>
          </w:p>
        </w:tc>
        <w:tc>
          <w:tcPr>
            <w:tcW w:w="1007" w:type="dxa"/>
            <w:gridSpan w:val="2"/>
            <w:tcBorders>
              <w:top w:val="single" w:sz="6" w:space="0" w:color="000000"/>
              <w:left w:val="single" w:sz="6" w:space="0" w:color="000000"/>
              <w:bottom w:val="single" w:sz="6" w:space="0" w:color="000000"/>
              <w:right w:val="single" w:sz="6" w:space="0" w:color="000000"/>
            </w:tcBorders>
          </w:tcPr>
          <w:p w14:paraId="4B383788" w14:textId="77777777" w:rsidR="002D58E4" w:rsidRDefault="00F721D4">
            <w:pPr>
              <w:rPr>
                <w:sz w:val="20"/>
                <w:szCs w:val="20"/>
              </w:rPr>
            </w:pPr>
            <w:r>
              <w:rPr>
                <w:sz w:val="20"/>
                <w:szCs w:val="20"/>
              </w:rPr>
              <w:t xml:space="preserve">none </w:t>
            </w:r>
          </w:p>
        </w:tc>
        <w:tc>
          <w:tcPr>
            <w:tcW w:w="1156" w:type="dxa"/>
            <w:gridSpan w:val="3"/>
            <w:tcBorders>
              <w:top w:val="single" w:sz="6" w:space="0" w:color="000000"/>
              <w:left w:val="single" w:sz="6" w:space="0" w:color="000000"/>
              <w:bottom w:val="single" w:sz="6" w:space="0" w:color="000000"/>
              <w:right w:val="single" w:sz="6" w:space="0" w:color="000000"/>
            </w:tcBorders>
          </w:tcPr>
          <w:p w14:paraId="46B74B86" w14:textId="77777777" w:rsidR="002D58E4" w:rsidRDefault="00F721D4">
            <w:pPr>
              <w:jc w:val="center"/>
              <w:rPr>
                <w:sz w:val="20"/>
                <w:szCs w:val="20"/>
              </w:rPr>
            </w:pPr>
            <w:r>
              <w:rPr>
                <w:sz w:val="20"/>
                <w:szCs w:val="20"/>
              </w:rPr>
              <w:t xml:space="preserve">0/96 </w:t>
            </w:r>
          </w:p>
          <w:p w14:paraId="00D93BD6" w14:textId="77777777" w:rsidR="002D58E4" w:rsidRDefault="00F721D4">
            <w:pPr>
              <w:jc w:val="center"/>
              <w:rPr>
                <w:sz w:val="20"/>
                <w:szCs w:val="20"/>
              </w:rPr>
            </w:pPr>
            <w:r>
              <w:rPr>
                <w:sz w:val="20"/>
                <w:szCs w:val="20"/>
              </w:rPr>
              <w:t xml:space="preserve">(0.0%) </w:t>
            </w:r>
          </w:p>
        </w:tc>
        <w:tc>
          <w:tcPr>
            <w:tcW w:w="1171" w:type="dxa"/>
            <w:tcBorders>
              <w:top w:val="single" w:sz="6" w:space="0" w:color="000000"/>
              <w:left w:val="single" w:sz="6" w:space="0" w:color="000000"/>
              <w:bottom w:val="single" w:sz="6" w:space="0" w:color="000000"/>
              <w:right w:val="single" w:sz="6" w:space="0" w:color="000000"/>
            </w:tcBorders>
          </w:tcPr>
          <w:p w14:paraId="28D9204A" w14:textId="77777777" w:rsidR="002D58E4" w:rsidRDefault="00F721D4">
            <w:pPr>
              <w:jc w:val="center"/>
              <w:rPr>
                <w:sz w:val="20"/>
                <w:szCs w:val="20"/>
              </w:rPr>
            </w:pPr>
            <w:r>
              <w:rPr>
                <w:sz w:val="20"/>
                <w:szCs w:val="20"/>
              </w:rPr>
              <w:t xml:space="preserve">0/101 </w:t>
            </w:r>
          </w:p>
          <w:p w14:paraId="2CB87C6B" w14:textId="77777777" w:rsidR="002D58E4" w:rsidRDefault="00F721D4">
            <w:pPr>
              <w:jc w:val="center"/>
              <w:rPr>
                <w:sz w:val="20"/>
                <w:szCs w:val="20"/>
              </w:rPr>
            </w:pPr>
            <w:r>
              <w:rPr>
                <w:sz w:val="20"/>
                <w:szCs w:val="20"/>
              </w:rPr>
              <w:t xml:space="preserve">(0.0%) </w:t>
            </w:r>
          </w:p>
        </w:tc>
        <w:tc>
          <w:tcPr>
            <w:tcW w:w="1215" w:type="dxa"/>
            <w:gridSpan w:val="2"/>
            <w:tcBorders>
              <w:top w:val="single" w:sz="6" w:space="0" w:color="000000"/>
              <w:left w:val="single" w:sz="6" w:space="0" w:color="000000"/>
              <w:bottom w:val="single" w:sz="6" w:space="0" w:color="000000"/>
              <w:right w:val="single" w:sz="6" w:space="0" w:color="000000"/>
            </w:tcBorders>
          </w:tcPr>
          <w:p w14:paraId="3C89E96E"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p w14:paraId="11CCE6E9" w14:textId="77777777" w:rsidR="002D58E4" w:rsidRDefault="002D58E4">
            <w:pPr>
              <w:jc w:val="center"/>
              <w:rPr>
                <w:sz w:val="20"/>
                <w:szCs w:val="20"/>
              </w:rPr>
            </w:pPr>
          </w:p>
        </w:tc>
        <w:tc>
          <w:tcPr>
            <w:tcW w:w="1787" w:type="dxa"/>
            <w:tcBorders>
              <w:top w:val="single" w:sz="6" w:space="0" w:color="000000"/>
              <w:left w:val="single" w:sz="6" w:space="0" w:color="000000"/>
              <w:bottom w:val="single" w:sz="6" w:space="0" w:color="000000"/>
              <w:right w:val="single" w:sz="6" w:space="0" w:color="000000"/>
            </w:tcBorders>
          </w:tcPr>
          <w:p w14:paraId="7CC32E71" w14:textId="77777777" w:rsidR="002D58E4" w:rsidRDefault="00F721D4">
            <w:pPr>
              <w:jc w:val="center"/>
              <w:rPr>
                <w:sz w:val="20"/>
                <w:szCs w:val="20"/>
              </w:rPr>
            </w:pPr>
            <w:r>
              <w:rPr>
                <w:sz w:val="20"/>
                <w:szCs w:val="20"/>
              </w:rPr>
              <w:t>0 per 1,000</w:t>
            </w:r>
          </w:p>
        </w:tc>
        <w:tc>
          <w:tcPr>
            <w:tcW w:w="1239" w:type="dxa"/>
            <w:tcBorders>
              <w:top w:val="single" w:sz="6" w:space="0" w:color="000000"/>
              <w:left w:val="single" w:sz="6" w:space="0" w:color="000000"/>
              <w:bottom w:val="single" w:sz="6" w:space="0" w:color="000000"/>
              <w:right w:val="single" w:sz="6" w:space="0" w:color="000000"/>
            </w:tcBorders>
          </w:tcPr>
          <w:p w14:paraId="66D98EEC"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20" w:type="dxa"/>
            <w:tcBorders>
              <w:top w:val="single" w:sz="6" w:space="0" w:color="000000"/>
              <w:left w:val="single" w:sz="6" w:space="0" w:color="000000"/>
              <w:bottom w:val="single" w:sz="6" w:space="0" w:color="000000"/>
              <w:right w:val="single" w:sz="6" w:space="0" w:color="000000"/>
            </w:tcBorders>
          </w:tcPr>
          <w:p w14:paraId="434CE6E6" w14:textId="77777777" w:rsidR="002D58E4" w:rsidRDefault="00F721D4">
            <w:pPr>
              <w:rPr>
                <w:sz w:val="20"/>
                <w:szCs w:val="20"/>
              </w:rPr>
            </w:pPr>
            <w:r>
              <w:rPr>
                <w:sz w:val="20"/>
                <w:szCs w:val="20"/>
              </w:rPr>
              <w:t>CRITICAL</w:t>
            </w:r>
          </w:p>
        </w:tc>
      </w:tr>
      <w:tr w:rsidR="002D58E4" w14:paraId="5632FC15" w14:textId="77777777" w:rsidTr="000F5BF4">
        <w:tc>
          <w:tcPr>
            <w:tcW w:w="14897" w:type="dxa"/>
            <w:gridSpan w:val="17"/>
            <w:tcBorders>
              <w:top w:val="single" w:sz="6" w:space="0" w:color="000000"/>
              <w:left w:val="single" w:sz="6" w:space="0" w:color="000000"/>
              <w:bottom w:val="single" w:sz="6" w:space="0" w:color="000000"/>
              <w:right w:val="single" w:sz="6" w:space="0" w:color="000000"/>
            </w:tcBorders>
            <w:shd w:val="clear" w:color="auto" w:fill="EDEDED"/>
            <w:vAlign w:val="center"/>
          </w:tcPr>
          <w:p w14:paraId="398C4B56" w14:textId="77777777" w:rsidR="002D58E4" w:rsidRDefault="00F721D4">
            <w:pPr>
              <w:rPr>
                <w:sz w:val="20"/>
                <w:szCs w:val="20"/>
              </w:rPr>
            </w:pPr>
            <w:r>
              <w:rPr>
                <w:b/>
                <w:sz w:val="20"/>
                <w:szCs w:val="20"/>
              </w:rPr>
              <w:t xml:space="preserve">Gastrointestinal Adverse Events </w:t>
            </w:r>
          </w:p>
        </w:tc>
      </w:tr>
      <w:tr w:rsidR="002D58E4" w14:paraId="50D1C6B1" w14:textId="77777777" w:rsidTr="000F5BF4">
        <w:tc>
          <w:tcPr>
            <w:tcW w:w="842" w:type="dxa"/>
            <w:tcBorders>
              <w:top w:val="single" w:sz="6" w:space="0" w:color="000000"/>
              <w:left w:val="single" w:sz="6" w:space="0" w:color="000000"/>
              <w:bottom w:val="single" w:sz="6" w:space="0" w:color="000000"/>
              <w:right w:val="single" w:sz="6" w:space="0" w:color="000000"/>
            </w:tcBorders>
          </w:tcPr>
          <w:p w14:paraId="7CFD834C"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24A2FA5D" w14:textId="77777777" w:rsidR="002D58E4" w:rsidRDefault="00F721D4">
            <w:pPr>
              <w:rPr>
                <w:sz w:val="20"/>
                <w:szCs w:val="20"/>
              </w:rPr>
            </w:pPr>
            <w:r>
              <w:rPr>
                <w:sz w:val="20"/>
                <w:szCs w:val="20"/>
              </w:rPr>
              <w:t xml:space="preserve">RCT </w:t>
            </w:r>
            <w:r>
              <w:rPr>
                <w:sz w:val="20"/>
                <w:szCs w:val="20"/>
                <w:vertAlign w:val="superscript"/>
              </w:rPr>
              <w:t>1</w:t>
            </w:r>
          </w:p>
        </w:tc>
        <w:tc>
          <w:tcPr>
            <w:tcW w:w="940" w:type="dxa"/>
            <w:tcBorders>
              <w:top w:val="single" w:sz="6" w:space="0" w:color="000000"/>
              <w:left w:val="single" w:sz="6" w:space="0" w:color="000000"/>
              <w:bottom w:val="single" w:sz="6" w:space="0" w:color="000000"/>
              <w:right w:val="single" w:sz="6" w:space="0" w:color="000000"/>
            </w:tcBorders>
          </w:tcPr>
          <w:p w14:paraId="1B6B9016" w14:textId="77777777" w:rsidR="002D58E4" w:rsidRDefault="00F721D4">
            <w:pPr>
              <w:rPr>
                <w:sz w:val="20"/>
                <w:szCs w:val="20"/>
              </w:rPr>
            </w:pPr>
            <w:r>
              <w:rPr>
                <w:sz w:val="20"/>
                <w:szCs w:val="20"/>
              </w:rPr>
              <w:t xml:space="preserve">serious </w:t>
            </w:r>
            <w:r>
              <w:rPr>
                <w:sz w:val="20"/>
                <w:szCs w:val="20"/>
                <w:vertAlign w:val="superscript"/>
              </w:rPr>
              <w:t>a</w:t>
            </w:r>
          </w:p>
        </w:tc>
        <w:tc>
          <w:tcPr>
            <w:tcW w:w="1213" w:type="dxa"/>
            <w:tcBorders>
              <w:top w:val="single" w:sz="6" w:space="0" w:color="000000"/>
              <w:left w:val="single" w:sz="6" w:space="0" w:color="000000"/>
              <w:bottom w:val="single" w:sz="6" w:space="0" w:color="000000"/>
              <w:right w:val="single" w:sz="6" w:space="0" w:color="000000"/>
            </w:tcBorders>
          </w:tcPr>
          <w:p w14:paraId="08836EB7"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353B2A56" w14:textId="77777777" w:rsidR="002D58E4" w:rsidRDefault="00F721D4">
            <w:pPr>
              <w:rPr>
                <w:sz w:val="20"/>
                <w:szCs w:val="20"/>
              </w:rPr>
            </w:pPr>
            <w:r>
              <w:rPr>
                <w:sz w:val="20"/>
                <w:szCs w:val="20"/>
              </w:rPr>
              <w:t>not serious</w:t>
            </w:r>
          </w:p>
        </w:tc>
        <w:tc>
          <w:tcPr>
            <w:tcW w:w="1177" w:type="dxa"/>
            <w:tcBorders>
              <w:top w:val="single" w:sz="6" w:space="0" w:color="000000"/>
              <w:left w:val="single" w:sz="6" w:space="0" w:color="000000"/>
              <w:bottom w:val="single" w:sz="6" w:space="0" w:color="000000"/>
              <w:right w:val="single" w:sz="6" w:space="0" w:color="000000"/>
            </w:tcBorders>
          </w:tcPr>
          <w:p w14:paraId="39D40680" w14:textId="77777777" w:rsidR="002D58E4" w:rsidRDefault="00F721D4">
            <w:pPr>
              <w:rPr>
                <w:sz w:val="20"/>
                <w:szCs w:val="20"/>
              </w:rPr>
            </w:pPr>
            <w:r>
              <w:rPr>
                <w:sz w:val="20"/>
                <w:szCs w:val="20"/>
              </w:rPr>
              <w:t xml:space="preserve">serious </w:t>
            </w:r>
            <w:r>
              <w:rPr>
                <w:sz w:val="20"/>
                <w:szCs w:val="20"/>
                <w:vertAlign w:val="superscript"/>
              </w:rPr>
              <w:t>e</w:t>
            </w:r>
          </w:p>
        </w:tc>
        <w:tc>
          <w:tcPr>
            <w:tcW w:w="1007" w:type="dxa"/>
            <w:gridSpan w:val="2"/>
            <w:tcBorders>
              <w:top w:val="single" w:sz="6" w:space="0" w:color="000000"/>
              <w:left w:val="single" w:sz="6" w:space="0" w:color="000000"/>
              <w:bottom w:val="single" w:sz="6" w:space="0" w:color="000000"/>
              <w:right w:val="single" w:sz="6" w:space="0" w:color="000000"/>
            </w:tcBorders>
          </w:tcPr>
          <w:p w14:paraId="160A2D80" w14:textId="77777777" w:rsidR="002D58E4" w:rsidRDefault="00F721D4">
            <w:pPr>
              <w:rPr>
                <w:sz w:val="20"/>
                <w:szCs w:val="20"/>
              </w:rPr>
            </w:pPr>
            <w:r>
              <w:rPr>
                <w:sz w:val="20"/>
                <w:szCs w:val="20"/>
              </w:rPr>
              <w:t xml:space="preserve">none </w:t>
            </w:r>
          </w:p>
        </w:tc>
        <w:tc>
          <w:tcPr>
            <w:tcW w:w="1156" w:type="dxa"/>
            <w:gridSpan w:val="3"/>
            <w:tcBorders>
              <w:top w:val="single" w:sz="6" w:space="0" w:color="000000"/>
              <w:left w:val="single" w:sz="6" w:space="0" w:color="000000"/>
              <w:bottom w:val="single" w:sz="6" w:space="0" w:color="000000"/>
              <w:right w:val="single" w:sz="6" w:space="0" w:color="000000"/>
            </w:tcBorders>
          </w:tcPr>
          <w:p w14:paraId="1F80488A" w14:textId="77777777" w:rsidR="002D58E4" w:rsidRDefault="00F721D4">
            <w:pPr>
              <w:jc w:val="center"/>
              <w:rPr>
                <w:sz w:val="20"/>
                <w:szCs w:val="20"/>
              </w:rPr>
            </w:pPr>
            <w:r>
              <w:rPr>
                <w:sz w:val="20"/>
                <w:szCs w:val="20"/>
              </w:rPr>
              <w:t xml:space="preserve">14/108 (13.0%) </w:t>
            </w:r>
          </w:p>
        </w:tc>
        <w:tc>
          <w:tcPr>
            <w:tcW w:w="1171" w:type="dxa"/>
            <w:tcBorders>
              <w:top w:val="single" w:sz="6" w:space="0" w:color="000000"/>
              <w:left w:val="single" w:sz="6" w:space="0" w:color="000000"/>
              <w:bottom w:val="single" w:sz="6" w:space="0" w:color="000000"/>
              <w:right w:val="single" w:sz="6" w:space="0" w:color="000000"/>
            </w:tcBorders>
          </w:tcPr>
          <w:p w14:paraId="176BA316" w14:textId="77777777" w:rsidR="002D58E4" w:rsidRDefault="00F721D4">
            <w:pPr>
              <w:jc w:val="center"/>
              <w:rPr>
                <w:sz w:val="20"/>
                <w:szCs w:val="20"/>
              </w:rPr>
            </w:pPr>
            <w:r>
              <w:rPr>
                <w:sz w:val="20"/>
                <w:szCs w:val="20"/>
              </w:rPr>
              <w:t xml:space="preserve">25/117 (21.4%) </w:t>
            </w:r>
          </w:p>
        </w:tc>
        <w:tc>
          <w:tcPr>
            <w:tcW w:w="1215" w:type="dxa"/>
            <w:gridSpan w:val="2"/>
            <w:tcBorders>
              <w:top w:val="single" w:sz="6" w:space="0" w:color="000000"/>
              <w:left w:val="single" w:sz="6" w:space="0" w:color="000000"/>
              <w:bottom w:val="single" w:sz="6" w:space="0" w:color="000000"/>
              <w:right w:val="single" w:sz="6" w:space="0" w:color="000000"/>
            </w:tcBorders>
          </w:tcPr>
          <w:p w14:paraId="175C4B60" w14:textId="77777777" w:rsidR="002D58E4" w:rsidRDefault="00F721D4">
            <w:pPr>
              <w:jc w:val="center"/>
              <w:rPr>
                <w:sz w:val="20"/>
                <w:szCs w:val="20"/>
              </w:rPr>
            </w:pPr>
            <w:r>
              <w:rPr>
                <w:sz w:val="20"/>
                <w:szCs w:val="20"/>
              </w:rPr>
              <w:t>RR 0.61</w:t>
            </w:r>
            <w:r>
              <w:rPr>
                <w:sz w:val="20"/>
                <w:szCs w:val="20"/>
              </w:rPr>
              <w:br/>
              <w:t xml:space="preserve">(0.33 to 1.11) </w:t>
            </w:r>
          </w:p>
        </w:tc>
        <w:tc>
          <w:tcPr>
            <w:tcW w:w="1787" w:type="dxa"/>
            <w:tcBorders>
              <w:top w:val="single" w:sz="6" w:space="0" w:color="000000"/>
              <w:left w:val="single" w:sz="6" w:space="0" w:color="000000"/>
              <w:bottom w:val="single" w:sz="6" w:space="0" w:color="000000"/>
              <w:right w:val="single" w:sz="6" w:space="0" w:color="000000"/>
            </w:tcBorders>
          </w:tcPr>
          <w:p w14:paraId="4AC4672F" w14:textId="77777777" w:rsidR="002D58E4" w:rsidRDefault="00F721D4">
            <w:pPr>
              <w:jc w:val="center"/>
              <w:rPr>
                <w:sz w:val="20"/>
                <w:szCs w:val="20"/>
              </w:rPr>
            </w:pPr>
            <w:r>
              <w:rPr>
                <w:sz w:val="20"/>
                <w:szCs w:val="20"/>
              </w:rPr>
              <w:t>83 fewer per 1,000</w:t>
            </w:r>
            <w:r>
              <w:rPr>
                <w:sz w:val="20"/>
                <w:szCs w:val="20"/>
              </w:rPr>
              <w:br/>
              <w:t xml:space="preserve">(from 24 more to 143 fewer) </w:t>
            </w:r>
          </w:p>
        </w:tc>
        <w:tc>
          <w:tcPr>
            <w:tcW w:w="1239" w:type="dxa"/>
            <w:tcBorders>
              <w:top w:val="single" w:sz="6" w:space="0" w:color="000000"/>
              <w:left w:val="single" w:sz="6" w:space="0" w:color="000000"/>
              <w:bottom w:val="single" w:sz="6" w:space="0" w:color="000000"/>
              <w:right w:val="single" w:sz="6" w:space="0" w:color="000000"/>
            </w:tcBorders>
          </w:tcPr>
          <w:p w14:paraId="6BB7509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20" w:type="dxa"/>
            <w:tcBorders>
              <w:top w:val="single" w:sz="6" w:space="0" w:color="000000"/>
              <w:left w:val="single" w:sz="6" w:space="0" w:color="000000"/>
              <w:bottom w:val="single" w:sz="6" w:space="0" w:color="000000"/>
              <w:right w:val="single" w:sz="6" w:space="0" w:color="000000"/>
            </w:tcBorders>
          </w:tcPr>
          <w:p w14:paraId="729B7483" w14:textId="77777777" w:rsidR="002D58E4" w:rsidRDefault="00F721D4">
            <w:pPr>
              <w:rPr>
                <w:sz w:val="20"/>
                <w:szCs w:val="20"/>
              </w:rPr>
            </w:pPr>
            <w:r>
              <w:rPr>
                <w:sz w:val="20"/>
                <w:szCs w:val="20"/>
              </w:rPr>
              <w:t>IMPORTANT</w:t>
            </w:r>
          </w:p>
        </w:tc>
      </w:tr>
      <w:tr w:rsidR="002D58E4" w14:paraId="5E548ED1" w14:textId="77777777" w:rsidTr="000F5BF4">
        <w:tc>
          <w:tcPr>
            <w:tcW w:w="14897" w:type="dxa"/>
            <w:gridSpan w:val="17"/>
            <w:tcBorders>
              <w:top w:val="single" w:sz="6" w:space="0" w:color="000000"/>
              <w:left w:val="single" w:sz="6" w:space="0" w:color="000000"/>
              <w:bottom w:val="single" w:sz="6" w:space="0" w:color="000000"/>
              <w:right w:val="single" w:sz="6" w:space="0" w:color="000000"/>
            </w:tcBorders>
            <w:shd w:val="clear" w:color="auto" w:fill="EDEDED"/>
            <w:vAlign w:val="center"/>
          </w:tcPr>
          <w:p w14:paraId="1AC04CF2" w14:textId="77777777" w:rsidR="002D58E4" w:rsidRDefault="00F721D4">
            <w:pPr>
              <w:rPr>
                <w:sz w:val="20"/>
                <w:szCs w:val="20"/>
              </w:rPr>
            </w:pPr>
            <w:r>
              <w:rPr>
                <w:b/>
                <w:sz w:val="20"/>
                <w:szCs w:val="20"/>
              </w:rPr>
              <w:t xml:space="preserve">Allergic reaction </w:t>
            </w:r>
          </w:p>
        </w:tc>
      </w:tr>
      <w:tr w:rsidR="002D58E4" w14:paraId="6993D575" w14:textId="77777777" w:rsidTr="000F5BF4">
        <w:tc>
          <w:tcPr>
            <w:tcW w:w="842" w:type="dxa"/>
            <w:tcBorders>
              <w:top w:val="single" w:sz="6" w:space="0" w:color="000000"/>
              <w:left w:val="single" w:sz="6" w:space="0" w:color="000000"/>
              <w:bottom w:val="single" w:sz="6" w:space="0" w:color="000000"/>
              <w:right w:val="single" w:sz="6" w:space="0" w:color="000000"/>
            </w:tcBorders>
          </w:tcPr>
          <w:p w14:paraId="6CF7DCE3"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7BE1DF0E" w14:textId="77777777" w:rsidR="002D58E4" w:rsidRDefault="00F721D4">
            <w:pPr>
              <w:rPr>
                <w:sz w:val="20"/>
                <w:szCs w:val="20"/>
              </w:rPr>
            </w:pPr>
            <w:r>
              <w:rPr>
                <w:sz w:val="20"/>
                <w:szCs w:val="20"/>
              </w:rPr>
              <w:t xml:space="preserve">RCT </w:t>
            </w:r>
            <w:r>
              <w:rPr>
                <w:sz w:val="20"/>
                <w:szCs w:val="20"/>
                <w:vertAlign w:val="superscript"/>
              </w:rPr>
              <w:t>1</w:t>
            </w:r>
          </w:p>
        </w:tc>
        <w:tc>
          <w:tcPr>
            <w:tcW w:w="940" w:type="dxa"/>
            <w:tcBorders>
              <w:top w:val="single" w:sz="6" w:space="0" w:color="000000"/>
              <w:left w:val="single" w:sz="6" w:space="0" w:color="000000"/>
              <w:bottom w:val="single" w:sz="6" w:space="0" w:color="000000"/>
              <w:right w:val="single" w:sz="6" w:space="0" w:color="000000"/>
            </w:tcBorders>
          </w:tcPr>
          <w:p w14:paraId="23372030" w14:textId="77777777" w:rsidR="002D58E4" w:rsidRDefault="00F721D4">
            <w:pPr>
              <w:rPr>
                <w:sz w:val="20"/>
                <w:szCs w:val="20"/>
              </w:rPr>
            </w:pPr>
            <w:r>
              <w:rPr>
                <w:sz w:val="20"/>
                <w:szCs w:val="20"/>
              </w:rPr>
              <w:t xml:space="preserve">serious </w:t>
            </w:r>
            <w:r>
              <w:rPr>
                <w:sz w:val="20"/>
                <w:szCs w:val="20"/>
                <w:vertAlign w:val="superscript"/>
              </w:rPr>
              <w:t>a</w:t>
            </w:r>
          </w:p>
        </w:tc>
        <w:tc>
          <w:tcPr>
            <w:tcW w:w="1213" w:type="dxa"/>
            <w:tcBorders>
              <w:top w:val="single" w:sz="6" w:space="0" w:color="000000"/>
              <w:left w:val="single" w:sz="6" w:space="0" w:color="000000"/>
              <w:bottom w:val="single" w:sz="6" w:space="0" w:color="000000"/>
              <w:right w:val="single" w:sz="6" w:space="0" w:color="000000"/>
            </w:tcBorders>
          </w:tcPr>
          <w:p w14:paraId="14DA8DE8" w14:textId="77777777" w:rsidR="002D58E4" w:rsidRDefault="00F721D4">
            <w:pPr>
              <w:rPr>
                <w:sz w:val="20"/>
                <w:szCs w:val="20"/>
              </w:rPr>
            </w:pPr>
            <w:r>
              <w:rPr>
                <w:sz w:val="20"/>
                <w:szCs w:val="20"/>
              </w:rPr>
              <w:t xml:space="preserve">not serious </w:t>
            </w:r>
          </w:p>
        </w:tc>
        <w:tc>
          <w:tcPr>
            <w:tcW w:w="1134" w:type="dxa"/>
            <w:tcBorders>
              <w:top w:val="single" w:sz="6" w:space="0" w:color="000000"/>
              <w:left w:val="single" w:sz="6" w:space="0" w:color="000000"/>
              <w:bottom w:val="single" w:sz="6" w:space="0" w:color="000000"/>
              <w:right w:val="single" w:sz="6" w:space="0" w:color="000000"/>
            </w:tcBorders>
          </w:tcPr>
          <w:p w14:paraId="1F82C72A" w14:textId="77777777" w:rsidR="002D58E4" w:rsidRDefault="00F721D4">
            <w:pPr>
              <w:rPr>
                <w:sz w:val="20"/>
                <w:szCs w:val="20"/>
              </w:rPr>
            </w:pPr>
            <w:r>
              <w:rPr>
                <w:sz w:val="20"/>
                <w:szCs w:val="20"/>
              </w:rPr>
              <w:t>not serious</w:t>
            </w:r>
          </w:p>
        </w:tc>
        <w:tc>
          <w:tcPr>
            <w:tcW w:w="1177" w:type="dxa"/>
            <w:tcBorders>
              <w:top w:val="single" w:sz="6" w:space="0" w:color="000000"/>
              <w:left w:val="single" w:sz="6" w:space="0" w:color="000000"/>
              <w:bottom w:val="single" w:sz="6" w:space="0" w:color="000000"/>
              <w:right w:val="single" w:sz="6" w:space="0" w:color="000000"/>
            </w:tcBorders>
          </w:tcPr>
          <w:p w14:paraId="771F4D7A" w14:textId="77777777" w:rsidR="002D58E4" w:rsidRDefault="00F721D4">
            <w:pPr>
              <w:rPr>
                <w:sz w:val="20"/>
                <w:szCs w:val="20"/>
              </w:rPr>
            </w:pPr>
            <w:r>
              <w:rPr>
                <w:sz w:val="20"/>
                <w:szCs w:val="20"/>
              </w:rPr>
              <w:t xml:space="preserve">serious </w:t>
            </w:r>
            <w:r>
              <w:rPr>
                <w:sz w:val="20"/>
                <w:szCs w:val="20"/>
                <w:vertAlign w:val="superscript"/>
              </w:rPr>
              <w:t>e</w:t>
            </w:r>
          </w:p>
        </w:tc>
        <w:tc>
          <w:tcPr>
            <w:tcW w:w="1007" w:type="dxa"/>
            <w:gridSpan w:val="2"/>
            <w:tcBorders>
              <w:top w:val="single" w:sz="6" w:space="0" w:color="000000"/>
              <w:left w:val="single" w:sz="6" w:space="0" w:color="000000"/>
              <w:bottom w:val="single" w:sz="6" w:space="0" w:color="000000"/>
              <w:right w:val="single" w:sz="6" w:space="0" w:color="000000"/>
            </w:tcBorders>
          </w:tcPr>
          <w:p w14:paraId="06EC3C82" w14:textId="77777777" w:rsidR="002D58E4" w:rsidRDefault="00F721D4">
            <w:pPr>
              <w:rPr>
                <w:sz w:val="20"/>
                <w:szCs w:val="20"/>
              </w:rPr>
            </w:pPr>
            <w:r>
              <w:rPr>
                <w:sz w:val="20"/>
                <w:szCs w:val="20"/>
              </w:rPr>
              <w:t xml:space="preserve">none </w:t>
            </w:r>
          </w:p>
        </w:tc>
        <w:tc>
          <w:tcPr>
            <w:tcW w:w="1141" w:type="dxa"/>
            <w:gridSpan w:val="2"/>
            <w:tcBorders>
              <w:top w:val="single" w:sz="6" w:space="0" w:color="000000"/>
              <w:left w:val="single" w:sz="6" w:space="0" w:color="000000"/>
              <w:bottom w:val="single" w:sz="6" w:space="0" w:color="000000"/>
              <w:right w:val="single" w:sz="6" w:space="0" w:color="000000"/>
            </w:tcBorders>
          </w:tcPr>
          <w:p w14:paraId="2FD9EC05" w14:textId="77777777" w:rsidR="002D58E4" w:rsidRDefault="00F721D4">
            <w:pPr>
              <w:jc w:val="center"/>
              <w:rPr>
                <w:sz w:val="20"/>
                <w:szCs w:val="20"/>
              </w:rPr>
            </w:pPr>
            <w:r>
              <w:rPr>
                <w:sz w:val="20"/>
                <w:szCs w:val="20"/>
              </w:rPr>
              <w:t xml:space="preserve">0/108 </w:t>
            </w:r>
          </w:p>
          <w:p w14:paraId="56403669" w14:textId="77777777" w:rsidR="002D58E4" w:rsidRDefault="00F721D4">
            <w:pPr>
              <w:jc w:val="center"/>
              <w:rPr>
                <w:sz w:val="20"/>
                <w:szCs w:val="20"/>
              </w:rPr>
            </w:pPr>
            <w:r>
              <w:rPr>
                <w:sz w:val="20"/>
                <w:szCs w:val="20"/>
              </w:rPr>
              <w:t xml:space="preserve">(0.0%) </w:t>
            </w:r>
          </w:p>
        </w:tc>
        <w:tc>
          <w:tcPr>
            <w:tcW w:w="1186" w:type="dxa"/>
            <w:gridSpan w:val="2"/>
            <w:tcBorders>
              <w:top w:val="single" w:sz="6" w:space="0" w:color="000000"/>
              <w:left w:val="single" w:sz="6" w:space="0" w:color="000000"/>
              <w:bottom w:val="single" w:sz="6" w:space="0" w:color="000000"/>
              <w:right w:val="single" w:sz="6" w:space="0" w:color="000000"/>
            </w:tcBorders>
          </w:tcPr>
          <w:p w14:paraId="787435A1" w14:textId="77777777" w:rsidR="002D58E4" w:rsidRDefault="00F721D4">
            <w:pPr>
              <w:jc w:val="center"/>
              <w:rPr>
                <w:sz w:val="20"/>
                <w:szCs w:val="20"/>
              </w:rPr>
            </w:pPr>
            <w:r>
              <w:rPr>
                <w:sz w:val="20"/>
                <w:szCs w:val="20"/>
              </w:rPr>
              <w:t xml:space="preserve">7/117 </w:t>
            </w:r>
          </w:p>
          <w:p w14:paraId="1D3A5960" w14:textId="77777777" w:rsidR="002D58E4" w:rsidRDefault="00F721D4">
            <w:pPr>
              <w:jc w:val="center"/>
              <w:rPr>
                <w:sz w:val="20"/>
                <w:szCs w:val="20"/>
              </w:rPr>
            </w:pPr>
            <w:r>
              <w:rPr>
                <w:sz w:val="20"/>
                <w:szCs w:val="20"/>
              </w:rPr>
              <w:t xml:space="preserve">(6.0%) </w:t>
            </w:r>
          </w:p>
        </w:tc>
        <w:tc>
          <w:tcPr>
            <w:tcW w:w="1215" w:type="dxa"/>
            <w:gridSpan w:val="2"/>
            <w:tcBorders>
              <w:top w:val="single" w:sz="6" w:space="0" w:color="000000"/>
              <w:left w:val="single" w:sz="6" w:space="0" w:color="000000"/>
              <w:bottom w:val="single" w:sz="6" w:space="0" w:color="000000"/>
              <w:right w:val="single" w:sz="6" w:space="0" w:color="000000"/>
            </w:tcBorders>
          </w:tcPr>
          <w:p w14:paraId="62838353"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p w14:paraId="6A5203FB" w14:textId="77777777" w:rsidR="002D58E4" w:rsidRDefault="002D58E4">
            <w:pPr>
              <w:jc w:val="center"/>
              <w:rPr>
                <w:sz w:val="20"/>
                <w:szCs w:val="20"/>
              </w:rPr>
            </w:pPr>
          </w:p>
        </w:tc>
        <w:tc>
          <w:tcPr>
            <w:tcW w:w="1787" w:type="dxa"/>
            <w:tcBorders>
              <w:top w:val="single" w:sz="6" w:space="0" w:color="000000"/>
              <w:left w:val="single" w:sz="6" w:space="0" w:color="000000"/>
              <w:bottom w:val="single" w:sz="6" w:space="0" w:color="000000"/>
              <w:right w:val="single" w:sz="6" w:space="0" w:color="000000"/>
            </w:tcBorders>
          </w:tcPr>
          <w:p w14:paraId="676FA58C" w14:textId="77777777" w:rsidR="002D58E4" w:rsidRDefault="00F721D4">
            <w:pPr>
              <w:jc w:val="center"/>
              <w:rPr>
                <w:sz w:val="20"/>
                <w:szCs w:val="20"/>
              </w:rPr>
            </w:pPr>
            <w:r>
              <w:rPr>
                <w:sz w:val="20"/>
                <w:szCs w:val="20"/>
              </w:rPr>
              <w:t>60 fewer per 1,000</w:t>
            </w:r>
          </w:p>
          <w:p w14:paraId="412EE53E" w14:textId="77777777" w:rsidR="002D58E4" w:rsidRDefault="002D58E4">
            <w:pPr>
              <w:jc w:val="center"/>
              <w:rPr>
                <w:b/>
                <w:sz w:val="20"/>
                <w:szCs w:val="20"/>
              </w:rPr>
            </w:pPr>
          </w:p>
        </w:tc>
        <w:tc>
          <w:tcPr>
            <w:tcW w:w="1239" w:type="dxa"/>
            <w:tcBorders>
              <w:top w:val="single" w:sz="6" w:space="0" w:color="000000"/>
              <w:left w:val="single" w:sz="6" w:space="0" w:color="000000"/>
              <w:bottom w:val="single" w:sz="6" w:space="0" w:color="000000"/>
              <w:right w:val="single" w:sz="6" w:space="0" w:color="000000"/>
            </w:tcBorders>
          </w:tcPr>
          <w:p w14:paraId="3F1D5F4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320" w:type="dxa"/>
            <w:tcBorders>
              <w:top w:val="single" w:sz="6" w:space="0" w:color="000000"/>
              <w:left w:val="single" w:sz="6" w:space="0" w:color="000000"/>
              <w:bottom w:val="single" w:sz="6" w:space="0" w:color="000000"/>
              <w:right w:val="single" w:sz="6" w:space="0" w:color="000000"/>
            </w:tcBorders>
          </w:tcPr>
          <w:p w14:paraId="64DC1162" w14:textId="77777777" w:rsidR="002D58E4" w:rsidRDefault="00F721D4">
            <w:pPr>
              <w:rPr>
                <w:sz w:val="20"/>
                <w:szCs w:val="20"/>
              </w:rPr>
            </w:pPr>
            <w:r>
              <w:rPr>
                <w:sz w:val="20"/>
                <w:szCs w:val="20"/>
              </w:rPr>
              <w:t>IMPORTANT</w:t>
            </w:r>
          </w:p>
        </w:tc>
      </w:tr>
    </w:tbl>
    <w:p w14:paraId="6770E92E" w14:textId="77777777" w:rsidR="002D58E4" w:rsidRDefault="00F721D4">
      <w:pPr>
        <w:spacing w:before="100" w:after="280"/>
        <w:rPr>
          <w:sz w:val="18"/>
          <w:szCs w:val="18"/>
        </w:rPr>
      </w:pPr>
      <w:r>
        <w:rPr>
          <w:b/>
          <w:sz w:val="18"/>
          <w:szCs w:val="18"/>
        </w:rPr>
        <w:t>CI:</w:t>
      </w:r>
      <w:r>
        <w:rPr>
          <w:sz w:val="18"/>
          <w:szCs w:val="18"/>
        </w:rPr>
        <w:t xml:space="preserve"> Confidence interval; </w:t>
      </w:r>
      <w:r>
        <w:rPr>
          <w:b/>
          <w:sz w:val="18"/>
          <w:szCs w:val="18"/>
        </w:rPr>
        <w:t>RR:</w:t>
      </w:r>
      <w:r>
        <w:rPr>
          <w:sz w:val="18"/>
          <w:szCs w:val="18"/>
        </w:rPr>
        <w:t xml:space="preserve"> Risk ratio</w:t>
      </w:r>
    </w:p>
    <w:p w14:paraId="37E8BD84" w14:textId="77777777" w:rsidR="000F5BF4" w:rsidRDefault="000F5BF4" w:rsidP="000F5BF4">
      <w:pPr>
        <w:spacing w:before="280" w:after="0"/>
        <w:rPr>
          <w:b/>
          <w:color w:val="000000"/>
          <w:sz w:val="24"/>
          <w:szCs w:val="24"/>
        </w:rPr>
      </w:pPr>
      <w:r>
        <w:rPr>
          <w:b/>
          <w:color w:val="000000"/>
          <w:sz w:val="24"/>
          <w:szCs w:val="24"/>
        </w:rPr>
        <w:t>Explanations</w:t>
      </w:r>
    </w:p>
    <w:p w14:paraId="71AE7754" w14:textId="76BB4B63" w:rsidR="002D58E4" w:rsidRDefault="00F721D4">
      <w:pPr>
        <w:spacing w:after="0" w:line="240" w:lineRule="auto"/>
        <w:rPr>
          <w:sz w:val="18"/>
          <w:szCs w:val="18"/>
        </w:rPr>
      </w:pPr>
      <w:r>
        <w:rPr>
          <w:sz w:val="18"/>
          <w:szCs w:val="18"/>
        </w:rPr>
        <w:t xml:space="preserve">a. Study received multiple high risk of bias ratings due to open label allocation and unblinded trial design. </w:t>
      </w:r>
    </w:p>
    <w:p w14:paraId="4D24C7C1" w14:textId="77777777" w:rsidR="002D58E4" w:rsidRDefault="00F721D4">
      <w:pPr>
        <w:spacing w:after="0" w:line="240" w:lineRule="auto"/>
        <w:rPr>
          <w:sz w:val="18"/>
          <w:szCs w:val="18"/>
        </w:rPr>
      </w:pPr>
      <w:r>
        <w:rPr>
          <w:sz w:val="18"/>
          <w:szCs w:val="18"/>
        </w:rPr>
        <w:lastRenderedPageBreak/>
        <w:t xml:space="preserve">b. Based on an inferiority margin of 15%, no rated down for imprecision.  </w:t>
      </w:r>
    </w:p>
    <w:p w14:paraId="171002DE" w14:textId="77777777" w:rsidR="002D58E4" w:rsidRDefault="00F721D4">
      <w:pPr>
        <w:spacing w:after="0" w:line="240" w:lineRule="auto"/>
        <w:rPr>
          <w:sz w:val="18"/>
          <w:szCs w:val="18"/>
        </w:rPr>
      </w:pPr>
      <w:r>
        <w:rPr>
          <w:sz w:val="18"/>
          <w:szCs w:val="18"/>
        </w:rPr>
        <w:t>c. Due to low event rate.</w:t>
      </w:r>
    </w:p>
    <w:p w14:paraId="5C4ACAA0" w14:textId="77777777" w:rsidR="002D58E4" w:rsidRDefault="00F721D4">
      <w:pPr>
        <w:spacing w:after="0" w:line="240" w:lineRule="auto"/>
        <w:rPr>
          <w:sz w:val="18"/>
          <w:szCs w:val="18"/>
        </w:rPr>
      </w:pPr>
      <w:r>
        <w:rPr>
          <w:sz w:val="18"/>
          <w:szCs w:val="18"/>
        </w:rPr>
        <w:t>d. Due to zero events in one arm, unable to estimate relative risk.</w:t>
      </w:r>
    </w:p>
    <w:p w14:paraId="3C4C3D02" w14:textId="77777777" w:rsidR="002D58E4" w:rsidRDefault="00F721D4">
      <w:pPr>
        <w:spacing w:after="0" w:line="240" w:lineRule="auto"/>
        <w:rPr>
          <w:sz w:val="18"/>
          <w:szCs w:val="18"/>
        </w:rPr>
      </w:pPr>
      <w:r>
        <w:rPr>
          <w:sz w:val="18"/>
          <w:szCs w:val="18"/>
        </w:rPr>
        <w:t>e. 95% CI wide and crossing the null value.</w:t>
      </w:r>
    </w:p>
    <w:p w14:paraId="53CD4A3F" w14:textId="77777777" w:rsidR="002D58E4" w:rsidRDefault="002D58E4">
      <w:pPr>
        <w:spacing w:after="0" w:line="240" w:lineRule="auto"/>
        <w:rPr>
          <w:sz w:val="18"/>
          <w:szCs w:val="18"/>
        </w:rPr>
      </w:pPr>
    </w:p>
    <w:p w14:paraId="05A62889" w14:textId="77777777" w:rsidR="002D58E4" w:rsidRDefault="00F721D4">
      <w:pPr>
        <w:rPr>
          <w:b/>
          <w:color w:val="000000"/>
          <w:sz w:val="24"/>
          <w:szCs w:val="24"/>
          <w:u w:val="single"/>
        </w:rPr>
      </w:pPr>
      <w:r>
        <w:br w:type="page"/>
      </w:r>
    </w:p>
    <w:p w14:paraId="526DB47C" w14:textId="77777777" w:rsidR="002D58E4" w:rsidRDefault="00F721D4">
      <w:pPr>
        <w:spacing w:after="160" w:line="259" w:lineRule="auto"/>
        <w:rPr>
          <w:b/>
          <w:color w:val="000000"/>
          <w:sz w:val="24"/>
          <w:szCs w:val="24"/>
          <w:u w:val="single"/>
        </w:rPr>
      </w:pPr>
      <w:r>
        <w:rPr>
          <w:b/>
          <w:color w:val="000000"/>
          <w:sz w:val="24"/>
          <w:szCs w:val="24"/>
          <w:u w:val="single"/>
        </w:rPr>
        <w:lastRenderedPageBreak/>
        <w:t>14-DAY DOXYCYCLINE vs. 14-DAY PENICILLIN V</w:t>
      </w:r>
    </w:p>
    <w:p w14:paraId="55B1D309" w14:textId="77777777" w:rsidR="002D58E4" w:rsidRDefault="00F721D4">
      <w:pPr>
        <w:spacing w:after="0"/>
        <w:rPr>
          <w:b/>
        </w:rPr>
      </w:pPr>
      <w:r>
        <w:rPr>
          <w:b/>
        </w:rPr>
        <w:t>In patients with erythema migrans, should 14 days of Doxycycline be used over 14 days of Penicillin V?</w:t>
      </w:r>
    </w:p>
    <w:p w14:paraId="21F9DFE1" w14:textId="77777777" w:rsidR="002D58E4" w:rsidRDefault="00F721D4">
      <w:pPr>
        <w:spacing w:after="0"/>
      </w:pPr>
      <w:r>
        <w:t>P: In patients with erythema migrans</w:t>
      </w:r>
    </w:p>
    <w:p w14:paraId="0A0E8BE4" w14:textId="77777777" w:rsidR="002D58E4" w:rsidRDefault="00F721D4">
      <w:pPr>
        <w:spacing w:after="0"/>
      </w:pPr>
      <w:r>
        <w:t>I: 14-day course of Doxycycline</w:t>
      </w:r>
    </w:p>
    <w:p w14:paraId="6B195270" w14:textId="77777777" w:rsidR="002D58E4" w:rsidRDefault="00F721D4">
      <w:pPr>
        <w:spacing w:after="0"/>
      </w:pPr>
      <w:r>
        <w:t>C: 14-day course of Penicillin V</w:t>
      </w:r>
    </w:p>
    <w:p w14:paraId="457C7DC3" w14:textId="77777777" w:rsidR="002D58E4" w:rsidRDefault="002D58E4">
      <w:pPr>
        <w:spacing w:after="0"/>
        <w:rPr>
          <w:b/>
          <w:color w:val="000000"/>
          <w:sz w:val="18"/>
          <w:szCs w:val="18"/>
        </w:rPr>
      </w:pPr>
    </w:p>
    <w:p w14:paraId="67C34708" w14:textId="4988E2AF" w:rsidR="00DE33EC" w:rsidRPr="00DE33EC" w:rsidRDefault="00F721D4" w:rsidP="00DE33EC">
      <w:pPr>
        <w:rPr>
          <w:rFonts w:eastAsia="Arial"/>
          <w:color w:val="000000"/>
          <w:sz w:val="18"/>
          <w:szCs w:val="18"/>
          <w:lang w:val="fr-CA"/>
        </w:rPr>
      </w:pPr>
      <w:r>
        <w:rPr>
          <w:b/>
          <w:color w:val="000000"/>
          <w:sz w:val="18"/>
          <w:szCs w:val="18"/>
        </w:rPr>
        <w:t>Bibliography</w:t>
      </w:r>
      <w:r>
        <w:rPr>
          <w:color w:val="000000"/>
          <w:sz w:val="18"/>
          <w:szCs w:val="18"/>
        </w:rPr>
        <w:t xml:space="preserve">: 1. </w:t>
      </w:r>
      <w:r w:rsidR="00DE33EC" w:rsidRPr="00DE33EC">
        <w:rPr>
          <w:color w:val="000000"/>
          <w:sz w:val="18"/>
          <w:szCs w:val="18"/>
          <w:lang w:val="fr-CA"/>
        </w:rPr>
        <w:t>Eliassen, et al</w:t>
      </w:r>
      <w:r w:rsidR="00DE33EC" w:rsidRPr="00DE33EC">
        <w:rPr>
          <w:sz w:val="18"/>
          <w:szCs w:val="18"/>
          <w:lang w:val="fr-CA"/>
        </w:rPr>
        <w:t xml:space="preserve">. </w:t>
      </w:r>
      <w:hyperlink r:id="rId27">
        <w:r w:rsidR="00DE33EC" w:rsidRPr="00DE33EC">
          <w:rPr>
            <w:rFonts w:eastAsia="Arial"/>
            <w:sz w:val="18"/>
            <w:szCs w:val="18"/>
            <w:highlight w:val="white"/>
            <w:lang w:val="fr-CA"/>
          </w:rPr>
          <w:t>Clin Microbiol Infect.</w:t>
        </w:r>
      </w:hyperlink>
      <w:r w:rsidR="00DE33EC" w:rsidRPr="00DE33EC">
        <w:rPr>
          <w:rFonts w:eastAsia="Arial"/>
          <w:color w:val="000000"/>
          <w:sz w:val="18"/>
          <w:szCs w:val="18"/>
          <w:highlight w:val="white"/>
          <w:lang w:val="fr-CA"/>
        </w:rPr>
        <w:t> 2018 Dec; 24(12):1290-1296</w:t>
      </w:r>
      <w:r w:rsidR="00DE33EC">
        <w:rPr>
          <w:rFonts w:eastAsia="Arial"/>
          <w:color w:val="000000"/>
          <w:sz w:val="18"/>
          <w:szCs w:val="18"/>
          <w:lang w:val="fr-CA"/>
        </w:rPr>
        <w:t>.</w:t>
      </w:r>
    </w:p>
    <w:tbl>
      <w:tblPr>
        <w:tblStyle w:val="af9"/>
        <w:tblW w:w="14387"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5"/>
        <w:gridCol w:w="679"/>
        <w:gridCol w:w="1046"/>
        <w:gridCol w:w="1244"/>
        <w:gridCol w:w="1117"/>
        <w:gridCol w:w="1071"/>
        <w:gridCol w:w="922"/>
        <w:gridCol w:w="1108"/>
        <w:gridCol w:w="1018"/>
        <w:gridCol w:w="1303"/>
        <w:gridCol w:w="1957"/>
        <w:gridCol w:w="1080"/>
        <w:gridCol w:w="1117"/>
      </w:tblGrid>
      <w:tr w:rsidR="00FE31BB" w14:paraId="43992A27" w14:textId="77777777" w:rsidTr="00E70FE5">
        <w:tc>
          <w:tcPr>
            <w:tcW w:w="6804"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6FA47097" w14:textId="77777777" w:rsidR="00FE31BB" w:rsidRDefault="00FE31BB">
            <w:pPr>
              <w:jc w:val="center"/>
              <w:rPr>
                <w:b/>
                <w:sz w:val="20"/>
                <w:szCs w:val="20"/>
              </w:rPr>
            </w:pPr>
            <w:r>
              <w:rPr>
                <w:b/>
                <w:sz w:val="20"/>
                <w:szCs w:val="20"/>
              </w:rPr>
              <w:t>Certainty assessment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12804AC4" w14:textId="77777777" w:rsidR="00FE31BB" w:rsidRDefault="00FE31BB">
            <w:pPr>
              <w:jc w:val="center"/>
              <w:rPr>
                <w:b/>
                <w:sz w:val="20"/>
                <w:szCs w:val="20"/>
              </w:rPr>
            </w:pPr>
            <w:r>
              <w:rPr>
                <w:b/>
                <w:sz w:val="18"/>
                <w:szCs w:val="18"/>
              </w:rPr>
              <w:t>№ of Events/№ of patients</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5EC1090F" w14:textId="77777777" w:rsidR="00FE31BB" w:rsidRDefault="00FE31BB">
            <w:pPr>
              <w:jc w:val="center"/>
              <w:rPr>
                <w:b/>
                <w:sz w:val="20"/>
                <w:szCs w:val="20"/>
              </w:rPr>
            </w:pPr>
            <w:r>
              <w:rPr>
                <w:b/>
                <w:sz w:val="20"/>
                <w:szCs w:val="20"/>
              </w:rPr>
              <w:t>Effect</w:t>
            </w:r>
          </w:p>
        </w:tc>
        <w:tc>
          <w:tcPr>
            <w:tcW w:w="1080" w:type="dxa"/>
            <w:vMerge w:val="restart"/>
            <w:tcBorders>
              <w:top w:val="single" w:sz="6" w:space="0" w:color="000000"/>
              <w:left w:val="single" w:sz="6" w:space="0" w:color="000000"/>
              <w:right w:val="single" w:sz="6" w:space="0" w:color="000000"/>
            </w:tcBorders>
            <w:shd w:val="clear" w:color="auto" w:fill="DDDDDD"/>
            <w:vAlign w:val="center"/>
          </w:tcPr>
          <w:p w14:paraId="2E8565B5" w14:textId="77777777" w:rsidR="00FE31BB" w:rsidRDefault="00FE31BB">
            <w:pPr>
              <w:jc w:val="center"/>
              <w:rPr>
                <w:b/>
                <w:sz w:val="20"/>
                <w:szCs w:val="20"/>
              </w:rPr>
            </w:pPr>
            <w:r>
              <w:rPr>
                <w:b/>
                <w:sz w:val="20"/>
                <w:szCs w:val="20"/>
              </w:rPr>
              <w:t>Certainty</w:t>
            </w:r>
          </w:p>
        </w:tc>
        <w:tc>
          <w:tcPr>
            <w:tcW w:w="1117" w:type="dxa"/>
            <w:vMerge w:val="restart"/>
            <w:tcBorders>
              <w:top w:val="single" w:sz="6" w:space="0" w:color="000000"/>
              <w:left w:val="single" w:sz="6" w:space="0" w:color="000000"/>
              <w:right w:val="single" w:sz="6" w:space="0" w:color="000000"/>
            </w:tcBorders>
            <w:shd w:val="clear" w:color="auto" w:fill="DDDDDD"/>
            <w:vAlign w:val="center"/>
          </w:tcPr>
          <w:p w14:paraId="4E9BA1C0" w14:textId="77777777" w:rsidR="00FE31BB" w:rsidRDefault="00FE31BB">
            <w:pPr>
              <w:jc w:val="center"/>
              <w:rPr>
                <w:b/>
                <w:sz w:val="20"/>
                <w:szCs w:val="20"/>
              </w:rPr>
            </w:pPr>
            <w:r>
              <w:rPr>
                <w:b/>
                <w:sz w:val="20"/>
                <w:szCs w:val="20"/>
              </w:rPr>
              <w:t>Importance</w:t>
            </w:r>
          </w:p>
        </w:tc>
      </w:tr>
      <w:tr w:rsidR="00FE31BB" w14:paraId="77EED653" w14:textId="77777777" w:rsidTr="00E70FE5">
        <w:tc>
          <w:tcPr>
            <w:tcW w:w="72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5F2E71E" w14:textId="77777777" w:rsidR="00FE31BB" w:rsidRDefault="00FE31BB">
            <w:pPr>
              <w:jc w:val="center"/>
              <w:rPr>
                <w:b/>
                <w:sz w:val="20"/>
                <w:szCs w:val="20"/>
              </w:rPr>
            </w:pPr>
            <w:r>
              <w:rPr>
                <w:b/>
                <w:sz w:val="20"/>
                <w:szCs w:val="20"/>
              </w:rPr>
              <w:t>№ of studies</w:t>
            </w:r>
          </w:p>
        </w:tc>
        <w:tc>
          <w:tcPr>
            <w:tcW w:w="67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29958A5" w14:textId="77777777" w:rsidR="00FE31BB" w:rsidRDefault="00FE31BB">
            <w:pPr>
              <w:jc w:val="center"/>
              <w:rPr>
                <w:b/>
                <w:sz w:val="20"/>
                <w:szCs w:val="20"/>
              </w:rPr>
            </w:pPr>
            <w:r>
              <w:rPr>
                <w:b/>
                <w:sz w:val="20"/>
                <w:szCs w:val="20"/>
              </w:rPr>
              <w:t>Study design</w:t>
            </w:r>
          </w:p>
        </w:tc>
        <w:tc>
          <w:tcPr>
            <w:tcW w:w="104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FEA7740" w14:textId="77777777" w:rsidR="00FE31BB" w:rsidRDefault="00FE31BB">
            <w:pPr>
              <w:jc w:val="center"/>
              <w:rPr>
                <w:b/>
                <w:sz w:val="20"/>
                <w:szCs w:val="20"/>
              </w:rPr>
            </w:pPr>
            <w:r>
              <w:rPr>
                <w:b/>
                <w:sz w:val="20"/>
                <w:szCs w:val="20"/>
              </w:rPr>
              <w:t>Risk of bias</w:t>
            </w:r>
          </w:p>
        </w:tc>
        <w:tc>
          <w:tcPr>
            <w:tcW w:w="124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0EDACC4" w14:textId="77777777" w:rsidR="00FE31BB" w:rsidRDefault="00FE31BB">
            <w:pPr>
              <w:jc w:val="center"/>
              <w:rPr>
                <w:b/>
                <w:sz w:val="20"/>
                <w:szCs w:val="20"/>
              </w:rPr>
            </w:pPr>
            <w:r>
              <w:rPr>
                <w:b/>
                <w:sz w:val="20"/>
                <w:szCs w:val="20"/>
              </w:rPr>
              <w:t>Inconsistency</w:t>
            </w:r>
          </w:p>
        </w:tc>
        <w:tc>
          <w:tcPr>
            <w:tcW w:w="111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59099EDD" w14:textId="77777777" w:rsidR="00FE31BB" w:rsidRDefault="00FE31BB">
            <w:pPr>
              <w:jc w:val="center"/>
              <w:rPr>
                <w:b/>
                <w:sz w:val="20"/>
                <w:szCs w:val="20"/>
              </w:rPr>
            </w:pPr>
            <w:r>
              <w:rPr>
                <w:b/>
                <w:sz w:val="20"/>
                <w:szCs w:val="20"/>
              </w:rPr>
              <w:t>Indirectness</w:t>
            </w:r>
          </w:p>
        </w:tc>
        <w:tc>
          <w:tcPr>
            <w:tcW w:w="107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61205EF2" w14:textId="77777777" w:rsidR="00FE31BB" w:rsidRDefault="00FE31BB">
            <w:pPr>
              <w:jc w:val="center"/>
              <w:rPr>
                <w:b/>
                <w:sz w:val="20"/>
                <w:szCs w:val="20"/>
              </w:rPr>
            </w:pPr>
            <w:r>
              <w:rPr>
                <w:b/>
                <w:sz w:val="20"/>
                <w:szCs w:val="20"/>
              </w:rPr>
              <w:t>Imprecision</w:t>
            </w:r>
          </w:p>
        </w:tc>
        <w:tc>
          <w:tcPr>
            <w:tcW w:w="922"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1E761E0" w14:textId="77777777" w:rsidR="00FE31BB" w:rsidRDefault="00FE31BB">
            <w:pPr>
              <w:jc w:val="center"/>
              <w:rPr>
                <w:b/>
                <w:sz w:val="20"/>
                <w:szCs w:val="20"/>
              </w:rPr>
            </w:pPr>
            <w:r>
              <w:rPr>
                <w:b/>
                <w:sz w:val="20"/>
                <w:szCs w:val="20"/>
              </w:rPr>
              <w:t>Other considerations</w:t>
            </w:r>
          </w:p>
        </w:tc>
        <w:tc>
          <w:tcPr>
            <w:tcW w:w="110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14A2A0CD" w14:textId="77777777" w:rsidR="00FE31BB" w:rsidRDefault="00FE31BB">
            <w:pPr>
              <w:jc w:val="center"/>
              <w:rPr>
                <w:b/>
                <w:sz w:val="20"/>
                <w:szCs w:val="20"/>
              </w:rPr>
            </w:pPr>
            <w:r>
              <w:rPr>
                <w:b/>
                <w:sz w:val="20"/>
                <w:szCs w:val="20"/>
              </w:rPr>
              <w:t>Doxycycline 14 days</w:t>
            </w:r>
          </w:p>
        </w:tc>
        <w:tc>
          <w:tcPr>
            <w:tcW w:w="101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DFF8475" w14:textId="77777777" w:rsidR="00FE31BB" w:rsidRDefault="00FE31BB">
            <w:pPr>
              <w:jc w:val="center"/>
              <w:rPr>
                <w:b/>
                <w:sz w:val="20"/>
                <w:szCs w:val="20"/>
              </w:rPr>
            </w:pPr>
            <w:r>
              <w:rPr>
                <w:b/>
                <w:sz w:val="20"/>
                <w:szCs w:val="20"/>
              </w:rPr>
              <w:t>Penicillin V 14 days</w:t>
            </w:r>
          </w:p>
        </w:tc>
        <w:tc>
          <w:tcPr>
            <w:tcW w:w="130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E8947E3" w14:textId="77777777" w:rsidR="00FE31BB" w:rsidRDefault="00FE31BB">
            <w:pPr>
              <w:jc w:val="center"/>
              <w:rPr>
                <w:b/>
                <w:sz w:val="20"/>
                <w:szCs w:val="20"/>
              </w:rPr>
            </w:pPr>
            <w:r>
              <w:rPr>
                <w:b/>
                <w:sz w:val="20"/>
                <w:szCs w:val="20"/>
              </w:rPr>
              <w:t>Relative</w:t>
            </w:r>
            <w:r>
              <w:rPr>
                <w:b/>
                <w:sz w:val="20"/>
                <w:szCs w:val="20"/>
              </w:rPr>
              <w:br/>
              <w:t>(95% CI)</w:t>
            </w:r>
          </w:p>
        </w:tc>
        <w:tc>
          <w:tcPr>
            <w:tcW w:w="195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397789A" w14:textId="77777777" w:rsidR="00FE31BB" w:rsidRDefault="00FE31BB">
            <w:pPr>
              <w:jc w:val="center"/>
              <w:rPr>
                <w:b/>
                <w:sz w:val="20"/>
                <w:szCs w:val="20"/>
              </w:rPr>
            </w:pPr>
            <w:r>
              <w:rPr>
                <w:b/>
                <w:sz w:val="20"/>
                <w:szCs w:val="20"/>
              </w:rPr>
              <w:t>Absolute</w:t>
            </w:r>
            <w:r>
              <w:rPr>
                <w:b/>
                <w:sz w:val="20"/>
                <w:szCs w:val="20"/>
              </w:rPr>
              <w:br/>
              <w:t>(95% CI)</w:t>
            </w:r>
          </w:p>
        </w:tc>
        <w:tc>
          <w:tcPr>
            <w:tcW w:w="1080" w:type="dxa"/>
            <w:vMerge/>
            <w:tcBorders>
              <w:left w:val="single" w:sz="6" w:space="0" w:color="000000"/>
              <w:bottom w:val="single" w:sz="6" w:space="0" w:color="000000"/>
              <w:right w:val="single" w:sz="6" w:space="0" w:color="000000"/>
            </w:tcBorders>
            <w:shd w:val="clear" w:color="auto" w:fill="DDDDDD"/>
            <w:vAlign w:val="center"/>
          </w:tcPr>
          <w:p w14:paraId="24FA7B12" w14:textId="77777777" w:rsidR="00FE31BB" w:rsidRDefault="00FE31BB">
            <w:pPr>
              <w:rPr>
                <w:b/>
                <w:sz w:val="20"/>
                <w:szCs w:val="20"/>
              </w:rPr>
            </w:pPr>
          </w:p>
        </w:tc>
        <w:tc>
          <w:tcPr>
            <w:tcW w:w="1117" w:type="dxa"/>
            <w:vMerge/>
            <w:tcBorders>
              <w:left w:val="single" w:sz="6" w:space="0" w:color="000000"/>
              <w:bottom w:val="single" w:sz="6" w:space="0" w:color="000000"/>
              <w:right w:val="single" w:sz="6" w:space="0" w:color="000000"/>
            </w:tcBorders>
            <w:shd w:val="clear" w:color="auto" w:fill="DDDDDD"/>
            <w:vAlign w:val="center"/>
          </w:tcPr>
          <w:p w14:paraId="38503430" w14:textId="77777777" w:rsidR="00FE31BB" w:rsidRDefault="00FE31BB">
            <w:pPr>
              <w:rPr>
                <w:b/>
                <w:sz w:val="20"/>
                <w:szCs w:val="20"/>
              </w:rPr>
            </w:pPr>
          </w:p>
        </w:tc>
      </w:tr>
      <w:tr w:rsidR="002D58E4" w14:paraId="5E77191A" w14:textId="77777777" w:rsidTr="00E70FE5">
        <w:tc>
          <w:tcPr>
            <w:tcW w:w="143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0A11388" w14:textId="77777777" w:rsidR="002D58E4" w:rsidRDefault="00F721D4">
            <w:pPr>
              <w:rPr>
                <w:sz w:val="20"/>
                <w:szCs w:val="20"/>
              </w:rPr>
            </w:pPr>
            <w:r>
              <w:rPr>
                <w:b/>
                <w:sz w:val="20"/>
                <w:szCs w:val="20"/>
              </w:rPr>
              <w:t xml:space="preserve">Resolution of Erythema Migrans </w:t>
            </w:r>
            <w:r>
              <w:rPr>
                <w:sz w:val="20"/>
                <w:szCs w:val="20"/>
              </w:rPr>
              <w:t>(at 14 days)</w:t>
            </w:r>
          </w:p>
        </w:tc>
      </w:tr>
      <w:tr w:rsidR="002D58E4" w14:paraId="28A8D558" w14:textId="77777777" w:rsidTr="00E70FE5">
        <w:tc>
          <w:tcPr>
            <w:tcW w:w="725" w:type="dxa"/>
            <w:tcBorders>
              <w:top w:val="single" w:sz="6" w:space="0" w:color="000000"/>
              <w:left w:val="single" w:sz="6" w:space="0" w:color="000000"/>
              <w:bottom w:val="single" w:sz="6" w:space="0" w:color="000000"/>
              <w:right w:val="single" w:sz="6" w:space="0" w:color="000000"/>
            </w:tcBorders>
          </w:tcPr>
          <w:p w14:paraId="1A0AEC57"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30197CAE" w14:textId="77777777" w:rsidR="002D58E4" w:rsidRDefault="00F721D4">
            <w:pPr>
              <w:rPr>
                <w:sz w:val="20"/>
                <w:szCs w:val="20"/>
                <w:vertAlign w:val="superscript"/>
              </w:rPr>
            </w:pPr>
            <w:r>
              <w:rPr>
                <w:sz w:val="20"/>
                <w:szCs w:val="20"/>
              </w:rPr>
              <w:t xml:space="preserve">RCT </w:t>
            </w:r>
            <w:r>
              <w:rPr>
                <w:sz w:val="20"/>
                <w:szCs w:val="20"/>
                <w:vertAlign w:val="superscript"/>
              </w:rPr>
              <w:t>1</w:t>
            </w:r>
          </w:p>
        </w:tc>
        <w:tc>
          <w:tcPr>
            <w:tcW w:w="1046" w:type="dxa"/>
            <w:tcBorders>
              <w:top w:val="single" w:sz="6" w:space="0" w:color="000000"/>
              <w:left w:val="single" w:sz="6" w:space="0" w:color="000000"/>
              <w:bottom w:val="single" w:sz="6" w:space="0" w:color="000000"/>
              <w:right w:val="single" w:sz="6" w:space="0" w:color="000000"/>
            </w:tcBorders>
          </w:tcPr>
          <w:p w14:paraId="5CD0E617" w14:textId="77777777" w:rsidR="002D58E4" w:rsidRDefault="00F721D4">
            <w:pPr>
              <w:rPr>
                <w:sz w:val="20"/>
                <w:szCs w:val="20"/>
              </w:rPr>
            </w:pPr>
            <w:r>
              <w:rPr>
                <w:sz w:val="20"/>
                <w:szCs w:val="20"/>
              </w:rPr>
              <w:t>not serious</w:t>
            </w:r>
          </w:p>
        </w:tc>
        <w:tc>
          <w:tcPr>
            <w:tcW w:w="1244" w:type="dxa"/>
            <w:tcBorders>
              <w:top w:val="single" w:sz="6" w:space="0" w:color="000000"/>
              <w:left w:val="single" w:sz="6" w:space="0" w:color="000000"/>
              <w:bottom w:val="single" w:sz="6" w:space="0" w:color="000000"/>
              <w:right w:val="single" w:sz="6" w:space="0" w:color="000000"/>
            </w:tcBorders>
          </w:tcPr>
          <w:p w14:paraId="5517FA1D" w14:textId="77777777" w:rsidR="002D58E4" w:rsidRDefault="00F721D4">
            <w:pPr>
              <w:rPr>
                <w:sz w:val="20"/>
                <w:szCs w:val="20"/>
              </w:rPr>
            </w:pPr>
            <w:r>
              <w:rPr>
                <w:sz w:val="20"/>
                <w:szCs w:val="20"/>
              </w:rPr>
              <w:t xml:space="preserve">not serious </w:t>
            </w:r>
          </w:p>
        </w:tc>
        <w:tc>
          <w:tcPr>
            <w:tcW w:w="1117" w:type="dxa"/>
            <w:tcBorders>
              <w:top w:val="single" w:sz="6" w:space="0" w:color="000000"/>
              <w:left w:val="single" w:sz="6" w:space="0" w:color="000000"/>
              <w:bottom w:val="single" w:sz="6" w:space="0" w:color="000000"/>
              <w:right w:val="single" w:sz="6" w:space="0" w:color="000000"/>
            </w:tcBorders>
          </w:tcPr>
          <w:p w14:paraId="13E30ABF"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81FFD8F" w14:textId="77777777" w:rsidR="002D58E4" w:rsidRDefault="00F721D4">
            <w:pPr>
              <w:rPr>
                <w:sz w:val="20"/>
                <w:szCs w:val="20"/>
              </w:rPr>
            </w:pPr>
            <w:r>
              <w:rPr>
                <w:sz w:val="20"/>
                <w:szCs w:val="20"/>
              </w:rPr>
              <w:t xml:space="preserve">not serious </w:t>
            </w:r>
            <w:r>
              <w:rPr>
                <w:sz w:val="20"/>
                <w:szCs w:val="20"/>
                <w:vertAlign w:val="superscript"/>
              </w:rPr>
              <w:t>a</w:t>
            </w:r>
          </w:p>
        </w:tc>
        <w:tc>
          <w:tcPr>
            <w:tcW w:w="922" w:type="dxa"/>
            <w:tcBorders>
              <w:top w:val="single" w:sz="6" w:space="0" w:color="000000"/>
              <w:left w:val="single" w:sz="6" w:space="0" w:color="000000"/>
              <w:bottom w:val="single" w:sz="6" w:space="0" w:color="000000"/>
              <w:right w:val="single" w:sz="6" w:space="0" w:color="000000"/>
            </w:tcBorders>
          </w:tcPr>
          <w:p w14:paraId="4E4F04F4" w14:textId="77777777" w:rsidR="002D58E4" w:rsidRDefault="00F721D4">
            <w:pPr>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487DF2B6" w14:textId="77777777" w:rsidR="002D58E4" w:rsidRDefault="00F721D4">
            <w:pPr>
              <w:jc w:val="center"/>
              <w:rPr>
                <w:sz w:val="20"/>
                <w:szCs w:val="20"/>
              </w:rPr>
            </w:pPr>
            <w:r>
              <w:rPr>
                <w:sz w:val="20"/>
                <w:szCs w:val="20"/>
              </w:rPr>
              <w:t xml:space="preserve">68/68 </w:t>
            </w:r>
          </w:p>
          <w:p w14:paraId="22D50371" w14:textId="77777777" w:rsidR="002D58E4" w:rsidRDefault="00F721D4">
            <w:pPr>
              <w:jc w:val="center"/>
              <w:rPr>
                <w:sz w:val="20"/>
                <w:szCs w:val="20"/>
              </w:rPr>
            </w:pPr>
            <w:r>
              <w:rPr>
                <w:sz w:val="20"/>
                <w:szCs w:val="20"/>
              </w:rPr>
              <w:t xml:space="preserve">(100.0%) </w:t>
            </w:r>
          </w:p>
        </w:tc>
        <w:tc>
          <w:tcPr>
            <w:tcW w:w="1018" w:type="dxa"/>
            <w:tcBorders>
              <w:top w:val="single" w:sz="6" w:space="0" w:color="000000"/>
              <w:left w:val="single" w:sz="6" w:space="0" w:color="000000"/>
              <w:bottom w:val="single" w:sz="6" w:space="0" w:color="000000"/>
              <w:right w:val="single" w:sz="6" w:space="0" w:color="000000"/>
            </w:tcBorders>
          </w:tcPr>
          <w:p w14:paraId="60F1B8ED" w14:textId="77777777" w:rsidR="002D58E4" w:rsidRDefault="00F721D4">
            <w:pPr>
              <w:jc w:val="center"/>
              <w:rPr>
                <w:sz w:val="20"/>
                <w:szCs w:val="20"/>
              </w:rPr>
            </w:pPr>
            <w:r>
              <w:rPr>
                <w:sz w:val="20"/>
                <w:szCs w:val="20"/>
              </w:rPr>
              <w:t xml:space="preserve">54/55 </w:t>
            </w:r>
          </w:p>
          <w:p w14:paraId="345042C0" w14:textId="77777777" w:rsidR="002D58E4" w:rsidRDefault="00F721D4">
            <w:pPr>
              <w:jc w:val="center"/>
              <w:rPr>
                <w:sz w:val="20"/>
                <w:szCs w:val="20"/>
              </w:rPr>
            </w:pPr>
            <w:r>
              <w:rPr>
                <w:sz w:val="20"/>
                <w:szCs w:val="20"/>
              </w:rPr>
              <w:t xml:space="preserve">(98.2%) </w:t>
            </w:r>
          </w:p>
        </w:tc>
        <w:tc>
          <w:tcPr>
            <w:tcW w:w="1303" w:type="dxa"/>
            <w:tcBorders>
              <w:top w:val="single" w:sz="6" w:space="0" w:color="000000"/>
              <w:left w:val="single" w:sz="6" w:space="0" w:color="000000"/>
              <w:bottom w:val="single" w:sz="6" w:space="0" w:color="000000"/>
              <w:right w:val="single" w:sz="6" w:space="0" w:color="000000"/>
            </w:tcBorders>
          </w:tcPr>
          <w:p w14:paraId="061D93C0" w14:textId="77777777" w:rsidR="002D58E4" w:rsidRDefault="00F721D4">
            <w:pPr>
              <w:jc w:val="center"/>
              <w:rPr>
                <w:sz w:val="20"/>
                <w:szCs w:val="20"/>
              </w:rPr>
            </w:pPr>
            <w:r>
              <w:rPr>
                <w:sz w:val="20"/>
                <w:szCs w:val="20"/>
              </w:rPr>
              <w:t>RR 1.02</w:t>
            </w:r>
            <w:r>
              <w:rPr>
                <w:sz w:val="20"/>
                <w:szCs w:val="20"/>
              </w:rPr>
              <w:br/>
              <w:t xml:space="preserve">(0.97 to 1.07) </w:t>
            </w:r>
          </w:p>
        </w:tc>
        <w:tc>
          <w:tcPr>
            <w:tcW w:w="1957" w:type="dxa"/>
            <w:tcBorders>
              <w:top w:val="single" w:sz="6" w:space="0" w:color="000000"/>
              <w:left w:val="single" w:sz="6" w:space="0" w:color="000000"/>
              <w:bottom w:val="single" w:sz="6" w:space="0" w:color="000000"/>
              <w:right w:val="single" w:sz="6" w:space="0" w:color="000000"/>
            </w:tcBorders>
          </w:tcPr>
          <w:p w14:paraId="37B9D19E" w14:textId="77777777" w:rsidR="002D58E4" w:rsidRDefault="00F721D4">
            <w:pPr>
              <w:jc w:val="center"/>
              <w:rPr>
                <w:sz w:val="20"/>
                <w:szCs w:val="20"/>
              </w:rPr>
            </w:pPr>
            <w:r>
              <w:rPr>
                <w:sz w:val="20"/>
                <w:szCs w:val="20"/>
              </w:rPr>
              <w:t>20 more per 1,000</w:t>
            </w:r>
            <w:r>
              <w:rPr>
                <w:sz w:val="20"/>
                <w:szCs w:val="20"/>
              </w:rPr>
              <w:br/>
              <w:t xml:space="preserve">(from 29 fewer to 69 more) </w:t>
            </w:r>
          </w:p>
        </w:tc>
        <w:tc>
          <w:tcPr>
            <w:tcW w:w="1080" w:type="dxa"/>
            <w:tcBorders>
              <w:top w:val="single" w:sz="6" w:space="0" w:color="000000"/>
              <w:left w:val="single" w:sz="6" w:space="0" w:color="000000"/>
              <w:bottom w:val="single" w:sz="6" w:space="0" w:color="000000"/>
              <w:right w:val="single" w:sz="6" w:space="0" w:color="000000"/>
            </w:tcBorders>
          </w:tcPr>
          <w:p w14:paraId="6EAB5BF5" w14:textId="77777777" w:rsidR="002D58E4" w:rsidRDefault="00F721D4">
            <w:pPr>
              <w:jc w:val="center"/>
              <w:rPr>
                <w:sz w:val="20"/>
                <w:szCs w:val="20"/>
              </w:rPr>
            </w:pPr>
            <w:r>
              <w:rPr>
                <w:rFonts w:ascii="Cambria Math" w:eastAsia="Cambria Math" w:hAnsi="Cambria Math" w:cs="Cambria Math"/>
                <w:sz w:val="20"/>
                <w:szCs w:val="20"/>
              </w:rPr>
              <w:t>⨁⨁⨁⨁</w:t>
            </w:r>
            <w:r>
              <w:rPr>
                <w:sz w:val="20"/>
                <w:szCs w:val="20"/>
              </w:rPr>
              <w:br/>
              <w:t xml:space="preserve">HIGH </w:t>
            </w:r>
          </w:p>
        </w:tc>
        <w:tc>
          <w:tcPr>
            <w:tcW w:w="1117" w:type="dxa"/>
            <w:tcBorders>
              <w:top w:val="single" w:sz="6" w:space="0" w:color="000000"/>
              <w:left w:val="single" w:sz="6" w:space="0" w:color="000000"/>
              <w:bottom w:val="single" w:sz="6" w:space="0" w:color="000000"/>
              <w:right w:val="single" w:sz="6" w:space="0" w:color="000000"/>
            </w:tcBorders>
          </w:tcPr>
          <w:p w14:paraId="3EF3C3BC" w14:textId="77777777" w:rsidR="002D58E4" w:rsidRDefault="00F721D4">
            <w:pPr>
              <w:rPr>
                <w:sz w:val="20"/>
                <w:szCs w:val="20"/>
              </w:rPr>
            </w:pPr>
            <w:r>
              <w:rPr>
                <w:sz w:val="20"/>
                <w:szCs w:val="20"/>
              </w:rPr>
              <w:t xml:space="preserve">CRITICAL </w:t>
            </w:r>
          </w:p>
        </w:tc>
      </w:tr>
      <w:tr w:rsidR="002D58E4" w14:paraId="4D2EFFBA" w14:textId="77777777" w:rsidTr="00E70FE5">
        <w:tc>
          <w:tcPr>
            <w:tcW w:w="143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00D66D5" w14:textId="77777777" w:rsidR="002D58E4" w:rsidRDefault="00F721D4">
            <w:pPr>
              <w:rPr>
                <w:sz w:val="20"/>
                <w:szCs w:val="20"/>
              </w:rPr>
            </w:pPr>
            <w:r>
              <w:rPr>
                <w:b/>
                <w:sz w:val="20"/>
                <w:szCs w:val="20"/>
              </w:rPr>
              <w:t>Time to Resolution of Erythema Migrans</w:t>
            </w:r>
            <w:r>
              <w:rPr>
                <w:sz w:val="20"/>
                <w:szCs w:val="20"/>
              </w:rPr>
              <w:t xml:space="preserve"> (Days since treatment initiation: Higher values indicate longer resolution time.)</w:t>
            </w:r>
          </w:p>
        </w:tc>
      </w:tr>
      <w:tr w:rsidR="002D58E4" w14:paraId="560EDCF7" w14:textId="77777777" w:rsidTr="00E70FE5">
        <w:tc>
          <w:tcPr>
            <w:tcW w:w="725" w:type="dxa"/>
            <w:tcBorders>
              <w:top w:val="single" w:sz="6" w:space="0" w:color="000000"/>
              <w:left w:val="single" w:sz="6" w:space="0" w:color="000000"/>
              <w:bottom w:val="single" w:sz="6" w:space="0" w:color="000000"/>
              <w:right w:val="single" w:sz="6" w:space="0" w:color="000000"/>
            </w:tcBorders>
          </w:tcPr>
          <w:p w14:paraId="1F155046"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0FB54EC5" w14:textId="77777777" w:rsidR="002D58E4" w:rsidRDefault="00F721D4">
            <w:pPr>
              <w:rPr>
                <w:sz w:val="20"/>
                <w:szCs w:val="20"/>
              </w:rPr>
            </w:pPr>
            <w:r>
              <w:rPr>
                <w:sz w:val="20"/>
                <w:szCs w:val="20"/>
              </w:rPr>
              <w:t xml:space="preserve">RCT </w:t>
            </w:r>
            <w:r>
              <w:rPr>
                <w:sz w:val="20"/>
                <w:szCs w:val="20"/>
                <w:vertAlign w:val="superscript"/>
              </w:rPr>
              <w:t>1</w:t>
            </w:r>
          </w:p>
        </w:tc>
        <w:tc>
          <w:tcPr>
            <w:tcW w:w="1046" w:type="dxa"/>
            <w:tcBorders>
              <w:top w:val="single" w:sz="6" w:space="0" w:color="000000"/>
              <w:left w:val="single" w:sz="6" w:space="0" w:color="000000"/>
              <w:bottom w:val="single" w:sz="6" w:space="0" w:color="000000"/>
              <w:right w:val="single" w:sz="6" w:space="0" w:color="000000"/>
            </w:tcBorders>
          </w:tcPr>
          <w:p w14:paraId="399B9E07" w14:textId="77777777" w:rsidR="002D58E4" w:rsidRDefault="00F721D4">
            <w:pPr>
              <w:rPr>
                <w:sz w:val="20"/>
                <w:szCs w:val="20"/>
              </w:rPr>
            </w:pPr>
            <w:r>
              <w:rPr>
                <w:sz w:val="20"/>
                <w:szCs w:val="20"/>
              </w:rPr>
              <w:t>not serious</w:t>
            </w:r>
          </w:p>
        </w:tc>
        <w:tc>
          <w:tcPr>
            <w:tcW w:w="1244" w:type="dxa"/>
            <w:tcBorders>
              <w:top w:val="single" w:sz="6" w:space="0" w:color="000000"/>
              <w:left w:val="single" w:sz="6" w:space="0" w:color="000000"/>
              <w:bottom w:val="single" w:sz="6" w:space="0" w:color="000000"/>
              <w:right w:val="single" w:sz="6" w:space="0" w:color="000000"/>
            </w:tcBorders>
          </w:tcPr>
          <w:p w14:paraId="220A50CE"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00CAB5A6"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7BA7475D" w14:textId="77777777" w:rsidR="002D58E4" w:rsidRDefault="00F721D4">
            <w:pPr>
              <w:rPr>
                <w:sz w:val="20"/>
                <w:szCs w:val="20"/>
              </w:rPr>
            </w:pPr>
            <w:r>
              <w:rPr>
                <w:sz w:val="20"/>
                <w:szCs w:val="20"/>
              </w:rPr>
              <w:t xml:space="preserve">serious </w:t>
            </w:r>
            <w:r>
              <w:rPr>
                <w:sz w:val="20"/>
                <w:szCs w:val="20"/>
                <w:vertAlign w:val="superscript"/>
              </w:rPr>
              <w:t>b</w:t>
            </w:r>
          </w:p>
        </w:tc>
        <w:tc>
          <w:tcPr>
            <w:tcW w:w="922" w:type="dxa"/>
            <w:tcBorders>
              <w:top w:val="single" w:sz="6" w:space="0" w:color="000000"/>
              <w:left w:val="single" w:sz="6" w:space="0" w:color="000000"/>
              <w:bottom w:val="single" w:sz="6" w:space="0" w:color="000000"/>
              <w:right w:val="single" w:sz="6" w:space="0" w:color="000000"/>
            </w:tcBorders>
          </w:tcPr>
          <w:p w14:paraId="5B69C57A" w14:textId="77777777" w:rsidR="002D58E4" w:rsidRDefault="00F721D4">
            <w:pPr>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03C9C718" w14:textId="77777777" w:rsidR="002D58E4" w:rsidRDefault="00F721D4">
            <w:pPr>
              <w:jc w:val="center"/>
              <w:rPr>
                <w:sz w:val="20"/>
                <w:szCs w:val="20"/>
              </w:rPr>
            </w:pPr>
            <w:r>
              <w:rPr>
                <w:sz w:val="20"/>
                <w:szCs w:val="20"/>
              </w:rPr>
              <w:t>Mean days: 81</w:t>
            </w:r>
          </w:p>
        </w:tc>
        <w:tc>
          <w:tcPr>
            <w:tcW w:w="1018" w:type="dxa"/>
            <w:tcBorders>
              <w:top w:val="single" w:sz="6" w:space="0" w:color="000000"/>
              <w:left w:val="single" w:sz="6" w:space="0" w:color="000000"/>
              <w:bottom w:val="single" w:sz="6" w:space="0" w:color="000000"/>
              <w:right w:val="single" w:sz="6" w:space="0" w:color="000000"/>
            </w:tcBorders>
          </w:tcPr>
          <w:p w14:paraId="6EE79B2A" w14:textId="77777777" w:rsidR="002D58E4" w:rsidRDefault="00F721D4">
            <w:pPr>
              <w:jc w:val="center"/>
              <w:rPr>
                <w:sz w:val="20"/>
                <w:szCs w:val="20"/>
              </w:rPr>
            </w:pPr>
            <w:r>
              <w:rPr>
                <w:sz w:val="20"/>
                <w:szCs w:val="20"/>
              </w:rPr>
              <w:t>Mean days: 31</w:t>
            </w:r>
          </w:p>
        </w:tc>
        <w:tc>
          <w:tcPr>
            <w:tcW w:w="3260" w:type="dxa"/>
            <w:gridSpan w:val="2"/>
            <w:tcBorders>
              <w:top w:val="single" w:sz="6" w:space="0" w:color="000000"/>
              <w:left w:val="single" w:sz="6" w:space="0" w:color="000000"/>
              <w:bottom w:val="single" w:sz="6" w:space="0" w:color="000000"/>
              <w:right w:val="single" w:sz="6" w:space="0" w:color="000000"/>
            </w:tcBorders>
          </w:tcPr>
          <w:p w14:paraId="463883FB" w14:textId="77777777" w:rsidR="002D58E4" w:rsidRDefault="00F721D4">
            <w:pPr>
              <w:jc w:val="center"/>
              <w:rPr>
                <w:b/>
                <w:sz w:val="20"/>
                <w:szCs w:val="20"/>
              </w:rPr>
            </w:pPr>
            <w:r>
              <w:rPr>
                <w:b/>
                <w:sz w:val="20"/>
                <w:szCs w:val="20"/>
              </w:rPr>
              <w:t>MD 50 higher</w:t>
            </w:r>
            <w:r>
              <w:rPr>
                <w:b/>
                <w:sz w:val="20"/>
                <w:szCs w:val="20"/>
              </w:rPr>
              <w:br/>
              <w:t xml:space="preserve">(29.05 higher to 70.95 higher) </w:t>
            </w:r>
          </w:p>
        </w:tc>
        <w:tc>
          <w:tcPr>
            <w:tcW w:w="1080" w:type="dxa"/>
            <w:tcBorders>
              <w:top w:val="single" w:sz="6" w:space="0" w:color="000000"/>
              <w:left w:val="single" w:sz="6" w:space="0" w:color="000000"/>
              <w:bottom w:val="single" w:sz="6" w:space="0" w:color="000000"/>
              <w:right w:val="single" w:sz="6" w:space="0" w:color="000000"/>
            </w:tcBorders>
          </w:tcPr>
          <w:p w14:paraId="012C196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17" w:type="dxa"/>
            <w:tcBorders>
              <w:top w:val="single" w:sz="6" w:space="0" w:color="000000"/>
              <w:left w:val="single" w:sz="6" w:space="0" w:color="000000"/>
              <w:bottom w:val="single" w:sz="6" w:space="0" w:color="000000"/>
              <w:right w:val="single" w:sz="6" w:space="0" w:color="000000"/>
            </w:tcBorders>
          </w:tcPr>
          <w:p w14:paraId="13D7BA32" w14:textId="77777777" w:rsidR="002D58E4" w:rsidRDefault="00F721D4">
            <w:pPr>
              <w:rPr>
                <w:sz w:val="20"/>
                <w:szCs w:val="20"/>
              </w:rPr>
            </w:pPr>
            <w:r>
              <w:rPr>
                <w:sz w:val="20"/>
                <w:szCs w:val="20"/>
              </w:rPr>
              <w:t xml:space="preserve">IMPORTANT </w:t>
            </w:r>
          </w:p>
        </w:tc>
      </w:tr>
      <w:tr w:rsidR="002D58E4" w14:paraId="13E947CC" w14:textId="77777777" w:rsidTr="00E70FE5">
        <w:tc>
          <w:tcPr>
            <w:tcW w:w="143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33FDC0B" w14:textId="77777777" w:rsidR="002D58E4" w:rsidRDefault="00F721D4">
            <w:pPr>
              <w:rPr>
                <w:sz w:val="20"/>
                <w:szCs w:val="20"/>
              </w:rPr>
            </w:pPr>
            <w:r>
              <w:rPr>
                <w:b/>
                <w:sz w:val="20"/>
                <w:szCs w:val="20"/>
              </w:rPr>
              <w:t xml:space="preserve">Patients Experiencing Objective Findings of Lyme </w:t>
            </w:r>
            <w:r>
              <w:rPr>
                <w:sz w:val="20"/>
                <w:szCs w:val="20"/>
              </w:rPr>
              <w:t>(at 6 months and beyond)</w:t>
            </w:r>
          </w:p>
        </w:tc>
      </w:tr>
      <w:tr w:rsidR="002D58E4" w14:paraId="1F6CBD11" w14:textId="77777777" w:rsidTr="00E70FE5">
        <w:tc>
          <w:tcPr>
            <w:tcW w:w="725" w:type="dxa"/>
            <w:tcBorders>
              <w:top w:val="single" w:sz="6" w:space="0" w:color="000000"/>
              <w:left w:val="single" w:sz="6" w:space="0" w:color="000000"/>
              <w:bottom w:val="single" w:sz="6" w:space="0" w:color="000000"/>
              <w:right w:val="single" w:sz="6" w:space="0" w:color="000000"/>
            </w:tcBorders>
          </w:tcPr>
          <w:p w14:paraId="7774209E"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3D14407D" w14:textId="77777777" w:rsidR="002D58E4" w:rsidRDefault="00F721D4">
            <w:pPr>
              <w:rPr>
                <w:sz w:val="20"/>
                <w:szCs w:val="20"/>
              </w:rPr>
            </w:pPr>
            <w:r>
              <w:rPr>
                <w:sz w:val="20"/>
                <w:szCs w:val="20"/>
              </w:rPr>
              <w:t xml:space="preserve">RCT </w:t>
            </w:r>
            <w:r>
              <w:rPr>
                <w:sz w:val="20"/>
                <w:szCs w:val="20"/>
                <w:vertAlign w:val="superscript"/>
              </w:rPr>
              <w:t>1</w:t>
            </w:r>
          </w:p>
        </w:tc>
        <w:tc>
          <w:tcPr>
            <w:tcW w:w="1046" w:type="dxa"/>
            <w:tcBorders>
              <w:top w:val="single" w:sz="6" w:space="0" w:color="000000"/>
              <w:left w:val="single" w:sz="6" w:space="0" w:color="000000"/>
              <w:bottom w:val="single" w:sz="6" w:space="0" w:color="000000"/>
              <w:right w:val="single" w:sz="6" w:space="0" w:color="000000"/>
            </w:tcBorders>
          </w:tcPr>
          <w:p w14:paraId="4CFAD540" w14:textId="77777777" w:rsidR="002D58E4" w:rsidRDefault="00F721D4">
            <w:pPr>
              <w:rPr>
                <w:sz w:val="20"/>
                <w:szCs w:val="20"/>
              </w:rPr>
            </w:pPr>
            <w:r>
              <w:rPr>
                <w:sz w:val="20"/>
                <w:szCs w:val="20"/>
              </w:rPr>
              <w:t>not serious</w:t>
            </w:r>
          </w:p>
        </w:tc>
        <w:tc>
          <w:tcPr>
            <w:tcW w:w="1244" w:type="dxa"/>
            <w:tcBorders>
              <w:top w:val="single" w:sz="6" w:space="0" w:color="000000"/>
              <w:left w:val="single" w:sz="6" w:space="0" w:color="000000"/>
              <w:bottom w:val="single" w:sz="6" w:space="0" w:color="000000"/>
              <w:right w:val="single" w:sz="6" w:space="0" w:color="000000"/>
            </w:tcBorders>
          </w:tcPr>
          <w:p w14:paraId="4DD3C9EC"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50F63C20"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116D65DA" w14:textId="77777777" w:rsidR="002D58E4" w:rsidRDefault="00F721D4">
            <w:pPr>
              <w:rPr>
                <w:sz w:val="20"/>
                <w:szCs w:val="20"/>
              </w:rPr>
            </w:pPr>
            <w:r>
              <w:rPr>
                <w:sz w:val="20"/>
                <w:szCs w:val="20"/>
              </w:rPr>
              <w:t xml:space="preserve"> serious </w:t>
            </w:r>
            <w:r>
              <w:rPr>
                <w:sz w:val="20"/>
                <w:szCs w:val="20"/>
                <w:vertAlign w:val="superscript"/>
              </w:rPr>
              <w:t>c</w:t>
            </w:r>
            <w:r>
              <w:rPr>
                <w:sz w:val="20"/>
                <w:szCs w:val="20"/>
              </w:rPr>
              <w:t xml:space="preserve"> </w:t>
            </w:r>
          </w:p>
        </w:tc>
        <w:tc>
          <w:tcPr>
            <w:tcW w:w="922" w:type="dxa"/>
            <w:tcBorders>
              <w:top w:val="single" w:sz="6" w:space="0" w:color="000000"/>
              <w:left w:val="single" w:sz="6" w:space="0" w:color="000000"/>
              <w:bottom w:val="single" w:sz="6" w:space="0" w:color="000000"/>
              <w:right w:val="single" w:sz="6" w:space="0" w:color="000000"/>
            </w:tcBorders>
          </w:tcPr>
          <w:p w14:paraId="2CE927F3" w14:textId="77777777" w:rsidR="002D58E4" w:rsidRDefault="00F721D4">
            <w:pPr>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07AE6142" w14:textId="77777777" w:rsidR="002D58E4" w:rsidRDefault="00F721D4">
            <w:pPr>
              <w:jc w:val="center"/>
              <w:rPr>
                <w:sz w:val="20"/>
                <w:szCs w:val="20"/>
              </w:rPr>
            </w:pPr>
            <w:r>
              <w:rPr>
                <w:sz w:val="20"/>
                <w:szCs w:val="20"/>
              </w:rPr>
              <w:t>0/68</w:t>
            </w:r>
          </w:p>
          <w:p w14:paraId="47D5DB7F" w14:textId="77777777" w:rsidR="002D58E4" w:rsidRDefault="00F721D4">
            <w:pPr>
              <w:jc w:val="center"/>
              <w:rPr>
                <w:sz w:val="20"/>
                <w:szCs w:val="20"/>
              </w:rPr>
            </w:pPr>
            <w:r>
              <w:rPr>
                <w:sz w:val="20"/>
                <w:szCs w:val="20"/>
              </w:rPr>
              <w:t xml:space="preserve"> (0.0%) </w:t>
            </w:r>
          </w:p>
        </w:tc>
        <w:tc>
          <w:tcPr>
            <w:tcW w:w="1018" w:type="dxa"/>
            <w:tcBorders>
              <w:top w:val="single" w:sz="6" w:space="0" w:color="000000"/>
              <w:left w:val="single" w:sz="6" w:space="0" w:color="000000"/>
              <w:bottom w:val="single" w:sz="6" w:space="0" w:color="000000"/>
              <w:right w:val="single" w:sz="6" w:space="0" w:color="000000"/>
            </w:tcBorders>
          </w:tcPr>
          <w:p w14:paraId="72526BA7" w14:textId="77777777" w:rsidR="002D58E4" w:rsidRDefault="00F721D4">
            <w:pPr>
              <w:jc w:val="center"/>
              <w:rPr>
                <w:sz w:val="20"/>
                <w:szCs w:val="20"/>
              </w:rPr>
            </w:pPr>
            <w:r>
              <w:rPr>
                <w:sz w:val="20"/>
                <w:szCs w:val="20"/>
              </w:rPr>
              <w:t xml:space="preserve">0/55 </w:t>
            </w:r>
          </w:p>
          <w:p w14:paraId="5EF8E1AC" w14:textId="77777777" w:rsidR="002D58E4" w:rsidRDefault="00F721D4">
            <w:pPr>
              <w:jc w:val="center"/>
              <w:rPr>
                <w:sz w:val="20"/>
                <w:szCs w:val="20"/>
              </w:rPr>
            </w:pPr>
            <w:r>
              <w:rPr>
                <w:sz w:val="20"/>
                <w:szCs w:val="20"/>
              </w:rPr>
              <w:t xml:space="preserve">(0.0%) </w:t>
            </w:r>
          </w:p>
        </w:tc>
        <w:tc>
          <w:tcPr>
            <w:tcW w:w="1303" w:type="dxa"/>
            <w:tcBorders>
              <w:top w:val="single" w:sz="6" w:space="0" w:color="000000"/>
              <w:left w:val="single" w:sz="6" w:space="0" w:color="000000"/>
              <w:bottom w:val="single" w:sz="6" w:space="0" w:color="000000"/>
              <w:right w:val="single" w:sz="6" w:space="0" w:color="000000"/>
            </w:tcBorders>
          </w:tcPr>
          <w:p w14:paraId="0CF67501"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tc>
        <w:tc>
          <w:tcPr>
            <w:tcW w:w="1957" w:type="dxa"/>
            <w:tcBorders>
              <w:top w:val="single" w:sz="6" w:space="0" w:color="000000"/>
              <w:left w:val="single" w:sz="6" w:space="0" w:color="000000"/>
              <w:bottom w:val="single" w:sz="6" w:space="0" w:color="000000"/>
              <w:right w:val="single" w:sz="6" w:space="0" w:color="000000"/>
            </w:tcBorders>
          </w:tcPr>
          <w:p w14:paraId="65F361F5" w14:textId="77777777" w:rsidR="002D58E4" w:rsidRDefault="00F721D4">
            <w:pPr>
              <w:jc w:val="center"/>
              <w:rPr>
                <w:sz w:val="20"/>
                <w:szCs w:val="20"/>
              </w:rPr>
            </w:pPr>
            <w:r>
              <w:rPr>
                <w:sz w:val="20"/>
                <w:szCs w:val="20"/>
              </w:rPr>
              <w:t>0 per 1,000</w:t>
            </w:r>
          </w:p>
        </w:tc>
        <w:tc>
          <w:tcPr>
            <w:tcW w:w="1080" w:type="dxa"/>
            <w:tcBorders>
              <w:top w:val="single" w:sz="6" w:space="0" w:color="000000"/>
              <w:left w:val="single" w:sz="6" w:space="0" w:color="000000"/>
              <w:bottom w:val="single" w:sz="6" w:space="0" w:color="000000"/>
              <w:right w:val="single" w:sz="6" w:space="0" w:color="000000"/>
            </w:tcBorders>
          </w:tcPr>
          <w:p w14:paraId="4501CF7E"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17" w:type="dxa"/>
            <w:tcBorders>
              <w:top w:val="single" w:sz="6" w:space="0" w:color="000000"/>
              <w:left w:val="single" w:sz="6" w:space="0" w:color="000000"/>
              <w:bottom w:val="single" w:sz="6" w:space="0" w:color="000000"/>
              <w:right w:val="single" w:sz="6" w:space="0" w:color="000000"/>
            </w:tcBorders>
          </w:tcPr>
          <w:p w14:paraId="7181E64B" w14:textId="77777777" w:rsidR="002D58E4" w:rsidRDefault="00F721D4">
            <w:pPr>
              <w:rPr>
                <w:sz w:val="20"/>
                <w:szCs w:val="20"/>
              </w:rPr>
            </w:pPr>
            <w:r>
              <w:rPr>
                <w:sz w:val="20"/>
                <w:szCs w:val="20"/>
              </w:rPr>
              <w:t xml:space="preserve">CRITICAL </w:t>
            </w:r>
          </w:p>
        </w:tc>
      </w:tr>
      <w:tr w:rsidR="002D58E4" w14:paraId="2974A608" w14:textId="77777777" w:rsidTr="00E70FE5">
        <w:tc>
          <w:tcPr>
            <w:tcW w:w="143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99DE55B" w14:textId="77777777" w:rsidR="002D58E4" w:rsidRDefault="00F721D4">
            <w:pPr>
              <w:rPr>
                <w:b/>
                <w:sz w:val="20"/>
                <w:szCs w:val="20"/>
              </w:rPr>
            </w:pPr>
            <w:r>
              <w:rPr>
                <w:b/>
                <w:sz w:val="20"/>
                <w:szCs w:val="20"/>
              </w:rPr>
              <w:t xml:space="preserve">Gastrointestinal Adverse Events </w:t>
            </w:r>
          </w:p>
        </w:tc>
      </w:tr>
      <w:tr w:rsidR="002D58E4" w14:paraId="3BE4B63E" w14:textId="77777777" w:rsidTr="00E70FE5">
        <w:tc>
          <w:tcPr>
            <w:tcW w:w="725" w:type="dxa"/>
            <w:tcBorders>
              <w:top w:val="single" w:sz="6" w:space="0" w:color="000000"/>
              <w:left w:val="single" w:sz="6" w:space="0" w:color="000000"/>
              <w:bottom w:val="single" w:sz="6" w:space="0" w:color="000000"/>
              <w:right w:val="single" w:sz="6" w:space="0" w:color="000000"/>
            </w:tcBorders>
          </w:tcPr>
          <w:p w14:paraId="7B124FCD"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088C75F2" w14:textId="77777777" w:rsidR="002D58E4" w:rsidRDefault="00F721D4">
            <w:pPr>
              <w:rPr>
                <w:sz w:val="20"/>
                <w:szCs w:val="20"/>
              </w:rPr>
            </w:pPr>
            <w:r>
              <w:rPr>
                <w:sz w:val="20"/>
                <w:szCs w:val="20"/>
              </w:rPr>
              <w:t xml:space="preserve">RCT </w:t>
            </w:r>
            <w:r>
              <w:rPr>
                <w:sz w:val="20"/>
                <w:szCs w:val="20"/>
                <w:vertAlign w:val="superscript"/>
              </w:rPr>
              <w:t>1</w:t>
            </w:r>
          </w:p>
        </w:tc>
        <w:tc>
          <w:tcPr>
            <w:tcW w:w="1046" w:type="dxa"/>
            <w:tcBorders>
              <w:top w:val="single" w:sz="6" w:space="0" w:color="000000"/>
              <w:left w:val="single" w:sz="6" w:space="0" w:color="000000"/>
              <w:bottom w:val="single" w:sz="6" w:space="0" w:color="000000"/>
              <w:right w:val="single" w:sz="6" w:space="0" w:color="000000"/>
            </w:tcBorders>
          </w:tcPr>
          <w:p w14:paraId="0F956BCE" w14:textId="77777777" w:rsidR="002D58E4" w:rsidRDefault="00F721D4">
            <w:pPr>
              <w:rPr>
                <w:sz w:val="20"/>
                <w:szCs w:val="20"/>
                <w:vertAlign w:val="superscript"/>
              </w:rPr>
            </w:pPr>
            <w:r>
              <w:rPr>
                <w:sz w:val="20"/>
                <w:szCs w:val="20"/>
              </w:rPr>
              <w:t xml:space="preserve"> serious </w:t>
            </w:r>
            <w:r>
              <w:rPr>
                <w:sz w:val="20"/>
                <w:szCs w:val="20"/>
                <w:vertAlign w:val="superscript"/>
              </w:rPr>
              <w:t>e</w:t>
            </w:r>
          </w:p>
        </w:tc>
        <w:tc>
          <w:tcPr>
            <w:tcW w:w="1244" w:type="dxa"/>
            <w:tcBorders>
              <w:top w:val="single" w:sz="6" w:space="0" w:color="000000"/>
              <w:left w:val="single" w:sz="6" w:space="0" w:color="000000"/>
              <w:bottom w:val="single" w:sz="6" w:space="0" w:color="000000"/>
              <w:right w:val="single" w:sz="6" w:space="0" w:color="000000"/>
            </w:tcBorders>
          </w:tcPr>
          <w:p w14:paraId="72557BB9"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547869C2"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2A7E1391" w14:textId="77777777" w:rsidR="002D58E4" w:rsidRDefault="00F721D4">
            <w:pPr>
              <w:rPr>
                <w:sz w:val="20"/>
                <w:szCs w:val="20"/>
                <w:vertAlign w:val="superscript"/>
              </w:rPr>
            </w:pPr>
            <w:r>
              <w:rPr>
                <w:sz w:val="20"/>
                <w:szCs w:val="20"/>
              </w:rPr>
              <w:t xml:space="preserve"> serious </w:t>
            </w:r>
            <w:r>
              <w:rPr>
                <w:sz w:val="20"/>
                <w:szCs w:val="20"/>
                <w:vertAlign w:val="superscript"/>
              </w:rPr>
              <w:t>c</w:t>
            </w:r>
          </w:p>
        </w:tc>
        <w:tc>
          <w:tcPr>
            <w:tcW w:w="922" w:type="dxa"/>
            <w:tcBorders>
              <w:top w:val="single" w:sz="6" w:space="0" w:color="000000"/>
              <w:left w:val="single" w:sz="6" w:space="0" w:color="000000"/>
              <w:bottom w:val="single" w:sz="6" w:space="0" w:color="000000"/>
              <w:right w:val="single" w:sz="6" w:space="0" w:color="000000"/>
            </w:tcBorders>
          </w:tcPr>
          <w:p w14:paraId="41C15E38" w14:textId="77777777" w:rsidR="002D58E4" w:rsidRDefault="00F721D4">
            <w:pPr>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32485B31" w14:textId="77777777" w:rsidR="002D58E4" w:rsidRDefault="00F721D4">
            <w:pPr>
              <w:jc w:val="center"/>
              <w:rPr>
                <w:sz w:val="20"/>
                <w:szCs w:val="20"/>
              </w:rPr>
            </w:pPr>
            <w:r>
              <w:rPr>
                <w:sz w:val="20"/>
                <w:szCs w:val="20"/>
              </w:rPr>
              <w:t xml:space="preserve">21/67 </w:t>
            </w:r>
          </w:p>
          <w:p w14:paraId="1CDF4045" w14:textId="77777777" w:rsidR="002D58E4" w:rsidRDefault="00F721D4">
            <w:pPr>
              <w:jc w:val="center"/>
              <w:rPr>
                <w:sz w:val="20"/>
                <w:szCs w:val="20"/>
              </w:rPr>
            </w:pPr>
            <w:r>
              <w:rPr>
                <w:sz w:val="20"/>
                <w:szCs w:val="20"/>
              </w:rPr>
              <w:t xml:space="preserve">(31.3%) </w:t>
            </w:r>
          </w:p>
        </w:tc>
        <w:tc>
          <w:tcPr>
            <w:tcW w:w="1018" w:type="dxa"/>
            <w:tcBorders>
              <w:top w:val="single" w:sz="6" w:space="0" w:color="000000"/>
              <w:left w:val="single" w:sz="6" w:space="0" w:color="000000"/>
              <w:bottom w:val="single" w:sz="6" w:space="0" w:color="000000"/>
              <w:right w:val="single" w:sz="6" w:space="0" w:color="000000"/>
            </w:tcBorders>
          </w:tcPr>
          <w:p w14:paraId="3BB145E6" w14:textId="77777777" w:rsidR="002D58E4" w:rsidRDefault="00F721D4">
            <w:pPr>
              <w:jc w:val="center"/>
              <w:rPr>
                <w:sz w:val="20"/>
                <w:szCs w:val="20"/>
              </w:rPr>
            </w:pPr>
            <w:r>
              <w:rPr>
                <w:sz w:val="20"/>
                <w:szCs w:val="20"/>
              </w:rPr>
              <w:t xml:space="preserve">20/55 </w:t>
            </w:r>
          </w:p>
          <w:p w14:paraId="1AD35030" w14:textId="77777777" w:rsidR="002D58E4" w:rsidRDefault="00F721D4">
            <w:pPr>
              <w:jc w:val="center"/>
              <w:rPr>
                <w:sz w:val="20"/>
                <w:szCs w:val="20"/>
              </w:rPr>
            </w:pPr>
            <w:r>
              <w:rPr>
                <w:sz w:val="20"/>
                <w:szCs w:val="20"/>
              </w:rPr>
              <w:t xml:space="preserve">(36.4%) </w:t>
            </w:r>
          </w:p>
        </w:tc>
        <w:tc>
          <w:tcPr>
            <w:tcW w:w="1303" w:type="dxa"/>
            <w:tcBorders>
              <w:top w:val="single" w:sz="6" w:space="0" w:color="000000"/>
              <w:left w:val="single" w:sz="6" w:space="0" w:color="000000"/>
              <w:bottom w:val="single" w:sz="6" w:space="0" w:color="000000"/>
              <w:right w:val="single" w:sz="6" w:space="0" w:color="000000"/>
            </w:tcBorders>
          </w:tcPr>
          <w:p w14:paraId="37B80DCA" w14:textId="77777777" w:rsidR="002D58E4" w:rsidRDefault="00F721D4">
            <w:pPr>
              <w:jc w:val="center"/>
              <w:rPr>
                <w:sz w:val="20"/>
                <w:szCs w:val="20"/>
              </w:rPr>
            </w:pPr>
            <w:r>
              <w:rPr>
                <w:sz w:val="20"/>
                <w:szCs w:val="20"/>
              </w:rPr>
              <w:t>RR 0.86</w:t>
            </w:r>
            <w:r>
              <w:rPr>
                <w:sz w:val="20"/>
                <w:szCs w:val="20"/>
              </w:rPr>
              <w:br/>
              <w:t xml:space="preserve">(0.52 to 1.42) </w:t>
            </w:r>
          </w:p>
        </w:tc>
        <w:tc>
          <w:tcPr>
            <w:tcW w:w="1957" w:type="dxa"/>
            <w:tcBorders>
              <w:top w:val="single" w:sz="6" w:space="0" w:color="000000"/>
              <w:left w:val="single" w:sz="6" w:space="0" w:color="000000"/>
              <w:bottom w:val="single" w:sz="6" w:space="0" w:color="000000"/>
              <w:right w:val="single" w:sz="6" w:space="0" w:color="000000"/>
            </w:tcBorders>
          </w:tcPr>
          <w:p w14:paraId="2AF5DBBF" w14:textId="77777777" w:rsidR="002D58E4" w:rsidRDefault="00F721D4">
            <w:pPr>
              <w:jc w:val="center"/>
              <w:rPr>
                <w:sz w:val="20"/>
                <w:szCs w:val="20"/>
              </w:rPr>
            </w:pPr>
            <w:r>
              <w:rPr>
                <w:sz w:val="20"/>
                <w:szCs w:val="20"/>
              </w:rPr>
              <w:t>51 fewer per 1,000</w:t>
            </w:r>
            <w:r>
              <w:rPr>
                <w:sz w:val="20"/>
                <w:szCs w:val="20"/>
              </w:rPr>
              <w:br/>
              <w:t xml:space="preserve">(from 153 more to 175 fewer) </w:t>
            </w:r>
          </w:p>
        </w:tc>
        <w:tc>
          <w:tcPr>
            <w:tcW w:w="1080" w:type="dxa"/>
            <w:tcBorders>
              <w:top w:val="single" w:sz="6" w:space="0" w:color="000000"/>
              <w:left w:val="single" w:sz="6" w:space="0" w:color="000000"/>
              <w:bottom w:val="single" w:sz="6" w:space="0" w:color="000000"/>
              <w:right w:val="single" w:sz="6" w:space="0" w:color="000000"/>
            </w:tcBorders>
          </w:tcPr>
          <w:p w14:paraId="34FBEE4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w:t>
            </w:r>
            <w:r>
              <w:t>OW</w:t>
            </w:r>
          </w:p>
        </w:tc>
        <w:tc>
          <w:tcPr>
            <w:tcW w:w="1117" w:type="dxa"/>
            <w:tcBorders>
              <w:top w:val="single" w:sz="6" w:space="0" w:color="000000"/>
              <w:left w:val="single" w:sz="6" w:space="0" w:color="000000"/>
              <w:bottom w:val="single" w:sz="6" w:space="0" w:color="000000"/>
              <w:right w:val="single" w:sz="6" w:space="0" w:color="000000"/>
            </w:tcBorders>
          </w:tcPr>
          <w:p w14:paraId="3FF1D77D" w14:textId="77777777" w:rsidR="002D58E4" w:rsidRDefault="00F721D4">
            <w:pPr>
              <w:rPr>
                <w:sz w:val="20"/>
                <w:szCs w:val="20"/>
              </w:rPr>
            </w:pPr>
            <w:r>
              <w:rPr>
                <w:sz w:val="20"/>
                <w:szCs w:val="20"/>
              </w:rPr>
              <w:t xml:space="preserve">IMPORTANT </w:t>
            </w:r>
          </w:p>
        </w:tc>
      </w:tr>
      <w:tr w:rsidR="002D58E4" w14:paraId="68434660" w14:textId="77777777" w:rsidTr="00E70FE5">
        <w:tc>
          <w:tcPr>
            <w:tcW w:w="143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0304E93" w14:textId="77777777" w:rsidR="002D58E4" w:rsidRDefault="00F721D4">
            <w:pPr>
              <w:rPr>
                <w:b/>
                <w:sz w:val="20"/>
                <w:szCs w:val="20"/>
              </w:rPr>
            </w:pPr>
            <w:r>
              <w:rPr>
                <w:b/>
                <w:sz w:val="20"/>
                <w:szCs w:val="20"/>
              </w:rPr>
              <w:t xml:space="preserve">Allergic Reaction </w:t>
            </w:r>
          </w:p>
        </w:tc>
      </w:tr>
      <w:tr w:rsidR="002D58E4" w14:paraId="5DC51F7D" w14:textId="77777777" w:rsidTr="00E70FE5">
        <w:tc>
          <w:tcPr>
            <w:tcW w:w="725" w:type="dxa"/>
            <w:tcBorders>
              <w:top w:val="single" w:sz="6" w:space="0" w:color="000000"/>
              <w:left w:val="single" w:sz="6" w:space="0" w:color="000000"/>
              <w:bottom w:val="single" w:sz="6" w:space="0" w:color="000000"/>
              <w:right w:val="single" w:sz="6" w:space="0" w:color="000000"/>
            </w:tcBorders>
          </w:tcPr>
          <w:p w14:paraId="77EFBD12" w14:textId="77777777" w:rsidR="002D58E4" w:rsidRDefault="00F721D4">
            <w:pPr>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43354078" w14:textId="77777777" w:rsidR="002D58E4" w:rsidRDefault="00F721D4">
            <w:pPr>
              <w:rPr>
                <w:sz w:val="20"/>
                <w:szCs w:val="20"/>
              </w:rPr>
            </w:pPr>
            <w:r>
              <w:rPr>
                <w:sz w:val="20"/>
                <w:szCs w:val="20"/>
              </w:rPr>
              <w:t xml:space="preserve">RCT </w:t>
            </w:r>
            <w:r>
              <w:rPr>
                <w:sz w:val="20"/>
                <w:szCs w:val="20"/>
                <w:vertAlign w:val="superscript"/>
              </w:rPr>
              <w:t>1</w:t>
            </w:r>
          </w:p>
        </w:tc>
        <w:tc>
          <w:tcPr>
            <w:tcW w:w="1046" w:type="dxa"/>
            <w:tcBorders>
              <w:top w:val="single" w:sz="6" w:space="0" w:color="000000"/>
              <w:left w:val="single" w:sz="6" w:space="0" w:color="000000"/>
              <w:bottom w:val="single" w:sz="6" w:space="0" w:color="000000"/>
              <w:right w:val="single" w:sz="6" w:space="0" w:color="000000"/>
            </w:tcBorders>
          </w:tcPr>
          <w:p w14:paraId="6CF708D8" w14:textId="77777777" w:rsidR="002D58E4" w:rsidRDefault="00F721D4">
            <w:pPr>
              <w:rPr>
                <w:sz w:val="20"/>
                <w:szCs w:val="20"/>
                <w:vertAlign w:val="superscript"/>
              </w:rPr>
            </w:pPr>
            <w:r>
              <w:rPr>
                <w:sz w:val="20"/>
                <w:szCs w:val="20"/>
              </w:rPr>
              <w:t xml:space="preserve"> serious </w:t>
            </w:r>
            <w:r>
              <w:rPr>
                <w:sz w:val="20"/>
                <w:szCs w:val="20"/>
                <w:vertAlign w:val="superscript"/>
              </w:rPr>
              <w:t>e</w:t>
            </w:r>
          </w:p>
        </w:tc>
        <w:tc>
          <w:tcPr>
            <w:tcW w:w="1244" w:type="dxa"/>
            <w:tcBorders>
              <w:top w:val="single" w:sz="6" w:space="0" w:color="000000"/>
              <w:left w:val="single" w:sz="6" w:space="0" w:color="000000"/>
              <w:bottom w:val="single" w:sz="6" w:space="0" w:color="000000"/>
              <w:right w:val="single" w:sz="6" w:space="0" w:color="000000"/>
            </w:tcBorders>
          </w:tcPr>
          <w:p w14:paraId="5C1B2AB9"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1942D68C"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342D7C72" w14:textId="77777777" w:rsidR="002D58E4" w:rsidRDefault="00F721D4">
            <w:pPr>
              <w:rPr>
                <w:sz w:val="20"/>
                <w:szCs w:val="20"/>
              </w:rPr>
            </w:pPr>
            <w:r>
              <w:rPr>
                <w:sz w:val="20"/>
                <w:szCs w:val="20"/>
              </w:rPr>
              <w:t xml:space="preserve">serious </w:t>
            </w:r>
            <w:r>
              <w:rPr>
                <w:sz w:val="20"/>
                <w:szCs w:val="20"/>
                <w:vertAlign w:val="superscript"/>
              </w:rPr>
              <w:t>c</w:t>
            </w:r>
          </w:p>
        </w:tc>
        <w:tc>
          <w:tcPr>
            <w:tcW w:w="922" w:type="dxa"/>
            <w:tcBorders>
              <w:top w:val="single" w:sz="6" w:space="0" w:color="000000"/>
              <w:left w:val="single" w:sz="6" w:space="0" w:color="000000"/>
              <w:bottom w:val="single" w:sz="6" w:space="0" w:color="000000"/>
              <w:right w:val="single" w:sz="6" w:space="0" w:color="000000"/>
            </w:tcBorders>
          </w:tcPr>
          <w:p w14:paraId="500BF51C" w14:textId="77777777" w:rsidR="002D58E4" w:rsidRDefault="00F721D4">
            <w:pPr>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75C708E3" w14:textId="77777777" w:rsidR="002D58E4" w:rsidRDefault="00F721D4">
            <w:pPr>
              <w:jc w:val="center"/>
              <w:rPr>
                <w:sz w:val="20"/>
                <w:szCs w:val="20"/>
              </w:rPr>
            </w:pPr>
            <w:r>
              <w:rPr>
                <w:sz w:val="20"/>
                <w:szCs w:val="20"/>
              </w:rPr>
              <w:t xml:space="preserve">0/67 </w:t>
            </w:r>
          </w:p>
          <w:p w14:paraId="6FACE4DF" w14:textId="77777777" w:rsidR="002D58E4" w:rsidRDefault="00F721D4">
            <w:pPr>
              <w:jc w:val="center"/>
              <w:rPr>
                <w:sz w:val="20"/>
                <w:szCs w:val="20"/>
              </w:rPr>
            </w:pPr>
            <w:r>
              <w:rPr>
                <w:sz w:val="20"/>
                <w:szCs w:val="20"/>
              </w:rPr>
              <w:t xml:space="preserve">(0.0%) </w:t>
            </w:r>
          </w:p>
        </w:tc>
        <w:tc>
          <w:tcPr>
            <w:tcW w:w="1018" w:type="dxa"/>
            <w:tcBorders>
              <w:top w:val="single" w:sz="6" w:space="0" w:color="000000"/>
              <w:left w:val="single" w:sz="6" w:space="0" w:color="000000"/>
              <w:bottom w:val="single" w:sz="6" w:space="0" w:color="000000"/>
              <w:right w:val="single" w:sz="6" w:space="0" w:color="000000"/>
            </w:tcBorders>
          </w:tcPr>
          <w:p w14:paraId="56D53B51" w14:textId="77777777" w:rsidR="002D58E4" w:rsidRDefault="00F721D4">
            <w:pPr>
              <w:jc w:val="center"/>
              <w:rPr>
                <w:sz w:val="20"/>
                <w:szCs w:val="20"/>
              </w:rPr>
            </w:pPr>
            <w:r>
              <w:rPr>
                <w:sz w:val="20"/>
                <w:szCs w:val="20"/>
              </w:rPr>
              <w:t xml:space="preserve">0/55 </w:t>
            </w:r>
          </w:p>
          <w:p w14:paraId="4D517974" w14:textId="77777777" w:rsidR="002D58E4" w:rsidRDefault="00F721D4">
            <w:pPr>
              <w:jc w:val="center"/>
              <w:rPr>
                <w:sz w:val="20"/>
                <w:szCs w:val="20"/>
              </w:rPr>
            </w:pPr>
            <w:r>
              <w:rPr>
                <w:sz w:val="20"/>
                <w:szCs w:val="20"/>
              </w:rPr>
              <w:t xml:space="preserve">(0.0%) </w:t>
            </w:r>
          </w:p>
        </w:tc>
        <w:tc>
          <w:tcPr>
            <w:tcW w:w="1303" w:type="dxa"/>
            <w:tcBorders>
              <w:top w:val="single" w:sz="6" w:space="0" w:color="000000"/>
              <w:left w:val="single" w:sz="6" w:space="0" w:color="000000"/>
              <w:bottom w:val="single" w:sz="6" w:space="0" w:color="000000"/>
              <w:right w:val="single" w:sz="6" w:space="0" w:color="000000"/>
            </w:tcBorders>
          </w:tcPr>
          <w:p w14:paraId="49AD279D"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tc>
        <w:tc>
          <w:tcPr>
            <w:tcW w:w="1957" w:type="dxa"/>
            <w:tcBorders>
              <w:top w:val="single" w:sz="6" w:space="0" w:color="000000"/>
              <w:left w:val="single" w:sz="6" w:space="0" w:color="000000"/>
              <w:bottom w:val="single" w:sz="6" w:space="0" w:color="000000"/>
              <w:right w:val="single" w:sz="6" w:space="0" w:color="000000"/>
            </w:tcBorders>
          </w:tcPr>
          <w:p w14:paraId="12D58F06" w14:textId="77777777" w:rsidR="002D58E4" w:rsidRDefault="00F721D4">
            <w:pPr>
              <w:jc w:val="center"/>
              <w:rPr>
                <w:sz w:val="20"/>
                <w:szCs w:val="20"/>
              </w:rPr>
            </w:pPr>
            <w:r>
              <w:rPr>
                <w:sz w:val="20"/>
                <w:szCs w:val="20"/>
              </w:rPr>
              <w:t>0 per 1,000</w:t>
            </w:r>
          </w:p>
        </w:tc>
        <w:tc>
          <w:tcPr>
            <w:tcW w:w="1080" w:type="dxa"/>
            <w:tcBorders>
              <w:top w:val="single" w:sz="6" w:space="0" w:color="000000"/>
              <w:left w:val="single" w:sz="6" w:space="0" w:color="000000"/>
              <w:bottom w:val="single" w:sz="6" w:space="0" w:color="000000"/>
              <w:right w:val="single" w:sz="6" w:space="0" w:color="000000"/>
            </w:tcBorders>
          </w:tcPr>
          <w:p w14:paraId="25DC9C9E"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w:t>
            </w:r>
            <w:r>
              <w:t>OW</w:t>
            </w:r>
          </w:p>
        </w:tc>
        <w:tc>
          <w:tcPr>
            <w:tcW w:w="1117" w:type="dxa"/>
            <w:tcBorders>
              <w:top w:val="single" w:sz="6" w:space="0" w:color="000000"/>
              <w:left w:val="single" w:sz="6" w:space="0" w:color="000000"/>
              <w:bottom w:val="single" w:sz="6" w:space="0" w:color="000000"/>
              <w:right w:val="single" w:sz="6" w:space="0" w:color="000000"/>
            </w:tcBorders>
          </w:tcPr>
          <w:p w14:paraId="1B711F29" w14:textId="77777777" w:rsidR="002D58E4" w:rsidRDefault="00F721D4">
            <w:pPr>
              <w:rPr>
                <w:sz w:val="20"/>
                <w:szCs w:val="20"/>
              </w:rPr>
            </w:pPr>
            <w:r>
              <w:rPr>
                <w:sz w:val="20"/>
                <w:szCs w:val="20"/>
              </w:rPr>
              <w:t xml:space="preserve">IMPORTANT </w:t>
            </w:r>
          </w:p>
        </w:tc>
      </w:tr>
    </w:tbl>
    <w:p w14:paraId="6E55F611" w14:textId="77777777" w:rsidR="002D58E4" w:rsidRDefault="00F721D4">
      <w:pPr>
        <w:spacing w:after="0" w:line="240" w:lineRule="auto"/>
        <w:rPr>
          <w:sz w:val="18"/>
          <w:szCs w:val="18"/>
        </w:rPr>
      </w:pPr>
      <w:r>
        <w:rPr>
          <w:b/>
          <w:sz w:val="18"/>
          <w:szCs w:val="18"/>
        </w:rPr>
        <w:lastRenderedPageBreak/>
        <w:t>CI:</w:t>
      </w:r>
      <w:r>
        <w:rPr>
          <w:sz w:val="18"/>
          <w:szCs w:val="18"/>
        </w:rPr>
        <w:t xml:space="preserve"> Confidence interval; </w:t>
      </w:r>
      <w:r>
        <w:rPr>
          <w:b/>
          <w:sz w:val="18"/>
          <w:szCs w:val="18"/>
        </w:rPr>
        <w:t>RR:</w:t>
      </w:r>
      <w:r>
        <w:rPr>
          <w:sz w:val="18"/>
          <w:szCs w:val="18"/>
        </w:rPr>
        <w:t xml:space="preserve"> Risk ratio; </w:t>
      </w:r>
      <w:r>
        <w:rPr>
          <w:b/>
          <w:sz w:val="18"/>
          <w:szCs w:val="18"/>
        </w:rPr>
        <w:t>MD:</w:t>
      </w:r>
      <w:r>
        <w:rPr>
          <w:sz w:val="18"/>
          <w:szCs w:val="18"/>
        </w:rPr>
        <w:t xml:space="preserve"> Mean difference</w:t>
      </w:r>
    </w:p>
    <w:p w14:paraId="72CDED73" w14:textId="77777777" w:rsidR="002D58E4" w:rsidRDefault="00F721D4">
      <w:pPr>
        <w:spacing w:before="280" w:after="0"/>
        <w:rPr>
          <w:b/>
          <w:sz w:val="24"/>
          <w:szCs w:val="24"/>
        </w:rPr>
      </w:pPr>
      <w:r>
        <w:rPr>
          <w:b/>
          <w:sz w:val="24"/>
          <w:szCs w:val="24"/>
        </w:rPr>
        <w:t>Explanations</w:t>
      </w:r>
    </w:p>
    <w:p w14:paraId="611B379B" w14:textId="77777777" w:rsidR="002D58E4" w:rsidRDefault="00F721D4">
      <w:pPr>
        <w:spacing w:after="0" w:line="240" w:lineRule="auto"/>
        <w:rPr>
          <w:sz w:val="18"/>
          <w:szCs w:val="18"/>
        </w:rPr>
      </w:pPr>
      <w:r>
        <w:rPr>
          <w:sz w:val="18"/>
          <w:szCs w:val="18"/>
        </w:rPr>
        <w:t xml:space="preserve">a. Based on an inferiority margin of 15%, not rated down for imprecision.  </w:t>
      </w:r>
    </w:p>
    <w:p w14:paraId="6C3125A0" w14:textId="77777777" w:rsidR="002D58E4" w:rsidRDefault="00F721D4">
      <w:pPr>
        <w:spacing w:after="0" w:line="240" w:lineRule="auto"/>
        <w:rPr>
          <w:sz w:val="18"/>
          <w:szCs w:val="18"/>
        </w:rPr>
      </w:pPr>
      <w:r>
        <w:rPr>
          <w:sz w:val="18"/>
          <w:szCs w:val="18"/>
        </w:rPr>
        <w:t>b. Eliassen 2018 reported duration of EM as median and range- Median for Doxy group was 14 days (range 3-293 days) and for PenV group was 14 days (range 5-91 days). These were converted to mean and SD using method by Hozo, et al. However, due to a wide range of EM duration in this study, the SDs are very large</w:t>
      </w:r>
      <w:r>
        <w:rPr>
          <w:b/>
          <w:sz w:val="18"/>
          <w:szCs w:val="18"/>
        </w:rPr>
        <w:t>.</w:t>
      </w:r>
    </w:p>
    <w:p w14:paraId="347D4FAE" w14:textId="77777777" w:rsidR="002D58E4" w:rsidRDefault="00F721D4">
      <w:pPr>
        <w:spacing w:after="0" w:line="240" w:lineRule="auto"/>
        <w:rPr>
          <w:sz w:val="18"/>
          <w:szCs w:val="18"/>
        </w:rPr>
      </w:pPr>
      <w:r>
        <w:rPr>
          <w:sz w:val="18"/>
          <w:szCs w:val="18"/>
        </w:rPr>
        <w:t>c. Due to low event rate and/or 95% CI crossing the null value.</w:t>
      </w:r>
    </w:p>
    <w:p w14:paraId="4666970F" w14:textId="7215A2F3" w:rsidR="002D58E4" w:rsidRDefault="00F721D4">
      <w:pPr>
        <w:spacing w:after="0" w:line="240" w:lineRule="auto"/>
        <w:rPr>
          <w:sz w:val="18"/>
          <w:szCs w:val="18"/>
        </w:rPr>
      </w:pPr>
      <w:r>
        <w:rPr>
          <w:sz w:val="18"/>
          <w:szCs w:val="18"/>
        </w:rPr>
        <w:t>d.</w:t>
      </w:r>
      <w:r>
        <w:t xml:space="preserve"> </w:t>
      </w:r>
      <w:r>
        <w:rPr>
          <w:sz w:val="18"/>
          <w:szCs w:val="18"/>
        </w:rPr>
        <w:t>Due to zero events in one study arm, unable to estimate relative risk</w:t>
      </w:r>
      <w:r w:rsidR="00FE31BB">
        <w:rPr>
          <w:sz w:val="18"/>
          <w:szCs w:val="18"/>
        </w:rPr>
        <w:t>.</w:t>
      </w:r>
    </w:p>
    <w:p w14:paraId="68BDF3E9" w14:textId="43192695" w:rsidR="002D58E4" w:rsidRDefault="00F721D4">
      <w:pPr>
        <w:spacing w:after="0" w:line="240" w:lineRule="auto"/>
        <w:rPr>
          <w:color w:val="000000"/>
          <w:sz w:val="18"/>
          <w:szCs w:val="18"/>
        </w:rPr>
      </w:pPr>
      <w:r>
        <w:rPr>
          <w:sz w:val="18"/>
          <w:szCs w:val="18"/>
        </w:rPr>
        <w:t>e. Due to single-blind design (outcomes were self-reported)</w:t>
      </w:r>
      <w:r w:rsidR="00FE31BB">
        <w:rPr>
          <w:sz w:val="18"/>
          <w:szCs w:val="18"/>
        </w:rPr>
        <w:t>.</w:t>
      </w:r>
    </w:p>
    <w:p w14:paraId="5A432D33" w14:textId="36EA07F5" w:rsidR="002D58E4" w:rsidRDefault="002D58E4">
      <w:pPr>
        <w:rPr>
          <w:b/>
          <w:color w:val="000000"/>
          <w:sz w:val="24"/>
          <w:szCs w:val="24"/>
          <w:u w:val="single"/>
        </w:rPr>
      </w:pPr>
    </w:p>
    <w:p w14:paraId="749BA919" w14:textId="77777777" w:rsidR="00FE31BB" w:rsidRDefault="00FE31BB">
      <w:pPr>
        <w:rPr>
          <w:b/>
          <w:color w:val="000000"/>
          <w:sz w:val="24"/>
          <w:szCs w:val="24"/>
          <w:u w:val="single"/>
        </w:rPr>
      </w:pPr>
      <w:r>
        <w:rPr>
          <w:b/>
          <w:color w:val="000000"/>
          <w:sz w:val="24"/>
          <w:szCs w:val="24"/>
          <w:u w:val="single"/>
        </w:rPr>
        <w:br w:type="page"/>
      </w:r>
    </w:p>
    <w:p w14:paraId="5E29EB85" w14:textId="4B401613" w:rsidR="002D58E4" w:rsidRDefault="00F721D4">
      <w:pPr>
        <w:spacing w:after="0"/>
        <w:rPr>
          <w:b/>
          <w:color w:val="000000"/>
          <w:sz w:val="24"/>
          <w:szCs w:val="24"/>
          <w:u w:val="single"/>
        </w:rPr>
      </w:pPr>
      <w:r>
        <w:rPr>
          <w:b/>
          <w:color w:val="000000"/>
          <w:sz w:val="24"/>
          <w:szCs w:val="24"/>
          <w:u w:val="single"/>
        </w:rPr>
        <w:lastRenderedPageBreak/>
        <w:t>14-DAY DOXYCYCLINE vs. 14-DAY AMOXICILLIN</w:t>
      </w:r>
    </w:p>
    <w:p w14:paraId="093D4009" w14:textId="77777777" w:rsidR="002D58E4" w:rsidRDefault="00F721D4">
      <w:pPr>
        <w:spacing w:after="0"/>
        <w:rPr>
          <w:b/>
        </w:rPr>
      </w:pPr>
      <w:r>
        <w:rPr>
          <w:b/>
        </w:rPr>
        <w:t>In patients with erythema migrans, should 14 days of Doxycycline be used over 14 days of Amoxicillin?</w:t>
      </w:r>
    </w:p>
    <w:p w14:paraId="0DCE5045" w14:textId="77777777" w:rsidR="002D58E4" w:rsidRDefault="00F721D4">
      <w:pPr>
        <w:spacing w:after="0"/>
      </w:pPr>
      <w:r>
        <w:t>P: In patients with erythema migrans</w:t>
      </w:r>
    </w:p>
    <w:p w14:paraId="3EEA26FB" w14:textId="77777777" w:rsidR="002D58E4" w:rsidRDefault="00F721D4">
      <w:pPr>
        <w:spacing w:after="0"/>
      </w:pPr>
      <w:r>
        <w:t>I: 14-day course of Doxycycline</w:t>
      </w:r>
    </w:p>
    <w:p w14:paraId="1799ACDD" w14:textId="7210DDE2" w:rsidR="002D58E4" w:rsidRPr="002853F4" w:rsidRDefault="00F721D4">
      <w:pPr>
        <w:spacing w:after="0"/>
      </w:pPr>
      <w:r>
        <w:t>C: 14-day course of Amoxicillin</w:t>
      </w:r>
    </w:p>
    <w:p w14:paraId="7D8959F9" w14:textId="77777777" w:rsidR="002D58E4" w:rsidRDefault="002D58E4">
      <w:pPr>
        <w:spacing w:after="0"/>
        <w:rPr>
          <w:b/>
          <w:color w:val="000000"/>
          <w:sz w:val="18"/>
          <w:szCs w:val="18"/>
        </w:rPr>
      </w:pPr>
    </w:p>
    <w:p w14:paraId="194D8E6F" w14:textId="024C1C55" w:rsidR="002D58E4" w:rsidRPr="003A5F79" w:rsidRDefault="00F721D4" w:rsidP="00DE33EC">
      <w:pPr>
        <w:rPr>
          <w:rFonts w:asciiTheme="majorHAnsi" w:hAnsiTheme="majorHAnsi" w:cstheme="majorHAnsi"/>
          <w:color w:val="000000"/>
          <w:sz w:val="14"/>
          <w:szCs w:val="14"/>
        </w:rPr>
      </w:pPr>
      <w:r>
        <w:rPr>
          <w:b/>
          <w:color w:val="000000"/>
          <w:sz w:val="18"/>
          <w:szCs w:val="18"/>
        </w:rPr>
        <w:t>Bibliography</w:t>
      </w:r>
      <w:r>
        <w:rPr>
          <w:color w:val="000000"/>
          <w:sz w:val="18"/>
          <w:szCs w:val="18"/>
        </w:rPr>
        <w:t xml:space="preserve">: 1. </w:t>
      </w:r>
      <w:r w:rsidRPr="003A5F79">
        <w:rPr>
          <w:rFonts w:asciiTheme="majorHAnsi" w:hAnsiTheme="majorHAnsi" w:cstheme="majorHAnsi"/>
          <w:color w:val="000000"/>
          <w:sz w:val="18"/>
          <w:szCs w:val="18"/>
        </w:rPr>
        <w:t>Eliassen, et al. Clinical Microbiology and Infection. 2018</w:t>
      </w:r>
      <w:r w:rsidR="003A5F79" w:rsidRPr="003A5F79">
        <w:rPr>
          <w:rFonts w:asciiTheme="majorHAnsi" w:hAnsiTheme="majorHAnsi" w:cstheme="majorHAnsi"/>
          <w:color w:val="000000"/>
          <w:sz w:val="18"/>
          <w:szCs w:val="18"/>
          <w:shd w:val="clear" w:color="auto" w:fill="FFFFFF"/>
        </w:rPr>
        <w:t xml:space="preserve"> Dec;24(12):1290-1296</w:t>
      </w:r>
      <w:r w:rsidRPr="003A5F79">
        <w:rPr>
          <w:rFonts w:asciiTheme="majorHAnsi" w:hAnsiTheme="majorHAnsi" w:cstheme="majorHAnsi"/>
          <w:color w:val="000000"/>
          <w:sz w:val="18"/>
          <w:szCs w:val="18"/>
        </w:rPr>
        <w:t>.</w:t>
      </w:r>
    </w:p>
    <w:tbl>
      <w:tblPr>
        <w:tblStyle w:val="afa"/>
        <w:tblW w:w="1460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9"/>
        <w:gridCol w:w="714"/>
        <w:gridCol w:w="845"/>
        <w:gridCol w:w="1159"/>
        <w:gridCol w:w="1174"/>
        <w:gridCol w:w="1128"/>
        <w:gridCol w:w="934"/>
        <w:gridCol w:w="1167"/>
        <w:gridCol w:w="1101"/>
        <w:gridCol w:w="921"/>
        <w:gridCol w:w="2418"/>
        <w:gridCol w:w="1137"/>
        <w:gridCol w:w="1194"/>
      </w:tblGrid>
      <w:tr w:rsidR="003A5F79" w14:paraId="351418C6" w14:textId="77777777" w:rsidTr="003A5F79">
        <w:tc>
          <w:tcPr>
            <w:tcW w:w="6663"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4F5DFE3B" w14:textId="77777777" w:rsidR="003A5F79" w:rsidRDefault="003A5F79">
            <w:pPr>
              <w:jc w:val="center"/>
              <w:rPr>
                <w:b/>
                <w:sz w:val="20"/>
                <w:szCs w:val="20"/>
              </w:rPr>
            </w:pPr>
            <w:r>
              <w:rPr>
                <w:b/>
                <w:sz w:val="20"/>
                <w:szCs w:val="20"/>
              </w:rPr>
              <w:t>Certainty assessment</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63EF0954" w14:textId="77777777" w:rsidR="003A5F79" w:rsidRDefault="003A5F79">
            <w:pPr>
              <w:jc w:val="center"/>
              <w:rPr>
                <w:b/>
                <w:sz w:val="20"/>
                <w:szCs w:val="20"/>
              </w:rPr>
            </w:pPr>
            <w:r>
              <w:rPr>
                <w:b/>
                <w:sz w:val="18"/>
                <w:szCs w:val="18"/>
              </w:rPr>
              <w:t>№ of Events/№ of patients</w:t>
            </w:r>
          </w:p>
        </w:tc>
        <w:tc>
          <w:tcPr>
            <w:tcW w:w="3339"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6445CAEF" w14:textId="77777777" w:rsidR="003A5F79" w:rsidRDefault="003A5F79">
            <w:pPr>
              <w:jc w:val="center"/>
              <w:rPr>
                <w:b/>
                <w:sz w:val="20"/>
                <w:szCs w:val="20"/>
              </w:rPr>
            </w:pPr>
            <w:r>
              <w:rPr>
                <w:b/>
                <w:sz w:val="20"/>
                <w:szCs w:val="20"/>
              </w:rPr>
              <w:t>Effect</w:t>
            </w:r>
          </w:p>
        </w:tc>
        <w:tc>
          <w:tcPr>
            <w:tcW w:w="1137" w:type="dxa"/>
            <w:vMerge w:val="restart"/>
            <w:tcBorders>
              <w:top w:val="single" w:sz="6" w:space="0" w:color="000000"/>
              <w:left w:val="single" w:sz="6" w:space="0" w:color="000000"/>
              <w:right w:val="single" w:sz="6" w:space="0" w:color="000000"/>
            </w:tcBorders>
            <w:shd w:val="clear" w:color="auto" w:fill="DDDDDD"/>
            <w:vAlign w:val="center"/>
          </w:tcPr>
          <w:p w14:paraId="6487107C" w14:textId="77777777" w:rsidR="003A5F79" w:rsidRDefault="003A5F79">
            <w:pPr>
              <w:jc w:val="center"/>
              <w:rPr>
                <w:b/>
                <w:sz w:val="20"/>
                <w:szCs w:val="20"/>
              </w:rPr>
            </w:pPr>
            <w:r>
              <w:rPr>
                <w:b/>
                <w:sz w:val="20"/>
                <w:szCs w:val="20"/>
              </w:rPr>
              <w:t>Certainty</w:t>
            </w:r>
          </w:p>
        </w:tc>
        <w:tc>
          <w:tcPr>
            <w:tcW w:w="1194" w:type="dxa"/>
            <w:vMerge w:val="restart"/>
            <w:tcBorders>
              <w:top w:val="single" w:sz="6" w:space="0" w:color="000000"/>
              <w:left w:val="single" w:sz="6" w:space="0" w:color="000000"/>
              <w:right w:val="single" w:sz="6" w:space="0" w:color="000000"/>
            </w:tcBorders>
            <w:shd w:val="clear" w:color="auto" w:fill="DDDDDD"/>
            <w:vAlign w:val="center"/>
          </w:tcPr>
          <w:p w14:paraId="2C9040D6" w14:textId="77777777" w:rsidR="003A5F79" w:rsidRDefault="003A5F79">
            <w:pPr>
              <w:jc w:val="center"/>
              <w:rPr>
                <w:b/>
                <w:sz w:val="20"/>
                <w:szCs w:val="20"/>
              </w:rPr>
            </w:pPr>
            <w:r>
              <w:rPr>
                <w:b/>
                <w:sz w:val="20"/>
                <w:szCs w:val="20"/>
              </w:rPr>
              <w:t>Importance</w:t>
            </w:r>
          </w:p>
        </w:tc>
      </w:tr>
      <w:tr w:rsidR="003A5F79" w14:paraId="5F26DEA2" w14:textId="77777777" w:rsidTr="003A5F79">
        <w:tc>
          <w:tcPr>
            <w:tcW w:w="70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5F074543" w14:textId="77777777" w:rsidR="003A5F79" w:rsidRDefault="003A5F79">
            <w:pPr>
              <w:jc w:val="center"/>
              <w:rPr>
                <w:b/>
                <w:sz w:val="20"/>
                <w:szCs w:val="20"/>
              </w:rPr>
            </w:pPr>
            <w:r>
              <w:rPr>
                <w:b/>
                <w:sz w:val="20"/>
                <w:szCs w:val="20"/>
              </w:rPr>
              <w:t>№ of studies</w:t>
            </w:r>
          </w:p>
        </w:tc>
        <w:tc>
          <w:tcPr>
            <w:tcW w:w="71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4F8F34F" w14:textId="77777777" w:rsidR="003A5F79" w:rsidRDefault="003A5F79">
            <w:pPr>
              <w:jc w:val="center"/>
              <w:rPr>
                <w:b/>
                <w:sz w:val="20"/>
                <w:szCs w:val="20"/>
              </w:rPr>
            </w:pPr>
            <w:r>
              <w:rPr>
                <w:b/>
                <w:sz w:val="20"/>
                <w:szCs w:val="20"/>
              </w:rPr>
              <w:t>Study design</w:t>
            </w:r>
          </w:p>
        </w:tc>
        <w:tc>
          <w:tcPr>
            <w:tcW w:w="84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D9ADA9E" w14:textId="77777777" w:rsidR="003A5F79" w:rsidRDefault="003A5F79">
            <w:pPr>
              <w:jc w:val="center"/>
              <w:rPr>
                <w:b/>
                <w:sz w:val="20"/>
                <w:szCs w:val="20"/>
              </w:rPr>
            </w:pPr>
            <w:r>
              <w:rPr>
                <w:b/>
                <w:sz w:val="20"/>
                <w:szCs w:val="20"/>
              </w:rPr>
              <w:t>Risk of bias</w:t>
            </w:r>
          </w:p>
        </w:tc>
        <w:tc>
          <w:tcPr>
            <w:tcW w:w="115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8C1ACB9" w14:textId="77777777" w:rsidR="003A5F79" w:rsidRDefault="003A5F79">
            <w:pPr>
              <w:jc w:val="center"/>
              <w:rPr>
                <w:b/>
                <w:sz w:val="20"/>
                <w:szCs w:val="20"/>
              </w:rPr>
            </w:pPr>
            <w:r>
              <w:rPr>
                <w:b/>
                <w:sz w:val="20"/>
                <w:szCs w:val="20"/>
              </w:rPr>
              <w:t>Inconsistency</w:t>
            </w:r>
          </w:p>
        </w:tc>
        <w:tc>
          <w:tcPr>
            <w:tcW w:w="117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90C206E" w14:textId="77777777" w:rsidR="003A5F79" w:rsidRDefault="003A5F79">
            <w:pPr>
              <w:jc w:val="center"/>
              <w:rPr>
                <w:b/>
                <w:sz w:val="20"/>
                <w:szCs w:val="20"/>
              </w:rPr>
            </w:pPr>
            <w:r>
              <w:rPr>
                <w:b/>
                <w:sz w:val="20"/>
                <w:szCs w:val="20"/>
              </w:rPr>
              <w:t>Indirectness</w:t>
            </w:r>
          </w:p>
        </w:tc>
        <w:tc>
          <w:tcPr>
            <w:tcW w:w="112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144F306" w14:textId="77777777" w:rsidR="003A5F79" w:rsidRDefault="003A5F79">
            <w:pPr>
              <w:jc w:val="center"/>
              <w:rPr>
                <w:b/>
                <w:sz w:val="20"/>
                <w:szCs w:val="20"/>
              </w:rPr>
            </w:pPr>
            <w:r>
              <w:rPr>
                <w:b/>
                <w:sz w:val="20"/>
                <w:szCs w:val="20"/>
              </w:rPr>
              <w:t>Imprecision</w:t>
            </w:r>
          </w:p>
        </w:tc>
        <w:tc>
          <w:tcPr>
            <w:tcW w:w="934"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D2C2FED" w14:textId="77777777" w:rsidR="003A5F79" w:rsidRDefault="003A5F79">
            <w:pPr>
              <w:jc w:val="center"/>
              <w:rPr>
                <w:b/>
                <w:sz w:val="20"/>
                <w:szCs w:val="20"/>
              </w:rPr>
            </w:pPr>
            <w:r>
              <w:rPr>
                <w:b/>
                <w:sz w:val="20"/>
                <w:szCs w:val="20"/>
              </w:rPr>
              <w:t>Other considerations</w:t>
            </w:r>
          </w:p>
        </w:tc>
        <w:tc>
          <w:tcPr>
            <w:tcW w:w="116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33795F4" w14:textId="77777777" w:rsidR="003A5F79" w:rsidRDefault="003A5F79">
            <w:pPr>
              <w:jc w:val="center"/>
              <w:rPr>
                <w:b/>
                <w:sz w:val="20"/>
                <w:szCs w:val="20"/>
              </w:rPr>
            </w:pPr>
            <w:r>
              <w:rPr>
                <w:b/>
                <w:sz w:val="20"/>
                <w:szCs w:val="20"/>
              </w:rPr>
              <w:t>Doxycycline 14 days</w:t>
            </w:r>
          </w:p>
        </w:tc>
        <w:tc>
          <w:tcPr>
            <w:tcW w:w="110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680790D" w14:textId="77777777" w:rsidR="003A5F79" w:rsidRDefault="003A5F79">
            <w:pPr>
              <w:jc w:val="center"/>
              <w:rPr>
                <w:b/>
                <w:sz w:val="20"/>
                <w:szCs w:val="20"/>
              </w:rPr>
            </w:pPr>
            <w:r>
              <w:rPr>
                <w:b/>
                <w:sz w:val="20"/>
                <w:szCs w:val="20"/>
              </w:rPr>
              <w:t>Amoxicillin 14 days</w:t>
            </w:r>
          </w:p>
        </w:tc>
        <w:tc>
          <w:tcPr>
            <w:tcW w:w="92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9B09F2C" w14:textId="77777777" w:rsidR="003A5F79" w:rsidRDefault="003A5F79">
            <w:pPr>
              <w:jc w:val="center"/>
              <w:rPr>
                <w:b/>
                <w:sz w:val="20"/>
                <w:szCs w:val="20"/>
              </w:rPr>
            </w:pPr>
            <w:r>
              <w:rPr>
                <w:b/>
                <w:sz w:val="20"/>
                <w:szCs w:val="20"/>
              </w:rPr>
              <w:t>Relative</w:t>
            </w:r>
            <w:r>
              <w:rPr>
                <w:b/>
                <w:sz w:val="20"/>
                <w:szCs w:val="20"/>
              </w:rPr>
              <w:br/>
              <w:t>(95% CI)</w:t>
            </w:r>
          </w:p>
        </w:tc>
        <w:tc>
          <w:tcPr>
            <w:tcW w:w="241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7D71E58" w14:textId="77777777" w:rsidR="003A5F79" w:rsidRDefault="003A5F79">
            <w:pPr>
              <w:jc w:val="center"/>
              <w:rPr>
                <w:b/>
                <w:sz w:val="20"/>
                <w:szCs w:val="20"/>
              </w:rPr>
            </w:pPr>
            <w:r>
              <w:rPr>
                <w:b/>
                <w:sz w:val="20"/>
                <w:szCs w:val="20"/>
              </w:rPr>
              <w:t>Absolute</w:t>
            </w:r>
            <w:r>
              <w:rPr>
                <w:b/>
                <w:sz w:val="20"/>
                <w:szCs w:val="20"/>
              </w:rPr>
              <w:br/>
              <w:t>(95% CI)</w:t>
            </w:r>
          </w:p>
        </w:tc>
        <w:tc>
          <w:tcPr>
            <w:tcW w:w="1137" w:type="dxa"/>
            <w:vMerge/>
            <w:tcBorders>
              <w:left w:val="single" w:sz="6" w:space="0" w:color="000000"/>
              <w:bottom w:val="single" w:sz="6" w:space="0" w:color="000000"/>
              <w:right w:val="single" w:sz="6" w:space="0" w:color="000000"/>
            </w:tcBorders>
            <w:shd w:val="clear" w:color="auto" w:fill="DDDDDD"/>
            <w:vAlign w:val="center"/>
          </w:tcPr>
          <w:p w14:paraId="12B3FB20" w14:textId="77777777" w:rsidR="003A5F79" w:rsidRDefault="003A5F79">
            <w:pPr>
              <w:rPr>
                <w:b/>
                <w:sz w:val="20"/>
                <w:szCs w:val="20"/>
              </w:rPr>
            </w:pPr>
          </w:p>
        </w:tc>
        <w:tc>
          <w:tcPr>
            <w:tcW w:w="1194" w:type="dxa"/>
            <w:vMerge/>
            <w:tcBorders>
              <w:left w:val="single" w:sz="6" w:space="0" w:color="000000"/>
              <w:bottom w:val="single" w:sz="6" w:space="0" w:color="000000"/>
              <w:right w:val="single" w:sz="6" w:space="0" w:color="000000"/>
            </w:tcBorders>
            <w:shd w:val="clear" w:color="auto" w:fill="DDDDDD"/>
            <w:vAlign w:val="center"/>
          </w:tcPr>
          <w:p w14:paraId="1DB5B67F" w14:textId="77777777" w:rsidR="003A5F79" w:rsidRDefault="003A5F79">
            <w:pPr>
              <w:rPr>
                <w:b/>
                <w:sz w:val="20"/>
                <w:szCs w:val="20"/>
              </w:rPr>
            </w:pPr>
          </w:p>
        </w:tc>
      </w:tr>
      <w:tr w:rsidR="002D58E4" w14:paraId="038F08D2" w14:textId="77777777" w:rsidTr="003A5F79">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137C50A" w14:textId="77777777" w:rsidR="002D58E4" w:rsidRDefault="00F721D4">
            <w:pPr>
              <w:rPr>
                <w:sz w:val="20"/>
                <w:szCs w:val="20"/>
              </w:rPr>
            </w:pPr>
            <w:r>
              <w:rPr>
                <w:b/>
                <w:sz w:val="20"/>
                <w:szCs w:val="20"/>
              </w:rPr>
              <w:t xml:space="preserve">Resolution of Erythema Migrans </w:t>
            </w:r>
            <w:r>
              <w:rPr>
                <w:sz w:val="20"/>
                <w:szCs w:val="20"/>
              </w:rPr>
              <w:t>(at 14 days)</w:t>
            </w:r>
          </w:p>
        </w:tc>
      </w:tr>
      <w:tr w:rsidR="002D58E4" w14:paraId="149136DC" w14:textId="77777777" w:rsidTr="003A5F79">
        <w:tc>
          <w:tcPr>
            <w:tcW w:w="709" w:type="dxa"/>
            <w:tcBorders>
              <w:top w:val="single" w:sz="6" w:space="0" w:color="000000"/>
              <w:left w:val="single" w:sz="6" w:space="0" w:color="000000"/>
              <w:bottom w:val="single" w:sz="6" w:space="0" w:color="000000"/>
              <w:right w:val="single" w:sz="6" w:space="0" w:color="000000"/>
            </w:tcBorders>
          </w:tcPr>
          <w:p w14:paraId="21522141" w14:textId="77777777" w:rsidR="002D58E4" w:rsidRDefault="00F721D4">
            <w:pPr>
              <w:rPr>
                <w:sz w:val="20"/>
                <w:szCs w:val="20"/>
              </w:rPr>
            </w:pPr>
            <w:r>
              <w:rPr>
                <w:sz w:val="20"/>
                <w:szCs w:val="20"/>
              </w:rPr>
              <w:t xml:space="preserve">1 </w:t>
            </w:r>
          </w:p>
        </w:tc>
        <w:tc>
          <w:tcPr>
            <w:tcW w:w="714" w:type="dxa"/>
            <w:tcBorders>
              <w:top w:val="single" w:sz="6" w:space="0" w:color="000000"/>
              <w:left w:val="single" w:sz="6" w:space="0" w:color="000000"/>
              <w:bottom w:val="single" w:sz="6" w:space="0" w:color="000000"/>
              <w:right w:val="single" w:sz="6" w:space="0" w:color="000000"/>
            </w:tcBorders>
          </w:tcPr>
          <w:p w14:paraId="66D28098" w14:textId="77777777" w:rsidR="002D58E4" w:rsidRDefault="00F721D4">
            <w:pPr>
              <w:rPr>
                <w:sz w:val="20"/>
                <w:szCs w:val="20"/>
              </w:rPr>
            </w:pPr>
            <w:r>
              <w:rPr>
                <w:sz w:val="20"/>
                <w:szCs w:val="20"/>
              </w:rPr>
              <w:t xml:space="preserve">RCT </w:t>
            </w:r>
            <w:r>
              <w:rPr>
                <w:sz w:val="20"/>
                <w:szCs w:val="20"/>
                <w:vertAlign w:val="superscript"/>
              </w:rPr>
              <w:t>1</w:t>
            </w:r>
          </w:p>
        </w:tc>
        <w:tc>
          <w:tcPr>
            <w:tcW w:w="845" w:type="dxa"/>
            <w:tcBorders>
              <w:top w:val="single" w:sz="6" w:space="0" w:color="000000"/>
              <w:left w:val="single" w:sz="6" w:space="0" w:color="000000"/>
              <w:bottom w:val="single" w:sz="6" w:space="0" w:color="000000"/>
              <w:right w:val="single" w:sz="6" w:space="0" w:color="000000"/>
            </w:tcBorders>
          </w:tcPr>
          <w:p w14:paraId="349C3A16" w14:textId="77777777" w:rsidR="002D58E4" w:rsidRDefault="00F721D4">
            <w:pPr>
              <w:rPr>
                <w:sz w:val="20"/>
                <w:szCs w:val="20"/>
              </w:rPr>
            </w:pPr>
            <w:r>
              <w:rPr>
                <w:sz w:val="20"/>
                <w:szCs w:val="20"/>
              </w:rPr>
              <w:t>not serious</w:t>
            </w:r>
          </w:p>
        </w:tc>
        <w:tc>
          <w:tcPr>
            <w:tcW w:w="1159" w:type="dxa"/>
            <w:tcBorders>
              <w:top w:val="single" w:sz="6" w:space="0" w:color="000000"/>
              <w:left w:val="single" w:sz="6" w:space="0" w:color="000000"/>
              <w:bottom w:val="single" w:sz="6" w:space="0" w:color="000000"/>
              <w:right w:val="single" w:sz="6" w:space="0" w:color="000000"/>
            </w:tcBorders>
          </w:tcPr>
          <w:p w14:paraId="686D22ED" w14:textId="77777777" w:rsidR="002D58E4" w:rsidRDefault="00F721D4">
            <w:pPr>
              <w:rPr>
                <w:sz w:val="20"/>
                <w:szCs w:val="20"/>
              </w:rPr>
            </w:pPr>
            <w:r>
              <w:rPr>
                <w:sz w:val="20"/>
                <w:szCs w:val="20"/>
              </w:rPr>
              <w:t xml:space="preserve">not serious </w:t>
            </w:r>
          </w:p>
        </w:tc>
        <w:tc>
          <w:tcPr>
            <w:tcW w:w="1174" w:type="dxa"/>
            <w:tcBorders>
              <w:top w:val="single" w:sz="6" w:space="0" w:color="000000"/>
              <w:left w:val="single" w:sz="6" w:space="0" w:color="000000"/>
              <w:bottom w:val="single" w:sz="6" w:space="0" w:color="000000"/>
              <w:right w:val="single" w:sz="6" w:space="0" w:color="000000"/>
            </w:tcBorders>
          </w:tcPr>
          <w:p w14:paraId="3DE1BC22" w14:textId="77777777" w:rsidR="002D58E4" w:rsidRDefault="00F721D4">
            <w:pPr>
              <w:rPr>
                <w:sz w:val="20"/>
                <w:szCs w:val="20"/>
              </w:rPr>
            </w:pPr>
            <w:r>
              <w:rPr>
                <w:sz w:val="20"/>
                <w:szCs w:val="20"/>
              </w:rPr>
              <w:t xml:space="preserve">not serious </w:t>
            </w:r>
          </w:p>
        </w:tc>
        <w:tc>
          <w:tcPr>
            <w:tcW w:w="1128" w:type="dxa"/>
            <w:tcBorders>
              <w:top w:val="single" w:sz="6" w:space="0" w:color="000000"/>
              <w:left w:val="single" w:sz="6" w:space="0" w:color="000000"/>
              <w:bottom w:val="single" w:sz="6" w:space="0" w:color="000000"/>
              <w:right w:val="single" w:sz="6" w:space="0" w:color="000000"/>
            </w:tcBorders>
          </w:tcPr>
          <w:p w14:paraId="17FB3C9F" w14:textId="77777777" w:rsidR="002D58E4" w:rsidRDefault="00F721D4">
            <w:pPr>
              <w:rPr>
                <w:sz w:val="20"/>
                <w:szCs w:val="20"/>
              </w:rPr>
            </w:pPr>
            <w:r>
              <w:rPr>
                <w:sz w:val="20"/>
                <w:szCs w:val="20"/>
              </w:rPr>
              <w:t xml:space="preserve">not serious </w:t>
            </w:r>
            <w:r>
              <w:rPr>
                <w:sz w:val="20"/>
                <w:szCs w:val="20"/>
                <w:vertAlign w:val="superscript"/>
              </w:rPr>
              <w:t>a</w:t>
            </w:r>
          </w:p>
        </w:tc>
        <w:tc>
          <w:tcPr>
            <w:tcW w:w="934" w:type="dxa"/>
            <w:tcBorders>
              <w:top w:val="single" w:sz="6" w:space="0" w:color="000000"/>
              <w:left w:val="single" w:sz="6" w:space="0" w:color="000000"/>
              <w:bottom w:val="single" w:sz="6" w:space="0" w:color="000000"/>
              <w:right w:val="single" w:sz="6" w:space="0" w:color="000000"/>
            </w:tcBorders>
          </w:tcPr>
          <w:p w14:paraId="1C515231" w14:textId="77777777" w:rsidR="002D58E4" w:rsidRDefault="00F721D4">
            <w:pPr>
              <w:rPr>
                <w:sz w:val="20"/>
                <w:szCs w:val="20"/>
              </w:rPr>
            </w:pPr>
            <w:r>
              <w:rPr>
                <w:sz w:val="20"/>
                <w:szCs w:val="20"/>
              </w:rPr>
              <w:t xml:space="preserve">none </w:t>
            </w:r>
          </w:p>
        </w:tc>
        <w:tc>
          <w:tcPr>
            <w:tcW w:w="1167" w:type="dxa"/>
            <w:tcBorders>
              <w:top w:val="single" w:sz="6" w:space="0" w:color="000000"/>
              <w:left w:val="single" w:sz="6" w:space="0" w:color="000000"/>
              <w:bottom w:val="single" w:sz="6" w:space="0" w:color="000000"/>
              <w:right w:val="single" w:sz="6" w:space="0" w:color="000000"/>
            </w:tcBorders>
          </w:tcPr>
          <w:p w14:paraId="76CADEA4" w14:textId="77777777" w:rsidR="002D58E4" w:rsidRDefault="00F721D4">
            <w:pPr>
              <w:jc w:val="center"/>
              <w:rPr>
                <w:sz w:val="20"/>
                <w:szCs w:val="20"/>
              </w:rPr>
            </w:pPr>
            <w:r>
              <w:rPr>
                <w:sz w:val="20"/>
                <w:szCs w:val="20"/>
              </w:rPr>
              <w:t xml:space="preserve">68/68 (100.0%) </w:t>
            </w:r>
          </w:p>
        </w:tc>
        <w:tc>
          <w:tcPr>
            <w:tcW w:w="1101" w:type="dxa"/>
            <w:tcBorders>
              <w:top w:val="single" w:sz="6" w:space="0" w:color="000000"/>
              <w:left w:val="single" w:sz="6" w:space="0" w:color="000000"/>
              <w:bottom w:val="single" w:sz="6" w:space="0" w:color="000000"/>
              <w:right w:val="single" w:sz="6" w:space="0" w:color="000000"/>
            </w:tcBorders>
          </w:tcPr>
          <w:p w14:paraId="5FCC264C" w14:textId="77777777" w:rsidR="002D58E4" w:rsidRDefault="00F721D4">
            <w:pPr>
              <w:jc w:val="center"/>
              <w:rPr>
                <w:sz w:val="20"/>
                <w:szCs w:val="20"/>
              </w:rPr>
            </w:pPr>
            <w:r>
              <w:rPr>
                <w:sz w:val="20"/>
                <w:szCs w:val="20"/>
              </w:rPr>
              <w:t xml:space="preserve">62/63 (98.4%) </w:t>
            </w:r>
          </w:p>
        </w:tc>
        <w:tc>
          <w:tcPr>
            <w:tcW w:w="921" w:type="dxa"/>
            <w:tcBorders>
              <w:top w:val="single" w:sz="6" w:space="0" w:color="000000"/>
              <w:left w:val="single" w:sz="6" w:space="0" w:color="000000"/>
              <w:bottom w:val="single" w:sz="6" w:space="0" w:color="000000"/>
              <w:right w:val="single" w:sz="6" w:space="0" w:color="000000"/>
            </w:tcBorders>
          </w:tcPr>
          <w:p w14:paraId="35E62107" w14:textId="77777777" w:rsidR="002D58E4" w:rsidRDefault="00F721D4">
            <w:pPr>
              <w:jc w:val="center"/>
              <w:rPr>
                <w:sz w:val="20"/>
                <w:szCs w:val="20"/>
              </w:rPr>
            </w:pPr>
            <w:r>
              <w:rPr>
                <w:sz w:val="20"/>
                <w:szCs w:val="20"/>
              </w:rPr>
              <w:t>RR 1.02</w:t>
            </w:r>
            <w:r>
              <w:rPr>
                <w:sz w:val="20"/>
                <w:szCs w:val="20"/>
              </w:rPr>
              <w:br/>
              <w:t xml:space="preserve">(0.97 to 1.06) </w:t>
            </w:r>
          </w:p>
        </w:tc>
        <w:tc>
          <w:tcPr>
            <w:tcW w:w="2418" w:type="dxa"/>
            <w:tcBorders>
              <w:top w:val="single" w:sz="6" w:space="0" w:color="000000"/>
              <w:left w:val="single" w:sz="6" w:space="0" w:color="000000"/>
              <w:bottom w:val="single" w:sz="6" w:space="0" w:color="000000"/>
              <w:right w:val="single" w:sz="6" w:space="0" w:color="000000"/>
            </w:tcBorders>
          </w:tcPr>
          <w:p w14:paraId="588DE734" w14:textId="77777777" w:rsidR="002D58E4" w:rsidRDefault="00F721D4">
            <w:pPr>
              <w:jc w:val="center"/>
              <w:rPr>
                <w:sz w:val="20"/>
                <w:szCs w:val="20"/>
              </w:rPr>
            </w:pPr>
            <w:r>
              <w:rPr>
                <w:sz w:val="20"/>
                <w:szCs w:val="20"/>
              </w:rPr>
              <w:t>20 more per 1,000</w:t>
            </w:r>
            <w:r>
              <w:rPr>
                <w:sz w:val="20"/>
                <w:szCs w:val="20"/>
              </w:rPr>
              <w:br/>
              <w:t xml:space="preserve">(from 30 fewer to 59 more) </w:t>
            </w:r>
          </w:p>
        </w:tc>
        <w:tc>
          <w:tcPr>
            <w:tcW w:w="1137" w:type="dxa"/>
            <w:tcBorders>
              <w:top w:val="single" w:sz="6" w:space="0" w:color="000000"/>
              <w:left w:val="single" w:sz="6" w:space="0" w:color="000000"/>
              <w:bottom w:val="single" w:sz="6" w:space="0" w:color="000000"/>
              <w:right w:val="single" w:sz="6" w:space="0" w:color="000000"/>
            </w:tcBorders>
          </w:tcPr>
          <w:p w14:paraId="56EB91AD" w14:textId="77777777" w:rsidR="002D58E4" w:rsidRDefault="00F721D4">
            <w:pPr>
              <w:jc w:val="center"/>
              <w:rPr>
                <w:sz w:val="20"/>
                <w:szCs w:val="20"/>
              </w:rPr>
            </w:pPr>
            <w:r>
              <w:rPr>
                <w:rFonts w:ascii="Cambria Math" w:eastAsia="Cambria Math" w:hAnsi="Cambria Math" w:cs="Cambria Math"/>
                <w:sz w:val="20"/>
                <w:szCs w:val="20"/>
              </w:rPr>
              <w:t>⨁⨁⨁⨁</w:t>
            </w:r>
            <w:r>
              <w:rPr>
                <w:sz w:val="20"/>
                <w:szCs w:val="20"/>
              </w:rPr>
              <w:br/>
              <w:t>HIGH</w:t>
            </w:r>
          </w:p>
        </w:tc>
        <w:tc>
          <w:tcPr>
            <w:tcW w:w="1194" w:type="dxa"/>
            <w:tcBorders>
              <w:top w:val="single" w:sz="6" w:space="0" w:color="000000"/>
              <w:left w:val="single" w:sz="6" w:space="0" w:color="000000"/>
              <w:bottom w:val="single" w:sz="6" w:space="0" w:color="000000"/>
              <w:right w:val="single" w:sz="6" w:space="0" w:color="000000"/>
            </w:tcBorders>
          </w:tcPr>
          <w:p w14:paraId="2640873F" w14:textId="77777777" w:rsidR="002D58E4" w:rsidRDefault="00F721D4">
            <w:pPr>
              <w:rPr>
                <w:sz w:val="20"/>
                <w:szCs w:val="20"/>
              </w:rPr>
            </w:pPr>
            <w:r>
              <w:rPr>
                <w:sz w:val="20"/>
                <w:szCs w:val="20"/>
              </w:rPr>
              <w:t xml:space="preserve">CRITICAL </w:t>
            </w:r>
          </w:p>
        </w:tc>
      </w:tr>
      <w:tr w:rsidR="002D58E4" w14:paraId="66AEC2F5" w14:textId="77777777" w:rsidTr="003A5F79">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1F24787" w14:textId="77777777" w:rsidR="002D58E4" w:rsidRDefault="00F721D4">
            <w:pPr>
              <w:rPr>
                <w:sz w:val="20"/>
                <w:szCs w:val="20"/>
              </w:rPr>
            </w:pPr>
            <w:r>
              <w:rPr>
                <w:b/>
                <w:sz w:val="20"/>
                <w:szCs w:val="20"/>
              </w:rPr>
              <w:t>Time to Resolution of Erythema Migrans</w:t>
            </w:r>
            <w:r>
              <w:rPr>
                <w:sz w:val="20"/>
                <w:szCs w:val="20"/>
              </w:rPr>
              <w:t xml:space="preserve"> (Days since treatment initiation: Higher values indicate longer resolution time.)</w:t>
            </w:r>
          </w:p>
        </w:tc>
      </w:tr>
      <w:tr w:rsidR="002D58E4" w14:paraId="3C18240D" w14:textId="77777777" w:rsidTr="003A5F79">
        <w:tc>
          <w:tcPr>
            <w:tcW w:w="709" w:type="dxa"/>
            <w:tcBorders>
              <w:top w:val="single" w:sz="6" w:space="0" w:color="000000"/>
              <w:left w:val="single" w:sz="6" w:space="0" w:color="000000"/>
              <w:bottom w:val="single" w:sz="6" w:space="0" w:color="000000"/>
              <w:right w:val="single" w:sz="6" w:space="0" w:color="000000"/>
            </w:tcBorders>
          </w:tcPr>
          <w:p w14:paraId="597A24B1" w14:textId="77777777" w:rsidR="002D58E4" w:rsidRDefault="00F721D4">
            <w:pPr>
              <w:rPr>
                <w:sz w:val="20"/>
                <w:szCs w:val="20"/>
              </w:rPr>
            </w:pPr>
            <w:r>
              <w:rPr>
                <w:sz w:val="20"/>
                <w:szCs w:val="20"/>
              </w:rPr>
              <w:t xml:space="preserve">1 </w:t>
            </w:r>
          </w:p>
        </w:tc>
        <w:tc>
          <w:tcPr>
            <w:tcW w:w="714" w:type="dxa"/>
            <w:tcBorders>
              <w:top w:val="single" w:sz="6" w:space="0" w:color="000000"/>
              <w:left w:val="single" w:sz="6" w:space="0" w:color="000000"/>
              <w:bottom w:val="single" w:sz="6" w:space="0" w:color="000000"/>
              <w:right w:val="single" w:sz="6" w:space="0" w:color="000000"/>
            </w:tcBorders>
          </w:tcPr>
          <w:p w14:paraId="3DDE8586" w14:textId="77777777" w:rsidR="002D58E4" w:rsidRDefault="00F721D4">
            <w:pPr>
              <w:rPr>
                <w:sz w:val="20"/>
                <w:szCs w:val="20"/>
              </w:rPr>
            </w:pPr>
            <w:r>
              <w:rPr>
                <w:sz w:val="20"/>
                <w:szCs w:val="20"/>
              </w:rPr>
              <w:t xml:space="preserve">RCT </w:t>
            </w:r>
            <w:r>
              <w:rPr>
                <w:sz w:val="20"/>
                <w:szCs w:val="20"/>
                <w:vertAlign w:val="superscript"/>
              </w:rPr>
              <w:t>1</w:t>
            </w:r>
          </w:p>
        </w:tc>
        <w:tc>
          <w:tcPr>
            <w:tcW w:w="845" w:type="dxa"/>
            <w:tcBorders>
              <w:top w:val="single" w:sz="6" w:space="0" w:color="000000"/>
              <w:left w:val="single" w:sz="6" w:space="0" w:color="000000"/>
              <w:bottom w:val="single" w:sz="6" w:space="0" w:color="000000"/>
              <w:right w:val="single" w:sz="6" w:space="0" w:color="000000"/>
            </w:tcBorders>
          </w:tcPr>
          <w:p w14:paraId="1CB53CC0" w14:textId="77777777" w:rsidR="002D58E4" w:rsidRDefault="00F721D4">
            <w:pPr>
              <w:rPr>
                <w:sz w:val="20"/>
                <w:szCs w:val="20"/>
              </w:rPr>
            </w:pPr>
            <w:r>
              <w:rPr>
                <w:sz w:val="20"/>
                <w:szCs w:val="20"/>
              </w:rPr>
              <w:t>not serious</w:t>
            </w:r>
          </w:p>
        </w:tc>
        <w:tc>
          <w:tcPr>
            <w:tcW w:w="1159" w:type="dxa"/>
            <w:tcBorders>
              <w:top w:val="single" w:sz="6" w:space="0" w:color="000000"/>
              <w:left w:val="single" w:sz="6" w:space="0" w:color="000000"/>
              <w:bottom w:val="single" w:sz="6" w:space="0" w:color="000000"/>
              <w:right w:val="single" w:sz="6" w:space="0" w:color="000000"/>
            </w:tcBorders>
          </w:tcPr>
          <w:p w14:paraId="6FE847C5" w14:textId="77777777" w:rsidR="002D58E4" w:rsidRDefault="00F721D4">
            <w:pPr>
              <w:rPr>
                <w:sz w:val="20"/>
                <w:szCs w:val="20"/>
              </w:rPr>
            </w:pPr>
            <w:r>
              <w:rPr>
                <w:sz w:val="20"/>
                <w:szCs w:val="20"/>
              </w:rPr>
              <w:t>not serious</w:t>
            </w:r>
          </w:p>
        </w:tc>
        <w:tc>
          <w:tcPr>
            <w:tcW w:w="1174" w:type="dxa"/>
            <w:tcBorders>
              <w:top w:val="single" w:sz="6" w:space="0" w:color="000000"/>
              <w:left w:val="single" w:sz="6" w:space="0" w:color="000000"/>
              <w:bottom w:val="single" w:sz="6" w:space="0" w:color="000000"/>
              <w:right w:val="single" w:sz="6" w:space="0" w:color="000000"/>
            </w:tcBorders>
          </w:tcPr>
          <w:p w14:paraId="3D164F58" w14:textId="77777777" w:rsidR="002D58E4" w:rsidRDefault="00F721D4">
            <w:pPr>
              <w:rPr>
                <w:sz w:val="20"/>
                <w:szCs w:val="20"/>
              </w:rPr>
            </w:pPr>
            <w:r>
              <w:rPr>
                <w:sz w:val="20"/>
                <w:szCs w:val="20"/>
              </w:rPr>
              <w:t xml:space="preserve">not serious </w:t>
            </w:r>
          </w:p>
        </w:tc>
        <w:tc>
          <w:tcPr>
            <w:tcW w:w="1128" w:type="dxa"/>
            <w:tcBorders>
              <w:top w:val="single" w:sz="6" w:space="0" w:color="000000"/>
              <w:left w:val="single" w:sz="6" w:space="0" w:color="000000"/>
              <w:bottom w:val="single" w:sz="6" w:space="0" w:color="000000"/>
              <w:right w:val="single" w:sz="6" w:space="0" w:color="000000"/>
            </w:tcBorders>
          </w:tcPr>
          <w:p w14:paraId="1BEEC9B3" w14:textId="77777777" w:rsidR="002D58E4" w:rsidRDefault="00F721D4">
            <w:pPr>
              <w:rPr>
                <w:sz w:val="20"/>
                <w:szCs w:val="20"/>
              </w:rPr>
            </w:pPr>
            <w:r>
              <w:rPr>
                <w:sz w:val="20"/>
                <w:szCs w:val="20"/>
              </w:rPr>
              <w:t xml:space="preserve">serious </w:t>
            </w:r>
            <w:r>
              <w:rPr>
                <w:sz w:val="20"/>
                <w:szCs w:val="20"/>
                <w:vertAlign w:val="superscript"/>
              </w:rPr>
              <w:t>b</w:t>
            </w:r>
          </w:p>
        </w:tc>
        <w:tc>
          <w:tcPr>
            <w:tcW w:w="934" w:type="dxa"/>
            <w:tcBorders>
              <w:top w:val="single" w:sz="6" w:space="0" w:color="000000"/>
              <w:left w:val="single" w:sz="6" w:space="0" w:color="000000"/>
              <w:bottom w:val="single" w:sz="6" w:space="0" w:color="000000"/>
              <w:right w:val="single" w:sz="6" w:space="0" w:color="000000"/>
            </w:tcBorders>
          </w:tcPr>
          <w:p w14:paraId="32BC8CA1" w14:textId="77777777" w:rsidR="002D58E4" w:rsidRDefault="00F721D4">
            <w:pPr>
              <w:rPr>
                <w:sz w:val="20"/>
                <w:szCs w:val="20"/>
              </w:rPr>
            </w:pPr>
            <w:r>
              <w:rPr>
                <w:sz w:val="20"/>
                <w:szCs w:val="20"/>
              </w:rPr>
              <w:t xml:space="preserve">none </w:t>
            </w:r>
          </w:p>
        </w:tc>
        <w:tc>
          <w:tcPr>
            <w:tcW w:w="1167" w:type="dxa"/>
            <w:tcBorders>
              <w:top w:val="single" w:sz="6" w:space="0" w:color="000000"/>
              <w:left w:val="single" w:sz="6" w:space="0" w:color="000000"/>
              <w:bottom w:val="single" w:sz="6" w:space="0" w:color="000000"/>
              <w:right w:val="single" w:sz="6" w:space="0" w:color="000000"/>
            </w:tcBorders>
          </w:tcPr>
          <w:p w14:paraId="066BC399" w14:textId="77777777" w:rsidR="002D58E4" w:rsidRDefault="00F721D4">
            <w:pPr>
              <w:jc w:val="center"/>
              <w:rPr>
                <w:sz w:val="20"/>
                <w:szCs w:val="20"/>
              </w:rPr>
            </w:pPr>
            <w:r>
              <w:rPr>
                <w:sz w:val="20"/>
                <w:szCs w:val="20"/>
              </w:rPr>
              <w:t>Mean days: 81</w:t>
            </w:r>
          </w:p>
        </w:tc>
        <w:tc>
          <w:tcPr>
            <w:tcW w:w="1101" w:type="dxa"/>
            <w:tcBorders>
              <w:top w:val="single" w:sz="6" w:space="0" w:color="000000"/>
              <w:left w:val="single" w:sz="6" w:space="0" w:color="000000"/>
              <w:bottom w:val="single" w:sz="6" w:space="0" w:color="000000"/>
              <w:right w:val="single" w:sz="6" w:space="0" w:color="000000"/>
            </w:tcBorders>
          </w:tcPr>
          <w:p w14:paraId="6F3B8684" w14:textId="77777777" w:rsidR="002D58E4" w:rsidRDefault="00F721D4">
            <w:pPr>
              <w:jc w:val="center"/>
              <w:rPr>
                <w:sz w:val="20"/>
                <w:szCs w:val="20"/>
              </w:rPr>
            </w:pPr>
            <w:r>
              <w:rPr>
                <w:sz w:val="20"/>
                <w:szCs w:val="20"/>
              </w:rPr>
              <w:t>Mean days: 52</w:t>
            </w:r>
          </w:p>
        </w:tc>
        <w:tc>
          <w:tcPr>
            <w:tcW w:w="3339" w:type="dxa"/>
            <w:gridSpan w:val="2"/>
            <w:tcBorders>
              <w:top w:val="single" w:sz="6" w:space="0" w:color="000000"/>
              <w:left w:val="single" w:sz="6" w:space="0" w:color="000000"/>
              <w:bottom w:val="single" w:sz="6" w:space="0" w:color="000000"/>
              <w:right w:val="single" w:sz="6" w:space="0" w:color="000000"/>
            </w:tcBorders>
          </w:tcPr>
          <w:p w14:paraId="59A47029" w14:textId="77777777" w:rsidR="002D58E4" w:rsidRDefault="00F721D4">
            <w:pPr>
              <w:jc w:val="center"/>
              <w:rPr>
                <w:b/>
                <w:sz w:val="20"/>
                <w:szCs w:val="20"/>
              </w:rPr>
            </w:pPr>
            <w:r>
              <w:rPr>
                <w:b/>
                <w:sz w:val="20"/>
                <w:szCs w:val="20"/>
              </w:rPr>
              <w:t>MD 28.75 higher</w:t>
            </w:r>
            <w:r>
              <w:rPr>
                <w:b/>
                <w:sz w:val="20"/>
                <w:szCs w:val="20"/>
              </w:rPr>
              <w:br/>
              <w:t xml:space="preserve">(5.32 higher to 52.18 higher) </w:t>
            </w:r>
          </w:p>
        </w:tc>
        <w:tc>
          <w:tcPr>
            <w:tcW w:w="1137" w:type="dxa"/>
            <w:tcBorders>
              <w:top w:val="single" w:sz="6" w:space="0" w:color="000000"/>
              <w:left w:val="single" w:sz="6" w:space="0" w:color="000000"/>
              <w:bottom w:val="single" w:sz="6" w:space="0" w:color="000000"/>
              <w:right w:val="single" w:sz="6" w:space="0" w:color="000000"/>
            </w:tcBorders>
          </w:tcPr>
          <w:p w14:paraId="146FB8A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94" w:type="dxa"/>
            <w:tcBorders>
              <w:top w:val="single" w:sz="6" w:space="0" w:color="000000"/>
              <w:left w:val="single" w:sz="6" w:space="0" w:color="000000"/>
              <w:bottom w:val="single" w:sz="6" w:space="0" w:color="000000"/>
              <w:right w:val="single" w:sz="6" w:space="0" w:color="000000"/>
            </w:tcBorders>
          </w:tcPr>
          <w:p w14:paraId="1D0AA2E6" w14:textId="77777777" w:rsidR="002D58E4" w:rsidRDefault="00F721D4">
            <w:pPr>
              <w:rPr>
                <w:sz w:val="20"/>
                <w:szCs w:val="20"/>
              </w:rPr>
            </w:pPr>
            <w:r>
              <w:rPr>
                <w:sz w:val="20"/>
                <w:szCs w:val="20"/>
              </w:rPr>
              <w:t xml:space="preserve">IMPORTANT </w:t>
            </w:r>
          </w:p>
        </w:tc>
      </w:tr>
      <w:tr w:rsidR="002D58E4" w14:paraId="7F3EA6E3" w14:textId="77777777" w:rsidTr="003A5F79">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52BE00B" w14:textId="77777777" w:rsidR="002D58E4" w:rsidRDefault="00F721D4">
            <w:pPr>
              <w:rPr>
                <w:sz w:val="20"/>
                <w:szCs w:val="20"/>
              </w:rPr>
            </w:pPr>
            <w:r>
              <w:rPr>
                <w:b/>
                <w:sz w:val="20"/>
                <w:szCs w:val="20"/>
              </w:rPr>
              <w:t xml:space="preserve">Patients Experiencing Objective Findings of Lyme </w:t>
            </w:r>
            <w:r>
              <w:rPr>
                <w:sz w:val="20"/>
                <w:szCs w:val="20"/>
              </w:rPr>
              <w:t>(at 6 months and beyond)</w:t>
            </w:r>
          </w:p>
        </w:tc>
      </w:tr>
      <w:tr w:rsidR="002D58E4" w14:paraId="66DF0889" w14:textId="77777777" w:rsidTr="003A5F79">
        <w:tc>
          <w:tcPr>
            <w:tcW w:w="709" w:type="dxa"/>
            <w:tcBorders>
              <w:top w:val="single" w:sz="6" w:space="0" w:color="000000"/>
              <w:left w:val="single" w:sz="6" w:space="0" w:color="000000"/>
              <w:bottom w:val="single" w:sz="6" w:space="0" w:color="000000"/>
              <w:right w:val="single" w:sz="6" w:space="0" w:color="000000"/>
            </w:tcBorders>
          </w:tcPr>
          <w:p w14:paraId="219548B4" w14:textId="77777777" w:rsidR="002D58E4" w:rsidRDefault="00F721D4">
            <w:pPr>
              <w:rPr>
                <w:sz w:val="20"/>
                <w:szCs w:val="20"/>
              </w:rPr>
            </w:pPr>
            <w:r>
              <w:rPr>
                <w:sz w:val="20"/>
                <w:szCs w:val="20"/>
              </w:rPr>
              <w:t xml:space="preserve">1 </w:t>
            </w:r>
          </w:p>
        </w:tc>
        <w:tc>
          <w:tcPr>
            <w:tcW w:w="714" w:type="dxa"/>
            <w:tcBorders>
              <w:top w:val="single" w:sz="6" w:space="0" w:color="000000"/>
              <w:left w:val="single" w:sz="6" w:space="0" w:color="000000"/>
              <w:bottom w:val="single" w:sz="6" w:space="0" w:color="000000"/>
              <w:right w:val="single" w:sz="6" w:space="0" w:color="000000"/>
            </w:tcBorders>
          </w:tcPr>
          <w:p w14:paraId="7712ED24" w14:textId="77777777" w:rsidR="002D58E4" w:rsidRDefault="00F721D4">
            <w:pPr>
              <w:rPr>
                <w:sz w:val="20"/>
                <w:szCs w:val="20"/>
              </w:rPr>
            </w:pPr>
            <w:r>
              <w:rPr>
                <w:sz w:val="20"/>
                <w:szCs w:val="20"/>
              </w:rPr>
              <w:t xml:space="preserve">RCT </w:t>
            </w:r>
            <w:r>
              <w:rPr>
                <w:sz w:val="20"/>
                <w:szCs w:val="20"/>
                <w:vertAlign w:val="superscript"/>
              </w:rPr>
              <w:t>1</w:t>
            </w:r>
          </w:p>
        </w:tc>
        <w:tc>
          <w:tcPr>
            <w:tcW w:w="845" w:type="dxa"/>
            <w:tcBorders>
              <w:top w:val="single" w:sz="6" w:space="0" w:color="000000"/>
              <w:left w:val="single" w:sz="6" w:space="0" w:color="000000"/>
              <w:bottom w:val="single" w:sz="6" w:space="0" w:color="000000"/>
              <w:right w:val="single" w:sz="6" w:space="0" w:color="000000"/>
            </w:tcBorders>
          </w:tcPr>
          <w:p w14:paraId="2C20706C" w14:textId="77777777" w:rsidR="002D58E4" w:rsidRDefault="00F721D4">
            <w:pPr>
              <w:rPr>
                <w:sz w:val="20"/>
                <w:szCs w:val="20"/>
              </w:rPr>
            </w:pPr>
            <w:r>
              <w:rPr>
                <w:sz w:val="20"/>
                <w:szCs w:val="20"/>
              </w:rPr>
              <w:t>not serious</w:t>
            </w:r>
          </w:p>
        </w:tc>
        <w:tc>
          <w:tcPr>
            <w:tcW w:w="1159" w:type="dxa"/>
            <w:tcBorders>
              <w:top w:val="single" w:sz="6" w:space="0" w:color="000000"/>
              <w:left w:val="single" w:sz="6" w:space="0" w:color="000000"/>
              <w:bottom w:val="single" w:sz="6" w:space="0" w:color="000000"/>
              <w:right w:val="single" w:sz="6" w:space="0" w:color="000000"/>
            </w:tcBorders>
          </w:tcPr>
          <w:p w14:paraId="738599E7" w14:textId="77777777" w:rsidR="002D58E4" w:rsidRDefault="00F721D4">
            <w:pPr>
              <w:rPr>
                <w:sz w:val="20"/>
                <w:szCs w:val="20"/>
              </w:rPr>
            </w:pPr>
            <w:r>
              <w:rPr>
                <w:sz w:val="20"/>
                <w:szCs w:val="20"/>
              </w:rPr>
              <w:t>not serious</w:t>
            </w:r>
          </w:p>
        </w:tc>
        <w:tc>
          <w:tcPr>
            <w:tcW w:w="1174" w:type="dxa"/>
            <w:tcBorders>
              <w:top w:val="single" w:sz="6" w:space="0" w:color="000000"/>
              <w:left w:val="single" w:sz="6" w:space="0" w:color="000000"/>
              <w:bottom w:val="single" w:sz="6" w:space="0" w:color="000000"/>
              <w:right w:val="single" w:sz="6" w:space="0" w:color="000000"/>
            </w:tcBorders>
          </w:tcPr>
          <w:p w14:paraId="676E155F" w14:textId="77777777" w:rsidR="002D58E4" w:rsidRDefault="00F721D4">
            <w:pPr>
              <w:rPr>
                <w:sz w:val="20"/>
                <w:szCs w:val="20"/>
              </w:rPr>
            </w:pPr>
            <w:r>
              <w:rPr>
                <w:sz w:val="20"/>
                <w:szCs w:val="20"/>
              </w:rPr>
              <w:t xml:space="preserve">not serious </w:t>
            </w:r>
          </w:p>
        </w:tc>
        <w:tc>
          <w:tcPr>
            <w:tcW w:w="1128" w:type="dxa"/>
            <w:tcBorders>
              <w:top w:val="single" w:sz="6" w:space="0" w:color="000000"/>
              <w:left w:val="single" w:sz="6" w:space="0" w:color="000000"/>
              <w:bottom w:val="single" w:sz="6" w:space="0" w:color="000000"/>
              <w:right w:val="single" w:sz="6" w:space="0" w:color="000000"/>
            </w:tcBorders>
          </w:tcPr>
          <w:p w14:paraId="0536D16E" w14:textId="77777777" w:rsidR="002D58E4" w:rsidRDefault="00F721D4">
            <w:pPr>
              <w:rPr>
                <w:sz w:val="20"/>
                <w:szCs w:val="20"/>
              </w:rPr>
            </w:pPr>
            <w:r>
              <w:rPr>
                <w:sz w:val="20"/>
                <w:szCs w:val="20"/>
              </w:rPr>
              <w:t xml:space="preserve"> serious </w:t>
            </w:r>
            <w:r>
              <w:rPr>
                <w:sz w:val="20"/>
                <w:szCs w:val="20"/>
                <w:vertAlign w:val="superscript"/>
              </w:rPr>
              <w:t>c</w:t>
            </w:r>
            <w:r>
              <w:rPr>
                <w:sz w:val="20"/>
                <w:szCs w:val="20"/>
              </w:rPr>
              <w:t xml:space="preserve"> </w:t>
            </w:r>
          </w:p>
        </w:tc>
        <w:tc>
          <w:tcPr>
            <w:tcW w:w="934" w:type="dxa"/>
            <w:tcBorders>
              <w:top w:val="single" w:sz="6" w:space="0" w:color="000000"/>
              <w:left w:val="single" w:sz="6" w:space="0" w:color="000000"/>
              <w:bottom w:val="single" w:sz="6" w:space="0" w:color="000000"/>
              <w:right w:val="single" w:sz="6" w:space="0" w:color="000000"/>
            </w:tcBorders>
          </w:tcPr>
          <w:p w14:paraId="230D1C5D" w14:textId="77777777" w:rsidR="002D58E4" w:rsidRDefault="00F721D4">
            <w:pPr>
              <w:rPr>
                <w:sz w:val="20"/>
                <w:szCs w:val="20"/>
              </w:rPr>
            </w:pPr>
            <w:r>
              <w:rPr>
                <w:sz w:val="20"/>
                <w:szCs w:val="20"/>
              </w:rPr>
              <w:t xml:space="preserve">none </w:t>
            </w:r>
          </w:p>
        </w:tc>
        <w:tc>
          <w:tcPr>
            <w:tcW w:w="1167" w:type="dxa"/>
            <w:tcBorders>
              <w:top w:val="single" w:sz="6" w:space="0" w:color="000000"/>
              <w:left w:val="single" w:sz="6" w:space="0" w:color="000000"/>
              <w:bottom w:val="single" w:sz="6" w:space="0" w:color="000000"/>
              <w:right w:val="single" w:sz="6" w:space="0" w:color="000000"/>
            </w:tcBorders>
          </w:tcPr>
          <w:p w14:paraId="4905E67D" w14:textId="77777777" w:rsidR="002D58E4" w:rsidRDefault="00F721D4">
            <w:pPr>
              <w:jc w:val="center"/>
              <w:rPr>
                <w:sz w:val="20"/>
                <w:szCs w:val="20"/>
              </w:rPr>
            </w:pPr>
            <w:r>
              <w:rPr>
                <w:sz w:val="20"/>
                <w:szCs w:val="20"/>
              </w:rPr>
              <w:t xml:space="preserve">0/68 </w:t>
            </w:r>
          </w:p>
          <w:p w14:paraId="026826ED" w14:textId="77777777" w:rsidR="002D58E4" w:rsidRDefault="00F721D4">
            <w:pPr>
              <w:jc w:val="center"/>
              <w:rPr>
                <w:sz w:val="20"/>
                <w:szCs w:val="20"/>
              </w:rPr>
            </w:pPr>
            <w:r>
              <w:rPr>
                <w:sz w:val="20"/>
                <w:szCs w:val="20"/>
              </w:rPr>
              <w:t xml:space="preserve">(0.0%) </w:t>
            </w:r>
          </w:p>
        </w:tc>
        <w:tc>
          <w:tcPr>
            <w:tcW w:w="1101" w:type="dxa"/>
            <w:tcBorders>
              <w:top w:val="single" w:sz="6" w:space="0" w:color="000000"/>
              <w:left w:val="single" w:sz="6" w:space="0" w:color="000000"/>
              <w:bottom w:val="single" w:sz="6" w:space="0" w:color="000000"/>
              <w:right w:val="single" w:sz="6" w:space="0" w:color="000000"/>
            </w:tcBorders>
          </w:tcPr>
          <w:p w14:paraId="70A9F995" w14:textId="77777777" w:rsidR="002D58E4" w:rsidRDefault="00F721D4">
            <w:pPr>
              <w:jc w:val="center"/>
              <w:rPr>
                <w:sz w:val="20"/>
                <w:szCs w:val="20"/>
              </w:rPr>
            </w:pPr>
            <w:r>
              <w:rPr>
                <w:sz w:val="20"/>
                <w:szCs w:val="20"/>
              </w:rPr>
              <w:t>0/63</w:t>
            </w:r>
          </w:p>
          <w:p w14:paraId="43D8BEC5" w14:textId="77777777" w:rsidR="002D58E4" w:rsidRDefault="00F721D4">
            <w:pPr>
              <w:jc w:val="center"/>
              <w:rPr>
                <w:sz w:val="20"/>
                <w:szCs w:val="20"/>
              </w:rPr>
            </w:pPr>
            <w:r>
              <w:rPr>
                <w:sz w:val="20"/>
                <w:szCs w:val="20"/>
              </w:rPr>
              <w:t xml:space="preserve"> (0.0%) </w:t>
            </w:r>
          </w:p>
        </w:tc>
        <w:tc>
          <w:tcPr>
            <w:tcW w:w="921" w:type="dxa"/>
            <w:tcBorders>
              <w:top w:val="single" w:sz="6" w:space="0" w:color="000000"/>
              <w:left w:val="single" w:sz="6" w:space="0" w:color="000000"/>
              <w:bottom w:val="single" w:sz="6" w:space="0" w:color="000000"/>
              <w:right w:val="single" w:sz="6" w:space="0" w:color="000000"/>
            </w:tcBorders>
          </w:tcPr>
          <w:p w14:paraId="6D1B5CDC"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tc>
        <w:tc>
          <w:tcPr>
            <w:tcW w:w="2418" w:type="dxa"/>
            <w:tcBorders>
              <w:top w:val="single" w:sz="6" w:space="0" w:color="000000"/>
              <w:left w:val="single" w:sz="6" w:space="0" w:color="000000"/>
              <w:bottom w:val="single" w:sz="6" w:space="0" w:color="000000"/>
              <w:right w:val="single" w:sz="6" w:space="0" w:color="000000"/>
            </w:tcBorders>
          </w:tcPr>
          <w:p w14:paraId="4DC66732" w14:textId="77777777" w:rsidR="002D58E4" w:rsidRDefault="00F721D4">
            <w:pPr>
              <w:jc w:val="center"/>
              <w:rPr>
                <w:sz w:val="20"/>
                <w:szCs w:val="20"/>
              </w:rPr>
            </w:pPr>
            <w:r>
              <w:rPr>
                <w:sz w:val="20"/>
                <w:szCs w:val="20"/>
              </w:rPr>
              <w:t>0 per 1,000</w:t>
            </w:r>
          </w:p>
        </w:tc>
        <w:tc>
          <w:tcPr>
            <w:tcW w:w="1137" w:type="dxa"/>
            <w:tcBorders>
              <w:top w:val="single" w:sz="6" w:space="0" w:color="000000"/>
              <w:left w:val="single" w:sz="6" w:space="0" w:color="000000"/>
              <w:bottom w:val="single" w:sz="6" w:space="0" w:color="000000"/>
              <w:right w:val="single" w:sz="6" w:space="0" w:color="000000"/>
            </w:tcBorders>
          </w:tcPr>
          <w:p w14:paraId="4F71CBFE"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94" w:type="dxa"/>
            <w:tcBorders>
              <w:top w:val="single" w:sz="6" w:space="0" w:color="000000"/>
              <w:left w:val="single" w:sz="6" w:space="0" w:color="000000"/>
              <w:bottom w:val="single" w:sz="6" w:space="0" w:color="000000"/>
              <w:right w:val="single" w:sz="6" w:space="0" w:color="000000"/>
            </w:tcBorders>
          </w:tcPr>
          <w:p w14:paraId="5BABBF84" w14:textId="77777777" w:rsidR="002D58E4" w:rsidRDefault="00F721D4">
            <w:pPr>
              <w:rPr>
                <w:sz w:val="20"/>
                <w:szCs w:val="20"/>
              </w:rPr>
            </w:pPr>
            <w:r>
              <w:rPr>
                <w:sz w:val="20"/>
                <w:szCs w:val="20"/>
              </w:rPr>
              <w:t xml:space="preserve">CRITICAL </w:t>
            </w:r>
          </w:p>
        </w:tc>
      </w:tr>
      <w:tr w:rsidR="002D58E4" w14:paraId="55AEDDCB" w14:textId="77777777" w:rsidTr="003A5F79">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5576AF4" w14:textId="77777777" w:rsidR="002D58E4" w:rsidRDefault="00F721D4">
            <w:pPr>
              <w:rPr>
                <w:b/>
                <w:sz w:val="20"/>
                <w:szCs w:val="20"/>
              </w:rPr>
            </w:pPr>
            <w:r>
              <w:rPr>
                <w:b/>
                <w:sz w:val="20"/>
                <w:szCs w:val="20"/>
              </w:rPr>
              <w:t xml:space="preserve">Gastrointestinal Adverse Events </w:t>
            </w:r>
          </w:p>
        </w:tc>
      </w:tr>
      <w:tr w:rsidR="002D58E4" w14:paraId="5AF41FC1" w14:textId="77777777" w:rsidTr="003A5F79">
        <w:tc>
          <w:tcPr>
            <w:tcW w:w="709" w:type="dxa"/>
            <w:tcBorders>
              <w:top w:val="single" w:sz="6" w:space="0" w:color="000000"/>
              <w:left w:val="single" w:sz="6" w:space="0" w:color="000000"/>
              <w:bottom w:val="single" w:sz="6" w:space="0" w:color="000000"/>
              <w:right w:val="single" w:sz="6" w:space="0" w:color="000000"/>
            </w:tcBorders>
          </w:tcPr>
          <w:p w14:paraId="307F95B4" w14:textId="77777777" w:rsidR="002D58E4" w:rsidRDefault="00F721D4">
            <w:pPr>
              <w:rPr>
                <w:sz w:val="20"/>
                <w:szCs w:val="20"/>
              </w:rPr>
            </w:pPr>
            <w:r>
              <w:rPr>
                <w:sz w:val="20"/>
                <w:szCs w:val="20"/>
              </w:rPr>
              <w:t xml:space="preserve">1 </w:t>
            </w:r>
          </w:p>
        </w:tc>
        <w:tc>
          <w:tcPr>
            <w:tcW w:w="714" w:type="dxa"/>
            <w:tcBorders>
              <w:top w:val="single" w:sz="6" w:space="0" w:color="000000"/>
              <w:left w:val="single" w:sz="6" w:space="0" w:color="000000"/>
              <w:bottom w:val="single" w:sz="6" w:space="0" w:color="000000"/>
              <w:right w:val="single" w:sz="6" w:space="0" w:color="000000"/>
            </w:tcBorders>
          </w:tcPr>
          <w:p w14:paraId="299EF5E1" w14:textId="77777777" w:rsidR="002D58E4" w:rsidRDefault="00F721D4">
            <w:pPr>
              <w:rPr>
                <w:sz w:val="20"/>
                <w:szCs w:val="20"/>
              </w:rPr>
            </w:pPr>
            <w:r>
              <w:rPr>
                <w:sz w:val="20"/>
                <w:szCs w:val="20"/>
              </w:rPr>
              <w:t xml:space="preserve">RCT </w:t>
            </w:r>
            <w:r>
              <w:rPr>
                <w:sz w:val="20"/>
                <w:szCs w:val="20"/>
                <w:vertAlign w:val="superscript"/>
              </w:rPr>
              <w:t>1</w:t>
            </w:r>
          </w:p>
        </w:tc>
        <w:tc>
          <w:tcPr>
            <w:tcW w:w="845" w:type="dxa"/>
            <w:tcBorders>
              <w:top w:val="single" w:sz="6" w:space="0" w:color="000000"/>
              <w:left w:val="single" w:sz="6" w:space="0" w:color="000000"/>
              <w:bottom w:val="single" w:sz="6" w:space="0" w:color="000000"/>
              <w:right w:val="single" w:sz="6" w:space="0" w:color="000000"/>
            </w:tcBorders>
          </w:tcPr>
          <w:p w14:paraId="524B8A42" w14:textId="77777777" w:rsidR="002D58E4" w:rsidRDefault="00F721D4">
            <w:pPr>
              <w:rPr>
                <w:sz w:val="20"/>
                <w:szCs w:val="20"/>
                <w:vertAlign w:val="superscript"/>
              </w:rPr>
            </w:pPr>
            <w:r>
              <w:rPr>
                <w:sz w:val="20"/>
                <w:szCs w:val="20"/>
              </w:rPr>
              <w:t xml:space="preserve">serious </w:t>
            </w:r>
            <w:r>
              <w:rPr>
                <w:sz w:val="20"/>
                <w:szCs w:val="20"/>
                <w:vertAlign w:val="superscript"/>
              </w:rPr>
              <w:t>e</w:t>
            </w:r>
          </w:p>
        </w:tc>
        <w:tc>
          <w:tcPr>
            <w:tcW w:w="1159" w:type="dxa"/>
            <w:tcBorders>
              <w:top w:val="single" w:sz="6" w:space="0" w:color="000000"/>
              <w:left w:val="single" w:sz="6" w:space="0" w:color="000000"/>
              <w:bottom w:val="single" w:sz="6" w:space="0" w:color="000000"/>
              <w:right w:val="single" w:sz="6" w:space="0" w:color="000000"/>
            </w:tcBorders>
          </w:tcPr>
          <w:p w14:paraId="3703F7CB" w14:textId="77777777" w:rsidR="002D58E4" w:rsidRDefault="00F721D4">
            <w:pPr>
              <w:rPr>
                <w:sz w:val="20"/>
                <w:szCs w:val="20"/>
              </w:rPr>
            </w:pPr>
            <w:r>
              <w:rPr>
                <w:sz w:val="20"/>
                <w:szCs w:val="20"/>
              </w:rPr>
              <w:t>not serious</w:t>
            </w:r>
          </w:p>
        </w:tc>
        <w:tc>
          <w:tcPr>
            <w:tcW w:w="1174" w:type="dxa"/>
            <w:tcBorders>
              <w:top w:val="single" w:sz="6" w:space="0" w:color="000000"/>
              <w:left w:val="single" w:sz="6" w:space="0" w:color="000000"/>
              <w:bottom w:val="single" w:sz="6" w:space="0" w:color="000000"/>
              <w:right w:val="single" w:sz="6" w:space="0" w:color="000000"/>
            </w:tcBorders>
          </w:tcPr>
          <w:p w14:paraId="2E45FD37" w14:textId="77777777" w:rsidR="002D58E4" w:rsidRDefault="00F721D4">
            <w:pPr>
              <w:rPr>
                <w:sz w:val="20"/>
                <w:szCs w:val="20"/>
              </w:rPr>
            </w:pPr>
            <w:r>
              <w:rPr>
                <w:sz w:val="20"/>
                <w:szCs w:val="20"/>
              </w:rPr>
              <w:t xml:space="preserve">not serious </w:t>
            </w:r>
          </w:p>
        </w:tc>
        <w:tc>
          <w:tcPr>
            <w:tcW w:w="1128" w:type="dxa"/>
            <w:tcBorders>
              <w:top w:val="single" w:sz="6" w:space="0" w:color="000000"/>
              <w:left w:val="single" w:sz="6" w:space="0" w:color="000000"/>
              <w:bottom w:val="single" w:sz="6" w:space="0" w:color="000000"/>
              <w:right w:val="single" w:sz="6" w:space="0" w:color="000000"/>
            </w:tcBorders>
          </w:tcPr>
          <w:p w14:paraId="4E0FF1FC" w14:textId="77777777" w:rsidR="002D58E4" w:rsidRDefault="00F721D4">
            <w:pPr>
              <w:rPr>
                <w:sz w:val="20"/>
                <w:szCs w:val="20"/>
                <w:vertAlign w:val="superscript"/>
              </w:rPr>
            </w:pPr>
            <w:r>
              <w:rPr>
                <w:sz w:val="20"/>
                <w:szCs w:val="20"/>
              </w:rPr>
              <w:t xml:space="preserve"> serious </w:t>
            </w:r>
            <w:r>
              <w:rPr>
                <w:sz w:val="20"/>
                <w:szCs w:val="20"/>
                <w:vertAlign w:val="superscript"/>
              </w:rPr>
              <w:t>c</w:t>
            </w:r>
          </w:p>
        </w:tc>
        <w:tc>
          <w:tcPr>
            <w:tcW w:w="934" w:type="dxa"/>
            <w:tcBorders>
              <w:top w:val="single" w:sz="6" w:space="0" w:color="000000"/>
              <w:left w:val="single" w:sz="6" w:space="0" w:color="000000"/>
              <w:bottom w:val="single" w:sz="6" w:space="0" w:color="000000"/>
              <w:right w:val="single" w:sz="6" w:space="0" w:color="000000"/>
            </w:tcBorders>
          </w:tcPr>
          <w:p w14:paraId="54C32391" w14:textId="77777777" w:rsidR="002D58E4" w:rsidRDefault="00F721D4">
            <w:pPr>
              <w:rPr>
                <w:sz w:val="20"/>
                <w:szCs w:val="20"/>
              </w:rPr>
            </w:pPr>
            <w:r>
              <w:rPr>
                <w:sz w:val="20"/>
                <w:szCs w:val="20"/>
              </w:rPr>
              <w:t xml:space="preserve">none </w:t>
            </w:r>
          </w:p>
        </w:tc>
        <w:tc>
          <w:tcPr>
            <w:tcW w:w="1167" w:type="dxa"/>
            <w:tcBorders>
              <w:top w:val="single" w:sz="6" w:space="0" w:color="000000"/>
              <w:left w:val="single" w:sz="6" w:space="0" w:color="000000"/>
              <w:bottom w:val="single" w:sz="6" w:space="0" w:color="000000"/>
              <w:right w:val="single" w:sz="6" w:space="0" w:color="000000"/>
            </w:tcBorders>
          </w:tcPr>
          <w:p w14:paraId="5D385567" w14:textId="77777777" w:rsidR="002D58E4" w:rsidRDefault="00F721D4">
            <w:pPr>
              <w:jc w:val="center"/>
              <w:rPr>
                <w:sz w:val="20"/>
                <w:szCs w:val="20"/>
              </w:rPr>
            </w:pPr>
            <w:r>
              <w:rPr>
                <w:sz w:val="20"/>
                <w:szCs w:val="20"/>
              </w:rPr>
              <w:t xml:space="preserve">21/67 </w:t>
            </w:r>
          </w:p>
          <w:p w14:paraId="5531478E" w14:textId="77777777" w:rsidR="002D58E4" w:rsidRDefault="00F721D4">
            <w:pPr>
              <w:jc w:val="center"/>
              <w:rPr>
                <w:sz w:val="20"/>
                <w:szCs w:val="20"/>
              </w:rPr>
            </w:pPr>
            <w:r>
              <w:rPr>
                <w:sz w:val="20"/>
                <w:szCs w:val="20"/>
              </w:rPr>
              <w:t xml:space="preserve">(31.3%) </w:t>
            </w:r>
          </w:p>
        </w:tc>
        <w:tc>
          <w:tcPr>
            <w:tcW w:w="1101" w:type="dxa"/>
            <w:tcBorders>
              <w:top w:val="single" w:sz="6" w:space="0" w:color="000000"/>
              <w:left w:val="single" w:sz="6" w:space="0" w:color="000000"/>
              <w:bottom w:val="single" w:sz="6" w:space="0" w:color="000000"/>
              <w:right w:val="single" w:sz="6" w:space="0" w:color="000000"/>
            </w:tcBorders>
          </w:tcPr>
          <w:p w14:paraId="5E92E515" w14:textId="77777777" w:rsidR="002D58E4" w:rsidRDefault="00F721D4">
            <w:pPr>
              <w:jc w:val="center"/>
              <w:rPr>
                <w:sz w:val="20"/>
                <w:szCs w:val="20"/>
              </w:rPr>
            </w:pPr>
            <w:r>
              <w:rPr>
                <w:sz w:val="20"/>
                <w:szCs w:val="20"/>
              </w:rPr>
              <w:t xml:space="preserve">19/64 </w:t>
            </w:r>
          </w:p>
          <w:p w14:paraId="446B2FF2" w14:textId="77777777" w:rsidR="002D58E4" w:rsidRDefault="00F721D4">
            <w:pPr>
              <w:jc w:val="center"/>
              <w:rPr>
                <w:sz w:val="20"/>
                <w:szCs w:val="20"/>
              </w:rPr>
            </w:pPr>
            <w:r>
              <w:rPr>
                <w:sz w:val="20"/>
                <w:szCs w:val="20"/>
              </w:rPr>
              <w:t xml:space="preserve">(29.7%) </w:t>
            </w:r>
          </w:p>
        </w:tc>
        <w:tc>
          <w:tcPr>
            <w:tcW w:w="921" w:type="dxa"/>
            <w:tcBorders>
              <w:top w:val="single" w:sz="6" w:space="0" w:color="000000"/>
              <w:left w:val="single" w:sz="6" w:space="0" w:color="000000"/>
              <w:bottom w:val="single" w:sz="6" w:space="0" w:color="000000"/>
              <w:right w:val="single" w:sz="6" w:space="0" w:color="000000"/>
            </w:tcBorders>
          </w:tcPr>
          <w:p w14:paraId="5F1B1E2B" w14:textId="77777777" w:rsidR="002D58E4" w:rsidRDefault="00F721D4">
            <w:pPr>
              <w:jc w:val="center"/>
              <w:rPr>
                <w:sz w:val="20"/>
                <w:szCs w:val="20"/>
              </w:rPr>
            </w:pPr>
            <w:r>
              <w:rPr>
                <w:sz w:val="20"/>
                <w:szCs w:val="20"/>
              </w:rPr>
              <w:t>RR 1.06</w:t>
            </w:r>
            <w:r>
              <w:rPr>
                <w:sz w:val="20"/>
                <w:szCs w:val="20"/>
              </w:rPr>
              <w:br/>
              <w:t xml:space="preserve">(0.63 to 1.77) </w:t>
            </w:r>
          </w:p>
        </w:tc>
        <w:tc>
          <w:tcPr>
            <w:tcW w:w="2418" w:type="dxa"/>
            <w:tcBorders>
              <w:top w:val="single" w:sz="6" w:space="0" w:color="000000"/>
              <w:left w:val="single" w:sz="6" w:space="0" w:color="000000"/>
              <w:bottom w:val="single" w:sz="6" w:space="0" w:color="000000"/>
              <w:right w:val="single" w:sz="6" w:space="0" w:color="000000"/>
            </w:tcBorders>
          </w:tcPr>
          <w:p w14:paraId="2E614DDC" w14:textId="77777777" w:rsidR="002D58E4" w:rsidRDefault="00F721D4">
            <w:pPr>
              <w:jc w:val="center"/>
              <w:rPr>
                <w:sz w:val="20"/>
                <w:szCs w:val="20"/>
              </w:rPr>
            </w:pPr>
            <w:r>
              <w:rPr>
                <w:sz w:val="20"/>
                <w:szCs w:val="20"/>
              </w:rPr>
              <w:t>18 more per 1,000</w:t>
            </w:r>
            <w:r>
              <w:rPr>
                <w:sz w:val="20"/>
                <w:szCs w:val="20"/>
              </w:rPr>
              <w:br/>
              <w:t xml:space="preserve">(from 110 fewer to 229 more) </w:t>
            </w:r>
          </w:p>
        </w:tc>
        <w:tc>
          <w:tcPr>
            <w:tcW w:w="1137" w:type="dxa"/>
            <w:tcBorders>
              <w:top w:val="single" w:sz="6" w:space="0" w:color="000000"/>
              <w:left w:val="single" w:sz="6" w:space="0" w:color="000000"/>
              <w:bottom w:val="single" w:sz="6" w:space="0" w:color="000000"/>
              <w:right w:val="single" w:sz="6" w:space="0" w:color="000000"/>
            </w:tcBorders>
          </w:tcPr>
          <w:p w14:paraId="65F4BC8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w:t>
            </w:r>
            <w:r>
              <w:t>OW</w:t>
            </w:r>
          </w:p>
        </w:tc>
        <w:tc>
          <w:tcPr>
            <w:tcW w:w="1194" w:type="dxa"/>
            <w:tcBorders>
              <w:top w:val="single" w:sz="6" w:space="0" w:color="000000"/>
              <w:left w:val="single" w:sz="6" w:space="0" w:color="000000"/>
              <w:bottom w:val="single" w:sz="6" w:space="0" w:color="000000"/>
              <w:right w:val="single" w:sz="6" w:space="0" w:color="000000"/>
            </w:tcBorders>
          </w:tcPr>
          <w:p w14:paraId="78F14515" w14:textId="77777777" w:rsidR="002D58E4" w:rsidRDefault="00F721D4">
            <w:pPr>
              <w:rPr>
                <w:sz w:val="20"/>
                <w:szCs w:val="20"/>
              </w:rPr>
            </w:pPr>
            <w:r>
              <w:rPr>
                <w:sz w:val="20"/>
                <w:szCs w:val="20"/>
              </w:rPr>
              <w:t xml:space="preserve">IMPORTANT </w:t>
            </w:r>
          </w:p>
        </w:tc>
      </w:tr>
      <w:tr w:rsidR="002D58E4" w14:paraId="714554A8" w14:textId="77777777" w:rsidTr="003A5F79">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27302F5" w14:textId="77777777" w:rsidR="002D58E4" w:rsidRDefault="00F721D4">
            <w:pPr>
              <w:rPr>
                <w:b/>
                <w:sz w:val="20"/>
                <w:szCs w:val="20"/>
              </w:rPr>
            </w:pPr>
            <w:r>
              <w:rPr>
                <w:b/>
                <w:sz w:val="20"/>
                <w:szCs w:val="20"/>
              </w:rPr>
              <w:t xml:space="preserve">Allergic Reaction </w:t>
            </w:r>
          </w:p>
        </w:tc>
      </w:tr>
      <w:tr w:rsidR="002D58E4" w14:paraId="54350E77" w14:textId="77777777" w:rsidTr="003A5F79">
        <w:tc>
          <w:tcPr>
            <w:tcW w:w="709" w:type="dxa"/>
            <w:tcBorders>
              <w:top w:val="single" w:sz="6" w:space="0" w:color="000000"/>
              <w:left w:val="single" w:sz="6" w:space="0" w:color="000000"/>
              <w:bottom w:val="single" w:sz="6" w:space="0" w:color="000000"/>
              <w:right w:val="single" w:sz="6" w:space="0" w:color="000000"/>
            </w:tcBorders>
          </w:tcPr>
          <w:p w14:paraId="0BCDA134" w14:textId="77777777" w:rsidR="002D58E4" w:rsidRDefault="00F721D4">
            <w:pPr>
              <w:rPr>
                <w:sz w:val="20"/>
                <w:szCs w:val="20"/>
              </w:rPr>
            </w:pPr>
            <w:r>
              <w:rPr>
                <w:sz w:val="20"/>
                <w:szCs w:val="20"/>
              </w:rPr>
              <w:t xml:space="preserve">1 </w:t>
            </w:r>
          </w:p>
        </w:tc>
        <w:tc>
          <w:tcPr>
            <w:tcW w:w="714" w:type="dxa"/>
            <w:tcBorders>
              <w:top w:val="single" w:sz="6" w:space="0" w:color="000000"/>
              <w:left w:val="single" w:sz="6" w:space="0" w:color="000000"/>
              <w:bottom w:val="single" w:sz="6" w:space="0" w:color="000000"/>
              <w:right w:val="single" w:sz="6" w:space="0" w:color="000000"/>
            </w:tcBorders>
          </w:tcPr>
          <w:p w14:paraId="6AADF838" w14:textId="77777777" w:rsidR="002D58E4" w:rsidRDefault="00F721D4">
            <w:pPr>
              <w:rPr>
                <w:sz w:val="20"/>
                <w:szCs w:val="20"/>
              </w:rPr>
            </w:pPr>
            <w:r>
              <w:rPr>
                <w:sz w:val="20"/>
                <w:szCs w:val="20"/>
              </w:rPr>
              <w:t xml:space="preserve">RCT </w:t>
            </w:r>
            <w:r>
              <w:rPr>
                <w:sz w:val="20"/>
                <w:szCs w:val="20"/>
                <w:vertAlign w:val="superscript"/>
              </w:rPr>
              <w:t>1</w:t>
            </w:r>
          </w:p>
        </w:tc>
        <w:tc>
          <w:tcPr>
            <w:tcW w:w="845" w:type="dxa"/>
            <w:tcBorders>
              <w:top w:val="single" w:sz="6" w:space="0" w:color="000000"/>
              <w:left w:val="single" w:sz="6" w:space="0" w:color="000000"/>
              <w:bottom w:val="single" w:sz="6" w:space="0" w:color="000000"/>
              <w:right w:val="single" w:sz="6" w:space="0" w:color="000000"/>
            </w:tcBorders>
          </w:tcPr>
          <w:p w14:paraId="2F185C41" w14:textId="77777777" w:rsidR="002D58E4" w:rsidRDefault="00F721D4">
            <w:pPr>
              <w:rPr>
                <w:sz w:val="20"/>
                <w:szCs w:val="20"/>
                <w:vertAlign w:val="superscript"/>
              </w:rPr>
            </w:pPr>
            <w:r>
              <w:rPr>
                <w:sz w:val="20"/>
                <w:szCs w:val="20"/>
              </w:rPr>
              <w:t xml:space="preserve">serious </w:t>
            </w:r>
            <w:r>
              <w:rPr>
                <w:sz w:val="20"/>
                <w:szCs w:val="20"/>
                <w:vertAlign w:val="superscript"/>
              </w:rPr>
              <w:t>e</w:t>
            </w:r>
          </w:p>
        </w:tc>
        <w:tc>
          <w:tcPr>
            <w:tcW w:w="1159" w:type="dxa"/>
            <w:tcBorders>
              <w:top w:val="single" w:sz="6" w:space="0" w:color="000000"/>
              <w:left w:val="single" w:sz="6" w:space="0" w:color="000000"/>
              <w:bottom w:val="single" w:sz="6" w:space="0" w:color="000000"/>
              <w:right w:val="single" w:sz="6" w:space="0" w:color="000000"/>
            </w:tcBorders>
          </w:tcPr>
          <w:p w14:paraId="5497F045" w14:textId="77777777" w:rsidR="002D58E4" w:rsidRDefault="00F721D4">
            <w:pPr>
              <w:rPr>
                <w:sz w:val="20"/>
                <w:szCs w:val="20"/>
              </w:rPr>
            </w:pPr>
            <w:r>
              <w:rPr>
                <w:sz w:val="20"/>
                <w:szCs w:val="20"/>
              </w:rPr>
              <w:t>not serious</w:t>
            </w:r>
          </w:p>
        </w:tc>
        <w:tc>
          <w:tcPr>
            <w:tcW w:w="1174" w:type="dxa"/>
            <w:tcBorders>
              <w:top w:val="single" w:sz="6" w:space="0" w:color="000000"/>
              <w:left w:val="single" w:sz="6" w:space="0" w:color="000000"/>
              <w:bottom w:val="single" w:sz="6" w:space="0" w:color="000000"/>
              <w:right w:val="single" w:sz="6" w:space="0" w:color="000000"/>
            </w:tcBorders>
          </w:tcPr>
          <w:p w14:paraId="63E96BEB" w14:textId="77777777" w:rsidR="002D58E4" w:rsidRDefault="00F721D4">
            <w:pPr>
              <w:rPr>
                <w:sz w:val="20"/>
                <w:szCs w:val="20"/>
              </w:rPr>
            </w:pPr>
            <w:r>
              <w:rPr>
                <w:sz w:val="20"/>
                <w:szCs w:val="20"/>
              </w:rPr>
              <w:t xml:space="preserve">not serious </w:t>
            </w:r>
          </w:p>
        </w:tc>
        <w:tc>
          <w:tcPr>
            <w:tcW w:w="1128" w:type="dxa"/>
            <w:tcBorders>
              <w:top w:val="single" w:sz="6" w:space="0" w:color="000000"/>
              <w:left w:val="single" w:sz="6" w:space="0" w:color="000000"/>
              <w:bottom w:val="single" w:sz="6" w:space="0" w:color="000000"/>
              <w:right w:val="single" w:sz="6" w:space="0" w:color="000000"/>
            </w:tcBorders>
          </w:tcPr>
          <w:p w14:paraId="0CDE02F2" w14:textId="77777777" w:rsidR="002D58E4" w:rsidRDefault="00F721D4">
            <w:pPr>
              <w:rPr>
                <w:sz w:val="20"/>
                <w:szCs w:val="20"/>
              </w:rPr>
            </w:pPr>
            <w:r>
              <w:rPr>
                <w:sz w:val="20"/>
                <w:szCs w:val="20"/>
              </w:rPr>
              <w:t xml:space="preserve">serious </w:t>
            </w:r>
            <w:r>
              <w:rPr>
                <w:sz w:val="20"/>
                <w:szCs w:val="20"/>
                <w:vertAlign w:val="superscript"/>
              </w:rPr>
              <w:t>c</w:t>
            </w:r>
          </w:p>
        </w:tc>
        <w:tc>
          <w:tcPr>
            <w:tcW w:w="934" w:type="dxa"/>
            <w:tcBorders>
              <w:top w:val="single" w:sz="6" w:space="0" w:color="000000"/>
              <w:left w:val="single" w:sz="6" w:space="0" w:color="000000"/>
              <w:bottom w:val="single" w:sz="6" w:space="0" w:color="000000"/>
              <w:right w:val="single" w:sz="6" w:space="0" w:color="000000"/>
            </w:tcBorders>
          </w:tcPr>
          <w:p w14:paraId="3C23B8F5" w14:textId="77777777" w:rsidR="002D58E4" w:rsidRDefault="00F721D4">
            <w:pPr>
              <w:rPr>
                <w:sz w:val="20"/>
                <w:szCs w:val="20"/>
              </w:rPr>
            </w:pPr>
            <w:r>
              <w:rPr>
                <w:sz w:val="20"/>
                <w:szCs w:val="20"/>
              </w:rPr>
              <w:t xml:space="preserve">none </w:t>
            </w:r>
          </w:p>
        </w:tc>
        <w:tc>
          <w:tcPr>
            <w:tcW w:w="1167" w:type="dxa"/>
            <w:tcBorders>
              <w:top w:val="single" w:sz="6" w:space="0" w:color="000000"/>
              <w:left w:val="single" w:sz="6" w:space="0" w:color="000000"/>
              <w:bottom w:val="single" w:sz="6" w:space="0" w:color="000000"/>
              <w:right w:val="single" w:sz="6" w:space="0" w:color="000000"/>
            </w:tcBorders>
          </w:tcPr>
          <w:p w14:paraId="417B6DF0" w14:textId="77777777" w:rsidR="002D58E4" w:rsidRDefault="00F721D4">
            <w:pPr>
              <w:jc w:val="center"/>
              <w:rPr>
                <w:sz w:val="20"/>
                <w:szCs w:val="20"/>
              </w:rPr>
            </w:pPr>
            <w:r>
              <w:rPr>
                <w:sz w:val="20"/>
                <w:szCs w:val="20"/>
              </w:rPr>
              <w:t xml:space="preserve">0/67 </w:t>
            </w:r>
          </w:p>
          <w:p w14:paraId="37356F59" w14:textId="77777777" w:rsidR="002D58E4" w:rsidRDefault="00F721D4">
            <w:pPr>
              <w:jc w:val="center"/>
              <w:rPr>
                <w:sz w:val="20"/>
                <w:szCs w:val="20"/>
              </w:rPr>
            </w:pPr>
            <w:r>
              <w:rPr>
                <w:sz w:val="20"/>
                <w:szCs w:val="20"/>
              </w:rPr>
              <w:t xml:space="preserve">(0.0%) </w:t>
            </w:r>
          </w:p>
        </w:tc>
        <w:tc>
          <w:tcPr>
            <w:tcW w:w="1101" w:type="dxa"/>
            <w:tcBorders>
              <w:top w:val="single" w:sz="6" w:space="0" w:color="000000"/>
              <w:left w:val="single" w:sz="6" w:space="0" w:color="000000"/>
              <w:bottom w:val="single" w:sz="6" w:space="0" w:color="000000"/>
              <w:right w:val="single" w:sz="6" w:space="0" w:color="000000"/>
            </w:tcBorders>
          </w:tcPr>
          <w:p w14:paraId="17FD7709" w14:textId="77777777" w:rsidR="002D58E4" w:rsidRDefault="00F721D4">
            <w:pPr>
              <w:jc w:val="center"/>
              <w:rPr>
                <w:sz w:val="20"/>
                <w:szCs w:val="20"/>
              </w:rPr>
            </w:pPr>
            <w:r>
              <w:rPr>
                <w:sz w:val="20"/>
                <w:szCs w:val="20"/>
              </w:rPr>
              <w:t>2/64</w:t>
            </w:r>
          </w:p>
          <w:p w14:paraId="71CC559B" w14:textId="77777777" w:rsidR="002D58E4" w:rsidRDefault="00F721D4">
            <w:pPr>
              <w:jc w:val="center"/>
              <w:rPr>
                <w:sz w:val="20"/>
                <w:szCs w:val="20"/>
              </w:rPr>
            </w:pPr>
            <w:r>
              <w:rPr>
                <w:sz w:val="20"/>
                <w:szCs w:val="20"/>
              </w:rPr>
              <w:t xml:space="preserve"> (3.1%) </w:t>
            </w:r>
          </w:p>
        </w:tc>
        <w:tc>
          <w:tcPr>
            <w:tcW w:w="921" w:type="dxa"/>
            <w:tcBorders>
              <w:top w:val="single" w:sz="6" w:space="0" w:color="000000"/>
              <w:left w:val="single" w:sz="6" w:space="0" w:color="000000"/>
              <w:bottom w:val="single" w:sz="6" w:space="0" w:color="000000"/>
              <w:right w:val="single" w:sz="6" w:space="0" w:color="000000"/>
            </w:tcBorders>
          </w:tcPr>
          <w:p w14:paraId="46FD0422"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tc>
        <w:tc>
          <w:tcPr>
            <w:tcW w:w="2418" w:type="dxa"/>
            <w:tcBorders>
              <w:top w:val="single" w:sz="6" w:space="0" w:color="000000"/>
              <w:left w:val="single" w:sz="6" w:space="0" w:color="000000"/>
              <w:bottom w:val="single" w:sz="6" w:space="0" w:color="000000"/>
              <w:right w:val="single" w:sz="6" w:space="0" w:color="000000"/>
            </w:tcBorders>
          </w:tcPr>
          <w:p w14:paraId="73946AAF" w14:textId="77777777" w:rsidR="002D58E4" w:rsidRDefault="00F721D4">
            <w:pPr>
              <w:jc w:val="center"/>
              <w:rPr>
                <w:sz w:val="20"/>
                <w:szCs w:val="20"/>
              </w:rPr>
            </w:pPr>
            <w:r>
              <w:rPr>
                <w:sz w:val="20"/>
                <w:szCs w:val="20"/>
              </w:rPr>
              <w:t xml:space="preserve">31 fewer per 1,000 </w:t>
            </w:r>
          </w:p>
        </w:tc>
        <w:tc>
          <w:tcPr>
            <w:tcW w:w="1137" w:type="dxa"/>
            <w:tcBorders>
              <w:top w:val="single" w:sz="6" w:space="0" w:color="000000"/>
              <w:left w:val="single" w:sz="6" w:space="0" w:color="000000"/>
              <w:bottom w:val="single" w:sz="6" w:space="0" w:color="000000"/>
              <w:right w:val="single" w:sz="6" w:space="0" w:color="000000"/>
            </w:tcBorders>
          </w:tcPr>
          <w:p w14:paraId="1FCDAFB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w:t>
            </w:r>
            <w:r>
              <w:t>OW</w:t>
            </w:r>
          </w:p>
        </w:tc>
        <w:tc>
          <w:tcPr>
            <w:tcW w:w="1194" w:type="dxa"/>
            <w:tcBorders>
              <w:top w:val="single" w:sz="6" w:space="0" w:color="000000"/>
              <w:left w:val="single" w:sz="6" w:space="0" w:color="000000"/>
              <w:bottom w:val="single" w:sz="6" w:space="0" w:color="000000"/>
              <w:right w:val="single" w:sz="6" w:space="0" w:color="000000"/>
            </w:tcBorders>
          </w:tcPr>
          <w:p w14:paraId="30DAC7F0" w14:textId="77777777" w:rsidR="002D58E4" w:rsidRDefault="00F721D4">
            <w:pPr>
              <w:rPr>
                <w:sz w:val="20"/>
                <w:szCs w:val="20"/>
              </w:rPr>
            </w:pPr>
            <w:r>
              <w:rPr>
                <w:sz w:val="20"/>
                <w:szCs w:val="20"/>
              </w:rPr>
              <w:t xml:space="preserve">IMPORTANT </w:t>
            </w:r>
          </w:p>
        </w:tc>
      </w:tr>
    </w:tbl>
    <w:p w14:paraId="1278C1A0" w14:textId="77777777" w:rsidR="002D58E4" w:rsidRDefault="00F721D4">
      <w:pP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 </w:t>
      </w:r>
      <w:r>
        <w:rPr>
          <w:b/>
          <w:color w:val="000000"/>
          <w:sz w:val="18"/>
          <w:szCs w:val="18"/>
        </w:rPr>
        <w:t>MD:</w:t>
      </w:r>
      <w:r>
        <w:rPr>
          <w:color w:val="000000"/>
          <w:sz w:val="18"/>
          <w:szCs w:val="18"/>
        </w:rPr>
        <w:t xml:space="preserve"> Mean difference</w:t>
      </w:r>
    </w:p>
    <w:p w14:paraId="3DA8DB29" w14:textId="77777777" w:rsidR="002D58E4" w:rsidRDefault="00F721D4">
      <w:pPr>
        <w:spacing w:before="280" w:after="0"/>
        <w:rPr>
          <w:b/>
          <w:color w:val="000000"/>
          <w:sz w:val="24"/>
          <w:szCs w:val="24"/>
        </w:rPr>
      </w:pPr>
      <w:bookmarkStart w:id="16" w:name="_Hlk33819271"/>
      <w:r>
        <w:rPr>
          <w:b/>
          <w:color w:val="000000"/>
          <w:sz w:val="24"/>
          <w:szCs w:val="24"/>
        </w:rPr>
        <w:lastRenderedPageBreak/>
        <w:t>Explanations</w:t>
      </w:r>
    </w:p>
    <w:bookmarkEnd w:id="16"/>
    <w:p w14:paraId="11EC8B0A" w14:textId="77777777" w:rsidR="002D58E4" w:rsidRDefault="00F721D4">
      <w:pPr>
        <w:spacing w:after="0" w:line="240" w:lineRule="auto"/>
        <w:rPr>
          <w:sz w:val="18"/>
          <w:szCs w:val="18"/>
        </w:rPr>
      </w:pPr>
      <w:r>
        <w:rPr>
          <w:sz w:val="18"/>
          <w:szCs w:val="18"/>
        </w:rPr>
        <w:t xml:space="preserve">a. Based on an inferiority margin of 15%, not rated down for imprecision.  </w:t>
      </w:r>
    </w:p>
    <w:p w14:paraId="3A9EBBA0" w14:textId="77777777" w:rsidR="002D58E4" w:rsidRDefault="00F721D4">
      <w:pPr>
        <w:spacing w:after="0" w:line="240" w:lineRule="auto"/>
        <w:rPr>
          <w:sz w:val="18"/>
          <w:szCs w:val="18"/>
        </w:rPr>
      </w:pPr>
      <w:r>
        <w:rPr>
          <w:sz w:val="18"/>
          <w:szCs w:val="18"/>
        </w:rPr>
        <w:t>b. Eliassen 2018 reported duration of EM as median and range- Median for Doxy group was 14 days (range 3-293 days) and for Amoxicillin group was 13 days (range 4-179 days). These were converted to mean and SD using method by Hozo, et al. However, due to a wide range of EM duration in this study, the SDs are very large.</w:t>
      </w:r>
      <w:r>
        <w:rPr>
          <w:sz w:val="18"/>
          <w:szCs w:val="18"/>
          <w:u w:val="single"/>
        </w:rPr>
        <w:t xml:space="preserve"> </w:t>
      </w:r>
    </w:p>
    <w:p w14:paraId="7690BD6B" w14:textId="77777777" w:rsidR="002D58E4" w:rsidRDefault="00F721D4">
      <w:pPr>
        <w:spacing w:after="0" w:line="240" w:lineRule="auto"/>
        <w:rPr>
          <w:sz w:val="18"/>
          <w:szCs w:val="18"/>
        </w:rPr>
      </w:pPr>
      <w:r>
        <w:rPr>
          <w:sz w:val="18"/>
          <w:szCs w:val="18"/>
        </w:rPr>
        <w:t>c. Due to low event rate and/or 95% CI crossing the null value.</w:t>
      </w:r>
    </w:p>
    <w:p w14:paraId="29BF98F9" w14:textId="527FF43B" w:rsidR="002D58E4" w:rsidRDefault="00F721D4">
      <w:pPr>
        <w:spacing w:after="0" w:line="240" w:lineRule="auto"/>
        <w:rPr>
          <w:sz w:val="18"/>
          <w:szCs w:val="18"/>
        </w:rPr>
      </w:pPr>
      <w:r>
        <w:rPr>
          <w:sz w:val="18"/>
          <w:szCs w:val="18"/>
        </w:rPr>
        <w:t>d.</w:t>
      </w:r>
      <w:r>
        <w:t xml:space="preserve"> </w:t>
      </w:r>
      <w:r>
        <w:rPr>
          <w:sz w:val="18"/>
          <w:szCs w:val="18"/>
        </w:rPr>
        <w:t>Due to zero events in one study arm, unable to estimate relative risk</w:t>
      </w:r>
      <w:r w:rsidR="003A5F79">
        <w:rPr>
          <w:sz w:val="18"/>
          <w:szCs w:val="18"/>
        </w:rPr>
        <w:t>.</w:t>
      </w:r>
    </w:p>
    <w:p w14:paraId="365C5FE6" w14:textId="77777777" w:rsidR="002D58E4" w:rsidRDefault="00F721D4">
      <w:pPr>
        <w:spacing w:after="0" w:line="240" w:lineRule="auto"/>
        <w:rPr>
          <w:sz w:val="18"/>
          <w:szCs w:val="18"/>
        </w:rPr>
      </w:pPr>
      <w:r>
        <w:rPr>
          <w:sz w:val="18"/>
          <w:szCs w:val="18"/>
        </w:rPr>
        <w:t>e. Due to single-blind design (outcomes were self-reported).</w:t>
      </w:r>
    </w:p>
    <w:p w14:paraId="10D7D36C" w14:textId="77777777" w:rsidR="002D58E4" w:rsidRDefault="00F721D4">
      <w:pPr>
        <w:rPr>
          <w:sz w:val="18"/>
          <w:szCs w:val="18"/>
        </w:rPr>
      </w:pPr>
      <w:r>
        <w:br w:type="page"/>
      </w:r>
    </w:p>
    <w:p w14:paraId="42D69A0B" w14:textId="77777777" w:rsidR="002D58E4" w:rsidRDefault="002D58E4">
      <w:pPr>
        <w:spacing w:after="0" w:line="240" w:lineRule="auto"/>
        <w:rPr>
          <w:sz w:val="18"/>
          <w:szCs w:val="18"/>
        </w:rPr>
      </w:pPr>
    </w:p>
    <w:p w14:paraId="3DE08099" w14:textId="77777777" w:rsidR="002D58E4" w:rsidRDefault="00F721D4">
      <w:pPr>
        <w:spacing w:after="160" w:line="259" w:lineRule="auto"/>
        <w:rPr>
          <w:sz w:val="18"/>
          <w:szCs w:val="18"/>
        </w:rPr>
      </w:pPr>
      <w:r>
        <w:rPr>
          <w:b/>
          <w:sz w:val="24"/>
          <w:szCs w:val="24"/>
          <w:u w:val="single"/>
        </w:rPr>
        <w:t>14-DAYS CEFTRIAXONE vs. 21-DAYS DOXYCYCLINE</w:t>
      </w:r>
    </w:p>
    <w:p w14:paraId="68B236EF" w14:textId="77777777" w:rsidR="002D58E4" w:rsidRDefault="00F721D4">
      <w:pPr>
        <w:spacing w:after="0"/>
        <w:rPr>
          <w:b/>
        </w:rPr>
      </w:pPr>
      <w:r>
        <w:rPr>
          <w:b/>
        </w:rPr>
        <w:t>In patients with erythema migrans, should 14-day course of Ceftriaxone be used over 21-day course of Doxycycline?</w:t>
      </w:r>
    </w:p>
    <w:p w14:paraId="17F2685C" w14:textId="77777777" w:rsidR="002D58E4" w:rsidRDefault="00F721D4">
      <w:pPr>
        <w:spacing w:after="0"/>
      </w:pPr>
      <w:r>
        <w:t>P: In patients with erythema migrans</w:t>
      </w:r>
    </w:p>
    <w:p w14:paraId="499A5CB9" w14:textId="77777777" w:rsidR="002D58E4" w:rsidRDefault="00F721D4">
      <w:pPr>
        <w:spacing w:after="0"/>
      </w:pPr>
      <w:r>
        <w:t>I: 14-day course of Ceftriaxone</w:t>
      </w:r>
    </w:p>
    <w:p w14:paraId="41E4141A" w14:textId="77777777" w:rsidR="002D58E4" w:rsidRDefault="00F721D4">
      <w:pPr>
        <w:spacing w:after="0"/>
      </w:pPr>
      <w:r>
        <w:t xml:space="preserve">C: 21-day course of Doxycycline </w:t>
      </w:r>
    </w:p>
    <w:p w14:paraId="65E3FCB0" w14:textId="77777777" w:rsidR="002D58E4" w:rsidRDefault="002D58E4">
      <w:pPr>
        <w:spacing w:after="0"/>
      </w:pPr>
    </w:p>
    <w:p w14:paraId="7661E492" w14:textId="77777777" w:rsidR="002D58E4" w:rsidRDefault="00F721D4">
      <w:pPr>
        <w:rPr>
          <w:sz w:val="18"/>
          <w:szCs w:val="18"/>
        </w:rPr>
      </w:pPr>
      <w:r>
        <w:rPr>
          <w:b/>
          <w:sz w:val="18"/>
          <w:szCs w:val="18"/>
        </w:rPr>
        <w:t xml:space="preserve">Bibliography: </w:t>
      </w:r>
      <w:r>
        <w:rPr>
          <w:sz w:val="18"/>
          <w:szCs w:val="18"/>
        </w:rPr>
        <w:t>1. Dattwyler, et al. N Engl J Med. 1997 Jul 31;337(5):289-94.</w:t>
      </w:r>
    </w:p>
    <w:tbl>
      <w:tblPr>
        <w:tblStyle w:val="afb"/>
        <w:tblW w:w="1461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7"/>
        <w:gridCol w:w="709"/>
        <w:gridCol w:w="851"/>
        <w:gridCol w:w="1194"/>
        <w:gridCol w:w="1071"/>
        <w:gridCol w:w="995"/>
        <w:gridCol w:w="770"/>
        <w:gridCol w:w="1012"/>
        <w:gridCol w:w="1066"/>
        <w:gridCol w:w="1404"/>
        <w:gridCol w:w="2614"/>
        <w:gridCol w:w="1181"/>
        <w:gridCol w:w="1176"/>
      </w:tblGrid>
      <w:tr w:rsidR="002D58E4" w14:paraId="21655FAF" w14:textId="77777777" w:rsidTr="00E70FE5">
        <w:tc>
          <w:tcPr>
            <w:tcW w:w="6157"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248A9FD0" w14:textId="77777777" w:rsidR="002D58E4" w:rsidRDefault="00F721D4">
            <w:pPr>
              <w:jc w:val="center"/>
              <w:rPr>
                <w:b/>
                <w:sz w:val="18"/>
                <w:szCs w:val="18"/>
              </w:rPr>
            </w:pPr>
            <w:r w:rsidRPr="00E579D1">
              <w:rPr>
                <w:b/>
                <w:sz w:val="20"/>
                <w:szCs w:val="20"/>
              </w:rPr>
              <w:t>Certainty assessment</w:t>
            </w:r>
          </w:p>
        </w:tc>
        <w:tc>
          <w:tcPr>
            <w:tcW w:w="207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521C241" w14:textId="77777777" w:rsidR="002D58E4" w:rsidRDefault="00F721D4">
            <w:pPr>
              <w:jc w:val="center"/>
              <w:rPr>
                <w:b/>
                <w:sz w:val="18"/>
                <w:szCs w:val="18"/>
              </w:rPr>
            </w:pPr>
            <w:r>
              <w:rPr>
                <w:b/>
                <w:sz w:val="18"/>
                <w:szCs w:val="18"/>
              </w:rPr>
              <w:t>№ of Events/№ of patients</w:t>
            </w:r>
          </w:p>
        </w:tc>
        <w:tc>
          <w:tcPr>
            <w:tcW w:w="401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B2633B2" w14:textId="77777777" w:rsidR="002D58E4" w:rsidRDefault="00F721D4">
            <w:pPr>
              <w:jc w:val="center"/>
              <w:rPr>
                <w:b/>
                <w:sz w:val="18"/>
                <w:szCs w:val="18"/>
              </w:rPr>
            </w:pPr>
            <w:r w:rsidRPr="00E579D1">
              <w:rPr>
                <w:b/>
                <w:sz w:val="20"/>
                <w:szCs w:val="20"/>
              </w:rPr>
              <w:t>Effect</w:t>
            </w:r>
          </w:p>
        </w:tc>
        <w:tc>
          <w:tcPr>
            <w:tcW w:w="1181"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14:paraId="739A05B5" w14:textId="77777777" w:rsidR="002D58E4" w:rsidRPr="00E579D1" w:rsidRDefault="00F721D4">
            <w:pPr>
              <w:jc w:val="center"/>
              <w:rPr>
                <w:b/>
                <w:sz w:val="20"/>
                <w:szCs w:val="20"/>
              </w:rPr>
            </w:pPr>
            <w:r w:rsidRPr="00E579D1">
              <w:rPr>
                <w:b/>
                <w:sz w:val="20"/>
                <w:szCs w:val="20"/>
              </w:rPr>
              <w:t>Certainty</w:t>
            </w: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14:paraId="76D9ECFB" w14:textId="77777777" w:rsidR="002D58E4" w:rsidRPr="00E579D1" w:rsidRDefault="00F721D4">
            <w:pPr>
              <w:jc w:val="center"/>
              <w:rPr>
                <w:b/>
                <w:sz w:val="20"/>
                <w:szCs w:val="20"/>
              </w:rPr>
            </w:pPr>
            <w:r w:rsidRPr="00E579D1">
              <w:rPr>
                <w:b/>
                <w:sz w:val="20"/>
                <w:szCs w:val="20"/>
              </w:rPr>
              <w:t>Importance</w:t>
            </w:r>
          </w:p>
        </w:tc>
      </w:tr>
      <w:tr w:rsidR="002D58E4" w14:paraId="369837F3" w14:textId="77777777" w:rsidTr="00E70FE5">
        <w:tc>
          <w:tcPr>
            <w:tcW w:w="56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91471D9" w14:textId="77777777" w:rsidR="002D58E4" w:rsidRDefault="00F721D4">
            <w:pPr>
              <w:jc w:val="center"/>
              <w:rPr>
                <w:b/>
                <w:sz w:val="18"/>
                <w:szCs w:val="18"/>
              </w:rPr>
            </w:pPr>
            <w:r>
              <w:rPr>
                <w:b/>
                <w:sz w:val="18"/>
                <w:szCs w:val="18"/>
              </w:rPr>
              <w:t>№ of studies</w:t>
            </w:r>
          </w:p>
        </w:tc>
        <w:tc>
          <w:tcPr>
            <w:tcW w:w="7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060714B" w14:textId="77777777" w:rsidR="002D58E4" w:rsidRDefault="00F721D4">
            <w:pPr>
              <w:jc w:val="center"/>
              <w:rPr>
                <w:b/>
                <w:sz w:val="18"/>
                <w:szCs w:val="18"/>
              </w:rPr>
            </w:pPr>
            <w:r>
              <w:rPr>
                <w:b/>
                <w:sz w:val="18"/>
                <w:szCs w:val="18"/>
              </w:rPr>
              <w:t>Study design</w:t>
            </w:r>
          </w:p>
        </w:tc>
        <w:tc>
          <w:tcPr>
            <w:tcW w:w="8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E70D74" w14:textId="77777777" w:rsidR="002D58E4" w:rsidRDefault="00F721D4">
            <w:pPr>
              <w:jc w:val="center"/>
              <w:rPr>
                <w:b/>
                <w:sz w:val="18"/>
                <w:szCs w:val="18"/>
              </w:rPr>
            </w:pPr>
            <w:r>
              <w:rPr>
                <w:b/>
                <w:sz w:val="18"/>
                <w:szCs w:val="18"/>
              </w:rPr>
              <w:t>Risk of bias</w:t>
            </w:r>
          </w:p>
        </w:tc>
        <w:tc>
          <w:tcPr>
            <w:tcW w:w="119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FC18BA" w14:textId="77777777" w:rsidR="002D58E4" w:rsidRDefault="00F721D4">
            <w:pPr>
              <w:jc w:val="center"/>
              <w:rPr>
                <w:b/>
                <w:sz w:val="18"/>
                <w:szCs w:val="18"/>
              </w:rPr>
            </w:pPr>
            <w:r>
              <w:rPr>
                <w:b/>
                <w:sz w:val="18"/>
                <w:szCs w:val="18"/>
              </w:rPr>
              <w:t>Inconsistency</w:t>
            </w:r>
          </w:p>
        </w:tc>
        <w:tc>
          <w:tcPr>
            <w:tcW w:w="107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4D352A" w14:textId="77777777" w:rsidR="002D58E4" w:rsidRDefault="00F721D4">
            <w:pPr>
              <w:jc w:val="center"/>
              <w:rPr>
                <w:b/>
                <w:sz w:val="18"/>
                <w:szCs w:val="18"/>
              </w:rPr>
            </w:pPr>
            <w:r>
              <w:rPr>
                <w:b/>
                <w:sz w:val="18"/>
                <w:szCs w:val="18"/>
              </w:rPr>
              <w:t>Indirectness</w:t>
            </w:r>
          </w:p>
        </w:tc>
        <w:tc>
          <w:tcPr>
            <w:tcW w:w="99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6FD82CC" w14:textId="77777777" w:rsidR="002D58E4" w:rsidRDefault="00F721D4">
            <w:pPr>
              <w:jc w:val="center"/>
              <w:rPr>
                <w:b/>
                <w:sz w:val="18"/>
                <w:szCs w:val="18"/>
              </w:rPr>
            </w:pPr>
            <w:r>
              <w:rPr>
                <w:b/>
                <w:sz w:val="18"/>
                <w:szCs w:val="18"/>
              </w:rPr>
              <w:t>Imprecision</w:t>
            </w:r>
          </w:p>
        </w:tc>
        <w:tc>
          <w:tcPr>
            <w:tcW w:w="77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8F98B1" w14:textId="77777777" w:rsidR="002D58E4" w:rsidRDefault="00F721D4">
            <w:pPr>
              <w:jc w:val="center"/>
              <w:rPr>
                <w:b/>
                <w:sz w:val="18"/>
                <w:szCs w:val="18"/>
              </w:rPr>
            </w:pPr>
            <w:r>
              <w:rPr>
                <w:b/>
                <w:sz w:val="18"/>
                <w:szCs w:val="18"/>
              </w:rPr>
              <w:t>Other considerations</w:t>
            </w:r>
          </w:p>
        </w:tc>
        <w:tc>
          <w:tcPr>
            <w:tcW w:w="101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DE163D7" w14:textId="77777777" w:rsidR="002D58E4" w:rsidRDefault="00F721D4">
            <w:pPr>
              <w:jc w:val="center"/>
              <w:rPr>
                <w:b/>
                <w:sz w:val="18"/>
                <w:szCs w:val="18"/>
              </w:rPr>
            </w:pPr>
            <w:r>
              <w:rPr>
                <w:b/>
                <w:sz w:val="18"/>
                <w:szCs w:val="18"/>
              </w:rPr>
              <w:t>14 Days Ceftriaxone</w:t>
            </w:r>
          </w:p>
        </w:tc>
        <w:tc>
          <w:tcPr>
            <w:tcW w:w="106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AC00905" w14:textId="77777777" w:rsidR="002D58E4" w:rsidRDefault="00F721D4">
            <w:pPr>
              <w:jc w:val="center"/>
              <w:rPr>
                <w:b/>
                <w:sz w:val="18"/>
                <w:szCs w:val="18"/>
              </w:rPr>
            </w:pPr>
            <w:r>
              <w:rPr>
                <w:b/>
                <w:sz w:val="18"/>
                <w:szCs w:val="18"/>
              </w:rPr>
              <w:t>21 Days Doxycycline</w:t>
            </w:r>
          </w:p>
        </w:tc>
        <w:tc>
          <w:tcPr>
            <w:tcW w:w="140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26DD76" w14:textId="77777777" w:rsidR="002D58E4" w:rsidRDefault="00F721D4">
            <w:pPr>
              <w:jc w:val="center"/>
              <w:rPr>
                <w:b/>
                <w:sz w:val="18"/>
                <w:szCs w:val="18"/>
              </w:rPr>
            </w:pPr>
            <w:r>
              <w:rPr>
                <w:b/>
                <w:sz w:val="18"/>
                <w:szCs w:val="18"/>
              </w:rPr>
              <w:t>Relative</w:t>
            </w:r>
            <w:r>
              <w:rPr>
                <w:b/>
                <w:sz w:val="18"/>
                <w:szCs w:val="18"/>
              </w:rPr>
              <w:br/>
              <w:t>(95% CI)</w:t>
            </w:r>
          </w:p>
        </w:tc>
        <w:tc>
          <w:tcPr>
            <w:tcW w:w="261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0AA6C6" w14:textId="77777777" w:rsidR="002D58E4" w:rsidRDefault="00F721D4">
            <w:pPr>
              <w:jc w:val="center"/>
              <w:rPr>
                <w:b/>
                <w:sz w:val="18"/>
                <w:szCs w:val="18"/>
              </w:rPr>
            </w:pPr>
            <w:r>
              <w:rPr>
                <w:b/>
                <w:sz w:val="18"/>
                <w:szCs w:val="18"/>
              </w:rPr>
              <w:t>Absolute</w:t>
            </w:r>
            <w:r>
              <w:rPr>
                <w:b/>
                <w:sz w:val="18"/>
                <w:szCs w:val="18"/>
              </w:rPr>
              <w:br/>
              <w:t>(95% CI)</w:t>
            </w:r>
          </w:p>
        </w:tc>
        <w:tc>
          <w:tcPr>
            <w:tcW w:w="1181"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14:paraId="5DACC887" w14:textId="77777777" w:rsidR="002D58E4" w:rsidRDefault="002D58E4">
            <w:pPr>
              <w:widowControl w:val="0"/>
              <w:pBdr>
                <w:top w:val="nil"/>
                <w:left w:val="nil"/>
                <w:bottom w:val="nil"/>
                <w:right w:val="nil"/>
                <w:between w:val="nil"/>
              </w:pBdr>
              <w:spacing w:line="276" w:lineRule="auto"/>
              <w:rPr>
                <w:b/>
                <w:sz w:val="18"/>
                <w:szCs w:val="18"/>
              </w:rPr>
            </w:pPr>
          </w:p>
        </w:tc>
        <w:tc>
          <w:tcPr>
            <w:tcW w:w="1176"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14:paraId="4895D1A3" w14:textId="77777777" w:rsidR="002D58E4" w:rsidRDefault="002D58E4">
            <w:pPr>
              <w:widowControl w:val="0"/>
              <w:pBdr>
                <w:top w:val="nil"/>
                <w:left w:val="nil"/>
                <w:bottom w:val="nil"/>
                <w:right w:val="nil"/>
                <w:between w:val="nil"/>
              </w:pBdr>
              <w:spacing w:line="276" w:lineRule="auto"/>
              <w:rPr>
                <w:b/>
                <w:sz w:val="18"/>
                <w:szCs w:val="18"/>
              </w:rPr>
            </w:pPr>
          </w:p>
        </w:tc>
      </w:tr>
      <w:tr w:rsidR="002D58E4" w14:paraId="1483442F" w14:textId="77777777" w:rsidTr="00E70FE5">
        <w:tc>
          <w:tcPr>
            <w:tcW w:w="1460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8A74809" w14:textId="77777777" w:rsidR="002D58E4" w:rsidRDefault="00F721D4">
            <w:pPr>
              <w:rPr>
                <w:sz w:val="20"/>
                <w:szCs w:val="20"/>
              </w:rPr>
            </w:pPr>
            <w:r>
              <w:rPr>
                <w:b/>
                <w:sz w:val="20"/>
                <w:szCs w:val="20"/>
              </w:rPr>
              <w:t xml:space="preserve">Resolution of Erythema Migrans </w:t>
            </w:r>
            <w:r>
              <w:rPr>
                <w:sz w:val="20"/>
                <w:szCs w:val="20"/>
              </w:rPr>
              <w:t xml:space="preserve">(at 90 days) </w:t>
            </w:r>
          </w:p>
        </w:tc>
      </w:tr>
      <w:tr w:rsidR="002D58E4" w14:paraId="1F11E538" w14:textId="77777777" w:rsidTr="00E70FE5">
        <w:tc>
          <w:tcPr>
            <w:tcW w:w="567" w:type="dxa"/>
            <w:tcBorders>
              <w:top w:val="single" w:sz="6" w:space="0" w:color="000000"/>
              <w:left w:val="single" w:sz="6" w:space="0" w:color="000000"/>
              <w:bottom w:val="single" w:sz="6" w:space="0" w:color="000000"/>
              <w:right w:val="single" w:sz="6" w:space="0" w:color="000000"/>
            </w:tcBorders>
          </w:tcPr>
          <w:p w14:paraId="0ADB7A6C"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20F42F51"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52C8051A" w14:textId="77777777" w:rsidR="002D58E4" w:rsidRDefault="00F721D4">
            <w:pPr>
              <w:rPr>
                <w:sz w:val="20"/>
                <w:szCs w:val="20"/>
              </w:rPr>
            </w:pPr>
            <w:r>
              <w:rPr>
                <w:sz w:val="20"/>
                <w:szCs w:val="20"/>
              </w:rPr>
              <w:t>not serious</w:t>
            </w:r>
          </w:p>
        </w:tc>
        <w:tc>
          <w:tcPr>
            <w:tcW w:w="1194" w:type="dxa"/>
            <w:tcBorders>
              <w:top w:val="single" w:sz="6" w:space="0" w:color="000000"/>
              <w:left w:val="single" w:sz="6" w:space="0" w:color="000000"/>
              <w:bottom w:val="single" w:sz="6" w:space="0" w:color="000000"/>
              <w:right w:val="single" w:sz="6" w:space="0" w:color="000000"/>
            </w:tcBorders>
          </w:tcPr>
          <w:p w14:paraId="5E7885A5"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50ABE48E" w14:textId="77777777" w:rsidR="002D58E4" w:rsidRDefault="00F721D4">
            <w:pPr>
              <w:rPr>
                <w:sz w:val="20"/>
                <w:szCs w:val="20"/>
              </w:rPr>
            </w:pPr>
            <w:r>
              <w:rPr>
                <w:sz w:val="20"/>
                <w:szCs w:val="20"/>
              </w:rPr>
              <w:t xml:space="preserve">serious </w:t>
            </w:r>
            <w:r>
              <w:rPr>
                <w:sz w:val="20"/>
                <w:szCs w:val="20"/>
                <w:vertAlign w:val="superscript"/>
              </w:rPr>
              <w:t>b</w:t>
            </w:r>
          </w:p>
        </w:tc>
        <w:tc>
          <w:tcPr>
            <w:tcW w:w="995" w:type="dxa"/>
            <w:tcBorders>
              <w:top w:val="single" w:sz="6" w:space="0" w:color="000000"/>
              <w:left w:val="single" w:sz="6" w:space="0" w:color="000000"/>
              <w:bottom w:val="single" w:sz="6" w:space="0" w:color="000000"/>
              <w:right w:val="single" w:sz="6" w:space="0" w:color="000000"/>
            </w:tcBorders>
          </w:tcPr>
          <w:p w14:paraId="6D6BFEB7" w14:textId="77777777" w:rsidR="002D58E4" w:rsidRDefault="00F721D4">
            <w:pPr>
              <w:rPr>
                <w:sz w:val="20"/>
                <w:szCs w:val="20"/>
              </w:rPr>
            </w:pPr>
            <w:r>
              <w:rPr>
                <w:sz w:val="20"/>
                <w:szCs w:val="20"/>
              </w:rPr>
              <w:t xml:space="preserve">not serious </w:t>
            </w:r>
            <w:r>
              <w:rPr>
                <w:sz w:val="20"/>
                <w:szCs w:val="20"/>
                <w:vertAlign w:val="superscript"/>
              </w:rPr>
              <w:t>c</w:t>
            </w:r>
          </w:p>
        </w:tc>
        <w:tc>
          <w:tcPr>
            <w:tcW w:w="770" w:type="dxa"/>
            <w:tcBorders>
              <w:top w:val="single" w:sz="6" w:space="0" w:color="000000"/>
              <w:left w:val="single" w:sz="6" w:space="0" w:color="000000"/>
              <w:bottom w:val="single" w:sz="6" w:space="0" w:color="000000"/>
              <w:right w:val="single" w:sz="6" w:space="0" w:color="000000"/>
            </w:tcBorders>
          </w:tcPr>
          <w:p w14:paraId="6317983B" w14:textId="77777777" w:rsidR="002D58E4" w:rsidRDefault="00F721D4">
            <w:pPr>
              <w:rPr>
                <w:sz w:val="20"/>
                <w:szCs w:val="20"/>
              </w:rPr>
            </w:pPr>
            <w:r>
              <w:rPr>
                <w:sz w:val="20"/>
                <w:szCs w:val="20"/>
              </w:rPr>
              <w:t xml:space="preserve">none </w:t>
            </w:r>
          </w:p>
        </w:tc>
        <w:tc>
          <w:tcPr>
            <w:tcW w:w="1012" w:type="dxa"/>
            <w:tcBorders>
              <w:top w:val="single" w:sz="6" w:space="0" w:color="000000"/>
              <w:left w:val="single" w:sz="6" w:space="0" w:color="000000"/>
              <w:bottom w:val="single" w:sz="6" w:space="0" w:color="000000"/>
              <w:right w:val="single" w:sz="6" w:space="0" w:color="000000"/>
            </w:tcBorders>
          </w:tcPr>
          <w:p w14:paraId="1B38030D" w14:textId="77777777" w:rsidR="002D58E4" w:rsidRDefault="00F721D4">
            <w:pPr>
              <w:jc w:val="center"/>
              <w:rPr>
                <w:sz w:val="20"/>
                <w:szCs w:val="20"/>
              </w:rPr>
            </w:pPr>
            <w:r>
              <w:rPr>
                <w:sz w:val="20"/>
                <w:szCs w:val="20"/>
              </w:rPr>
              <w:t xml:space="preserve">55/60 (91.7%) </w:t>
            </w:r>
          </w:p>
        </w:tc>
        <w:tc>
          <w:tcPr>
            <w:tcW w:w="1066" w:type="dxa"/>
            <w:tcBorders>
              <w:top w:val="single" w:sz="6" w:space="0" w:color="000000"/>
              <w:left w:val="single" w:sz="6" w:space="0" w:color="000000"/>
              <w:bottom w:val="single" w:sz="6" w:space="0" w:color="000000"/>
              <w:right w:val="single" w:sz="6" w:space="0" w:color="000000"/>
            </w:tcBorders>
          </w:tcPr>
          <w:p w14:paraId="4ED9C79D" w14:textId="77777777" w:rsidR="002D58E4" w:rsidRDefault="00F721D4">
            <w:pPr>
              <w:jc w:val="center"/>
              <w:rPr>
                <w:sz w:val="20"/>
                <w:szCs w:val="20"/>
              </w:rPr>
            </w:pPr>
            <w:r>
              <w:rPr>
                <w:sz w:val="20"/>
                <w:szCs w:val="20"/>
              </w:rPr>
              <w:t xml:space="preserve">63/67 (94.0%) </w:t>
            </w:r>
          </w:p>
        </w:tc>
        <w:tc>
          <w:tcPr>
            <w:tcW w:w="1404" w:type="dxa"/>
            <w:tcBorders>
              <w:top w:val="single" w:sz="6" w:space="0" w:color="000000"/>
              <w:left w:val="single" w:sz="6" w:space="0" w:color="000000"/>
              <w:bottom w:val="single" w:sz="6" w:space="0" w:color="000000"/>
              <w:right w:val="single" w:sz="6" w:space="0" w:color="000000"/>
            </w:tcBorders>
          </w:tcPr>
          <w:p w14:paraId="13CBAD3A" w14:textId="77777777" w:rsidR="002D58E4" w:rsidRDefault="00F721D4">
            <w:pPr>
              <w:jc w:val="center"/>
              <w:rPr>
                <w:sz w:val="20"/>
                <w:szCs w:val="20"/>
              </w:rPr>
            </w:pPr>
            <w:r>
              <w:rPr>
                <w:sz w:val="20"/>
                <w:szCs w:val="20"/>
              </w:rPr>
              <w:t>RR 0.97</w:t>
            </w:r>
            <w:r>
              <w:rPr>
                <w:sz w:val="20"/>
                <w:szCs w:val="20"/>
              </w:rPr>
              <w:br/>
              <w:t xml:space="preserve">(0.88 to 1.07) </w:t>
            </w:r>
          </w:p>
        </w:tc>
        <w:tc>
          <w:tcPr>
            <w:tcW w:w="2614" w:type="dxa"/>
            <w:tcBorders>
              <w:top w:val="single" w:sz="6" w:space="0" w:color="000000"/>
              <w:left w:val="single" w:sz="6" w:space="0" w:color="000000"/>
              <w:bottom w:val="single" w:sz="6" w:space="0" w:color="000000"/>
              <w:right w:val="single" w:sz="6" w:space="0" w:color="000000"/>
            </w:tcBorders>
          </w:tcPr>
          <w:p w14:paraId="07C13FB9" w14:textId="77777777" w:rsidR="002D58E4" w:rsidRDefault="00F721D4">
            <w:pPr>
              <w:jc w:val="center"/>
              <w:rPr>
                <w:sz w:val="20"/>
                <w:szCs w:val="20"/>
              </w:rPr>
            </w:pPr>
            <w:r>
              <w:rPr>
                <w:sz w:val="20"/>
                <w:szCs w:val="20"/>
              </w:rPr>
              <w:t>28 fewer per 1,000</w:t>
            </w:r>
            <w:r>
              <w:rPr>
                <w:sz w:val="20"/>
                <w:szCs w:val="20"/>
              </w:rPr>
              <w:br/>
              <w:t xml:space="preserve">(from 66 more to 113 fewer) </w:t>
            </w:r>
          </w:p>
        </w:tc>
        <w:tc>
          <w:tcPr>
            <w:tcW w:w="1181" w:type="dxa"/>
            <w:tcBorders>
              <w:top w:val="single" w:sz="6" w:space="0" w:color="000000"/>
              <w:left w:val="single" w:sz="6" w:space="0" w:color="000000"/>
              <w:bottom w:val="single" w:sz="6" w:space="0" w:color="000000"/>
              <w:right w:val="single" w:sz="6" w:space="0" w:color="000000"/>
            </w:tcBorders>
          </w:tcPr>
          <w:p w14:paraId="1BB651C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76" w:type="dxa"/>
            <w:tcBorders>
              <w:top w:val="single" w:sz="6" w:space="0" w:color="000000"/>
              <w:left w:val="single" w:sz="6" w:space="0" w:color="000000"/>
              <w:bottom w:val="single" w:sz="6" w:space="0" w:color="000000"/>
              <w:right w:val="single" w:sz="6" w:space="0" w:color="000000"/>
            </w:tcBorders>
          </w:tcPr>
          <w:p w14:paraId="3C6C3AA0" w14:textId="77777777" w:rsidR="002D58E4" w:rsidRDefault="00F721D4">
            <w:pPr>
              <w:rPr>
                <w:sz w:val="20"/>
                <w:szCs w:val="20"/>
              </w:rPr>
            </w:pPr>
            <w:r>
              <w:rPr>
                <w:sz w:val="20"/>
                <w:szCs w:val="20"/>
              </w:rPr>
              <w:t xml:space="preserve">CRITICAL </w:t>
            </w:r>
          </w:p>
        </w:tc>
      </w:tr>
      <w:tr w:rsidR="002D58E4" w14:paraId="093253E8" w14:textId="77777777" w:rsidTr="00E70FE5">
        <w:tc>
          <w:tcPr>
            <w:tcW w:w="1460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C9347B3" w14:textId="77777777" w:rsidR="002D58E4" w:rsidRDefault="00F721D4">
            <w:pPr>
              <w:rPr>
                <w:sz w:val="20"/>
                <w:szCs w:val="20"/>
              </w:rPr>
            </w:pPr>
            <w:r>
              <w:rPr>
                <w:b/>
                <w:sz w:val="20"/>
                <w:szCs w:val="20"/>
              </w:rPr>
              <w:t xml:space="preserve">Patients Experiencing Objective Findings of Lyme </w:t>
            </w:r>
            <w:r>
              <w:rPr>
                <w:sz w:val="20"/>
                <w:szCs w:val="20"/>
              </w:rPr>
              <w:t>(</w:t>
            </w:r>
            <w:r>
              <w:t xml:space="preserve">at </w:t>
            </w:r>
            <w:r>
              <w:rPr>
                <w:sz w:val="20"/>
                <w:szCs w:val="20"/>
              </w:rPr>
              <w:t>6 months and beyond)</w:t>
            </w:r>
          </w:p>
        </w:tc>
      </w:tr>
      <w:tr w:rsidR="002D58E4" w14:paraId="5287A956" w14:textId="77777777" w:rsidTr="00E70FE5">
        <w:tc>
          <w:tcPr>
            <w:tcW w:w="567" w:type="dxa"/>
            <w:tcBorders>
              <w:top w:val="single" w:sz="6" w:space="0" w:color="000000"/>
              <w:left w:val="single" w:sz="6" w:space="0" w:color="000000"/>
              <w:bottom w:val="single" w:sz="6" w:space="0" w:color="000000"/>
              <w:right w:val="single" w:sz="6" w:space="0" w:color="000000"/>
            </w:tcBorders>
          </w:tcPr>
          <w:p w14:paraId="6AC98F65"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518F04A9"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76B2A1AE" w14:textId="77777777" w:rsidR="002D58E4" w:rsidRDefault="00F721D4">
            <w:pPr>
              <w:rPr>
                <w:sz w:val="20"/>
                <w:szCs w:val="20"/>
              </w:rPr>
            </w:pPr>
            <w:r>
              <w:rPr>
                <w:sz w:val="20"/>
                <w:szCs w:val="20"/>
              </w:rPr>
              <w:t>not serious</w:t>
            </w:r>
          </w:p>
        </w:tc>
        <w:tc>
          <w:tcPr>
            <w:tcW w:w="1194" w:type="dxa"/>
            <w:tcBorders>
              <w:top w:val="single" w:sz="6" w:space="0" w:color="000000"/>
              <w:left w:val="single" w:sz="6" w:space="0" w:color="000000"/>
              <w:bottom w:val="single" w:sz="6" w:space="0" w:color="000000"/>
              <w:right w:val="single" w:sz="6" w:space="0" w:color="000000"/>
            </w:tcBorders>
          </w:tcPr>
          <w:p w14:paraId="3DF18BB1" w14:textId="77777777" w:rsidR="002D58E4" w:rsidRDefault="00F721D4">
            <w:pPr>
              <w:rPr>
                <w:sz w:val="20"/>
                <w:szCs w:val="20"/>
              </w:rPr>
            </w:pPr>
            <w:r>
              <w:rPr>
                <w:sz w:val="20"/>
                <w:szCs w:val="20"/>
              </w:rPr>
              <w:t>not serious</w:t>
            </w:r>
          </w:p>
        </w:tc>
        <w:tc>
          <w:tcPr>
            <w:tcW w:w="1071" w:type="dxa"/>
            <w:tcBorders>
              <w:top w:val="single" w:sz="6" w:space="0" w:color="000000"/>
              <w:left w:val="single" w:sz="6" w:space="0" w:color="000000"/>
              <w:bottom w:val="single" w:sz="6" w:space="0" w:color="000000"/>
              <w:right w:val="single" w:sz="6" w:space="0" w:color="000000"/>
            </w:tcBorders>
          </w:tcPr>
          <w:p w14:paraId="7688EC53" w14:textId="77777777" w:rsidR="002D58E4" w:rsidRDefault="00F721D4">
            <w:pPr>
              <w:rPr>
                <w:sz w:val="20"/>
                <w:szCs w:val="20"/>
              </w:rPr>
            </w:pPr>
            <w:r>
              <w:rPr>
                <w:sz w:val="20"/>
                <w:szCs w:val="20"/>
              </w:rPr>
              <w:t xml:space="preserve">serious </w:t>
            </w:r>
            <w:r>
              <w:rPr>
                <w:sz w:val="20"/>
                <w:szCs w:val="20"/>
                <w:vertAlign w:val="superscript"/>
              </w:rPr>
              <w:t>b</w:t>
            </w:r>
          </w:p>
        </w:tc>
        <w:tc>
          <w:tcPr>
            <w:tcW w:w="995" w:type="dxa"/>
            <w:tcBorders>
              <w:top w:val="single" w:sz="6" w:space="0" w:color="000000"/>
              <w:left w:val="single" w:sz="6" w:space="0" w:color="000000"/>
              <w:bottom w:val="single" w:sz="6" w:space="0" w:color="000000"/>
              <w:right w:val="single" w:sz="6" w:space="0" w:color="000000"/>
            </w:tcBorders>
          </w:tcPr>
          <w:p w14:paraId="7DDF22FC" w14:textId="77777777" w:rsidR="002D58E4" w:rsidRDefault="00F721D4">
            <w:pPr>
              <w:rPr>
                <w:sz w:val="20"/>
                <w:szCs w:val="20"/>
              </w:rPr>
            </w:pPr>
            <w:r>
              <w:rPr>
                <w:sz w:val="20"/>
                <w:szCs w:val="20"/>
              </w:rPr>
              <w:t xml:space="preserve">serious </w:t>
            </w:r>
            <w:r>
              <w:rPr>
                <w:sz w:val="20"/>
                <w:szCs w:val="20"/>
                <w:vertAlign w:val="superscript"/>
              </w:rPr>
              <w:t>d</w:t>
            </w:r>
          </w:p>
        </w:tc>
        <w:tc>
          <w:tcPr>
            <w:tcW w:w="770" w:type="dxa"/>
            <w:tcBorders>
              <w:top w:val="single" w:sz="6" w:space="0" w:color="000000"/>
              <w:left w:val="single" w:sz="6" w:space="0" w:color="000000"/>
              <w:bottom w:val="single" w:sz="6" w:space="0" w:color="000000"/>
              <w:right w:val="single" w:sz="6" w:space="0" w:color="000000"/>
            </w:tcBorders>
          </w:tcPr>
          <w:p w14:paraId="744E210B" w14:textId="77777777" w:rsidR="002D58E4" w:rsidRDefault="00F721D4">
            <w:pPr>
              <w:rPr>
                <w:sz w:val="20"/>
                <w:szCs w:val="20"/>
              </w:rPr>
            </w:pPr>
            <w:r>
              <w:rPr>
                <w:sz w:val="20"/>
                <w:szCs w:val="20"/>
              </w:rPr>
              <w:t xml:space="preserve">none </w:t>
            </w:r>
          </w:p>
        </w:tc>
        <w:tc>
          <w:tcPr>
            <w:tcW w:w="1012" w:type="dxa"/>
            <w:tcBorders>
              <w:top w:val="single" w:sz="6" w:space="0" w:color="000000"/>
              <w:left w:val="single" w:sz="6" w:space="0" w:color="000000"/>
              <w:bottom w:val="single" w:sz="6" w:space="0" w:color="000000"/>
              <w:right w:val="single" w:sz="6" w:space="0" w:color="000000"/>
            </w:tcBorders>
          </w:tcPr>
          <w:p w14:paraId="74569ACE" w14:textId="77777777" w:rsidR="002D58E4" w:rsidRDefault="00F721D4">
            <w:pPr>
              <w:jc w:val="center"/>
              <w:rPr>
                <w:sz w:val="20"/>
                <w:szCs w:val="20"/>
              </w:rPr>
            </w:pPr>
            <w:r>
              <w:rPr>
                <w:sz w:val="20"/>
                <w:szCs w:val="20"/>
              </w:rPr>
              <w:t xml:space="preserve">1/68 (1.5%) </w:t>
            </w:r>
          </w:p>
        </w:tc>
        <w:tc>
          <w:tcPr>
            <w:tcW w:w="1066" w:type="dxa"/>
            <w:tcBorders>
              <w:top w:val="single" w:sz="6" w:space="0" w:color="000000"/>
              <w:left w:val="single" w:sz="6" w:space="0" w:color="000000"/>
              <w:bottom w:val="single" w:sz="6" w:space="0" w:color="000000"/>
              <w:right w:val="single" w:sz="6" w:space="0" w:color="000000"/>
            </w:tcBorders>
          </w:tcPr>
          <w:p w14:paraId="397DBBC2" w14:textId="77777777" w:rsidR="002D58E4" w:rsidRDefault="00F721D4">
            <w:pPr>
              <w:jc w:val="center"/>
              <w:rPr>
                <w:sz w:val="20"/>
                <w:szCs w:val="20"/>
              </w:rPr>
            </w:pPr>
            <w:r>
              <w:rPr>
                <w:sz w:val="20"/>
                <w:szCs w:val="20"/>
              </w:rPr>
              <w:t>1/72</w:t>
            </w:r>
          </w:p>
          <w:p w14:paraId="2798E31C" w14:textId="77777777" w:rsidR="002D58E4" w:rsidRDefault="00F721D4">
            <w:pPr>
              <w:jc w:val="center"/>
              <w:rPr>
                <w:sz w:val="20"/>
                <w:szCs w:val="20"/>
              </w:rPr>
            </w:pPr>
            <w:r>
              <w:rPr>
                <w:sz w:val="20"/>
                <w:szCs w:val="20"/>
              </w:rPr>
              <w:t xml:space="preserve"> (1.4%) </w:t>
            </w:r>
          </w:p>
        </w:tc>
        <w:tc>
          <w:tcPr>
            <w:tcW w:w="1404" w:type="dxa"/>
            <w:tcBorders>
              <w:top w:val="single" w:sz="6" w:space="0" w:color="000000"/>
              <w:left w:val="single" w:sz="6" w:space="0" w:color="000000"/>
              <w:bottom w:val="single" w:sz="6" w:space="0" w:color="000000"/>
              <w:right w:val="single" w:sz="6" w:space="0" w:color="000000"/>
            </w:tcBorders>
          </w:tcPr>
          <w:p w14:paraId="2F4D76A6" w14:textId="77777777" w:rsidR="002D58E4" w:rsidRDefault="00F721D4">
            <w:pPr>
              <w:jc w:val="center"/>
              <w:rPr>
                <w:sz w:val="20"/>
                <w:szCs w:val="20"/>
              </w:rPr>
            </w:pPr>
            <w:r>
              <w:rPr>
                <w:sz w:val="20"/>
                <w:szCs w:val="20"/>
              </w:rPr>
              <w:t>RR 1.06</w:t>
            </w:r>
            <w:r>
              <w:rPr>
                <w:sz w:val="20"/>
                <w:szCs w:val="20"/>
              </w:rPr>
              <w:br/>
              <w:t xml:space="preserve">(0.07 to 16.59) </w:t>
            </w:r>
          </w:p>
        </w:tc>
        <w:tc>
          <w:tcPr>
            <w:tcW w:w="2614" w:type="dxa"/>
            <w:tcBorders>
              <w:top w:val="single" w:sz="6" w:space="0" w:color="000000"/>
              <w:left w:val="single" w:sz="6" w:space="0" w:color="000000"/>
              <w:bottom w:val="single" w:sz="6" w:space="0" w:color="000000"/>
              <w:right w:val="single" w:sz="6" w:space="0" w:color="000000"/>
            </w:tcBorders>
          </w:tcPr>
          <w:p w14:paraId="49CD911A" w14:textId="77777777" w:rsidR="002D58E4" w:rsidRDefault="00F721D4">
            <w:pPr>
              <w:jc w:val="center"/>
              <w:rPr>
                <w:sz w:val="20"/>
                <w:szCs w:val="20"/>
              </w:rPr>
            </w:pPr>
            <w:r>
              <w:rPr>
                <w:sz w:val="20"/>
                <w:szCs w:val="20"/>
              </w:rPr>
              <w:t>1 more per 1,000</w:t>
            </w:r>
            <w:r>
              <w:rPr>
                <w:sz w:val="20"/>
                <w:szCs w:val="20"/>
              </w:rPr>
              <w:br/>
              <w:t xml:space="preserve">(from 40 fewer to 39 more) </w:t>
            </w:r>
          </w:p>
        </w:tc>
        <w:tc>
          <w:tcPr>
            <w:tcW w:w="1181" w:type="dxa"/>
            <w:tcBorders>
              <w:top w:val="single" w:sz="6" w:space="0" w:color="000000"/>
              <w:left w:val="single" w:sz="6" w:space="0" w:color="000000"/>
              <w:bottom w:val="single" w:sz="6" w:space="0" w:color="000000"/>
              <w:right w:val="single" w:sz="6" w:space="0" w:color="000000"/>
            </w:tcBorders>
          </w:tcPr>
          <w:p w14:paraId="6E446144"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76" w:type="dxa"/>
            <w:tcBorders>
              <w:top w:val="single" w:sz="6" w:space="0" w:color="000000"/>
              <w:left w:val="single" w:sz="6" w:space="0" w:color="000000"/>
              <w:bottom w:val="single" w:sz="6" w:space="0" w:color="000000"/>
              <w:right w:val="single" w:sz="6" w:space="0" w:color="000000"/>
            </w:tcBorders>
          </w:tcPr>
          <w:p w14:paraId="50547134" w14:textId="77777777" w:rsidR="002D58E4" w:rsidRDefault="00F721D4">
            <w:pPr>
              <w:rPr>
                <w:sz w:val="20"/>
                <w:szCs w:val="20"/>
              </w:rPr>
            </w:pPr>
            <w:r>
              <w:rPr>
                <w:sz w:val="20"/>
                <w:szCs w:val="20"/>
              </w:rPr>
              <w:t xml:space="preserve">CRITICAL </w:t>
            </w:r>
          </w:p>
        </w:tc>
      </w:tr>
      <w:tr w:rsidR="002D58E4" w14:paraId="534CD3F1" w14:textId="77777777" w:rsidTr="00E70FE5">
        <w:tc>
          <w:tcPr>
            <w:tcW w:w="1460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9783317" w14:textId="77777777" w:rsidR="002D58E4" w:rsidRDefault="00F721D4">
            <w:pPr>
              <w:rPr>
                <w:sz w:val="20"/>
                <w:szCs w:val="20"/>
              </w:rPr>
            </w:pPr>
            <w:r>
              <w:rPr>
                <w:b/>
                <w:sz w:val="20"/>
                <w:szCs w:val="20"/>
              </w:rPr>
              <w:t>Patients Withdrawing due to Adverse Events</w:t>
            </w:r>
            <w:r>
              <w:rPr>
                <w:sz w:val="20"/>
                <w:szCs w:val="20"/>
              </w:rPr>
              <w:t xml:space="preserve"> </w:t>
            </w:r>
          </w:p>
        </w:tc>
      </w:tr>
      <w:tr w:rsidR="002D58E4" w14:paraId="0B88F1A2" w14:textId="77777777" w:rsidTr="00E70FE5">
        <w:tc>
          <w:tcPr>
            <w:tcW w:w="567" w:type="dxa"/>
            <w:tcBorders>
              <w:top w:val="single" w:sz="6" w:space="0" w:color="000000"/>
              <w:left w:val="single" w:sz="6" w:space="0" w:color="000000"/>
              <w:bottom w:val="single" w:sz="6" w:space="0" w:color="000000"/>
              <w:right w:val="single" w:sz="6" w:space="0" w:color="000000"/>
            </w:tcBorders>
          </w:tcPr>
          <w:p w14:paraId="456BB58B"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50206C0A"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06DD8D9C" w14:textId="77777777" w:rsidR="002D58E4" w:rsidRDefault="00F721D4">
            <w:pPr>
              <w:rPr>
                <w:sz w:val="20"/>
                <w:szCs w:val="20"/>
              </w:rPr>
            </w:pPr>
            <w:r>
              <w:rPr>
                <w:sz w:val="20"/>
                <w:szCs w:val="20"/>
              </w:rPr>
              <w:t xml:space="preserve">serious </w:t>
            </w:r>
            <w:r>
              <w:rPr>
                <w:sz w:val="20"/>
                <w:szCs w:val="20"/>
                <w:vertAlign w:val="superscript"/>
              </w:rPr>
              <w:t>a</w:t>
            </w:r>
          </w:p>
        </w:tc>
        <w:tc>
          <w:tcPr>
            <w:tcW w:w="1194" w:type="dxa"/>
            <w:tcBorders>
              <w:top w:val="single" w:sz="6" w:space="0" w:color="000000"/>
              <w:left w:val="single" w:sz="6" w:space="0" w:color="000000"/>
              <w:bottom w:val="single" w:sz="6" w:space="0" w:color="000000"/>
              <w:right w:val="single" w:sz="6" w:space="0" w:color="000000"/>
            </w:tcBorders>
          </w:tcPr>
          <w:p w14:paraId="7C8E4234" w14:textId="77777777" w:rsidR="002D58E4" w:rsidRDefault="00F721D4">
            <w:pPr>
              <w:rPr>
                <w:sz w:val="20"/>
                <w:szCs w:val="20"/>
              </w:rPr>
            </w:pPr>
            <w:r>
              <w:rPr>
                <w:sz w:val="20"/>
                <w:szCs w:val="20"/>
              </w:rPr>
              <w:t>not serious</w:t>
            </w:r>
          </w:p>
        </w:tc>
        <w:tc>
          <w:tcPr>
            <w:tcW w:w="1071" w:type="dxa"/>
            <w:tcBorders>
              <w:top w:val="single" w:sz="6" w:space="0" w:color="000000"/>
              <w:left w:val="single" w:sz="6" w:space="0" w:color="000000"/>
              <w:bottom w:val="single" w:sz="6" w:space="0" w:color="000000"/>
              <w:right w:val="single" w:sz="6" w:space="0" w:color="000000"/>
            </w:tcBorders>
          </w:tcPr>
          <w:p w14:paraId="788ECF5B" w14:textId="77777777" w:rsidR="002D58E4" w:rsidRDefault="00F721D4">
            <w:pPr>
              <w:rPr>
                <w:sz w:val="20"/>
                <w:szCs w:val="20"/>
              </w:rPr>
            </w:pPr>
            <w:r>
              <w:rPr>
                <w:sz w:val="20"/>
                <w:szCs w:val="20"/>
              </w:rPr>
              <w:t xml:space="preserve">serious </w:t>
            </w:r>
            <w:r>
              <w:rPr>
                <w:sz w:val="20"/>
                <w:szCs w:val="20"/>
                <w:vertAlign w:val="superscript"/>
              </w:rPr>
              <w:t>b</w:t>
            </w:r>
          </w:p>
        </w:tc>
        <w:tc>
          <w:tcPr>
            <w:tcW w:w="995" w:type="dxa"/>
            <w:tcBorders>
              <w:top w:val="single" w:sz="6" w:space="0" w:color="000000"/>
              <w:left w:val="single" w:sz="6" w:space="0" w:color="000000"/>
              <w:bottom w:val="single" w:sz="6" w:space="0" w:color="000000"/>
              <w:right w:val="single" w:sz="6" w:space="0" w:color="000000"/>
            </w:tcBorders>
          </w:tcPr>
          <w:p w14:paraId="19B5C9AD" w14:textId="77777777" w:rsidR="002D58E4" w:rsidRDefault="00F721D4">
            <w:pPr>
              <w:rPr>
                <w:sz w:val="20"/>
                <w:szCs w:val="20"/>
              </w:rPr>
            </w:pPr>
            <w:r>
              <w:rPr>
                <w:sz w:val="20"/>
                <w:szCs w:val="20"/>
              </w:rPr>
              <w:t xml:space="preserve">serious </w:t>
            </w:r>
            <w:r>
              <w:rPr>
                <w:sz w:val="20"/>
                <w:szCs w:val="20"/>
                <w:vertAlign w:val="superscript"/>
              </w:rPr>
              <w:t>d</w:t>
            </w:r>
          </w:p>
        </w:tc>
        <w:tc>
          <w:tcPr>
            <w:tcW w:w="770" w:type="dxa"/>
            <w:tcBorders>
              <w:top w:val="single" w:sz="6" w:space="0" w:color="000000"/>
              <w:left w:val="single" w:sz="6" w:space="0" w:color="000000"/>
              <w:bottom w:val="single" w:sz="6" w:space="0" w:color="000000"/>
              <w:right w:val="single" w:sz="6" w:space="0" w:color="000000"/>
            </w:tcBorders>
          </w:tcPr>
          <w:p w14:paraId="6E06AFD0" w14:textId="77777777" w:rsidR="002D58E4" w:rsidRDefault="00F721D4">
            <w:pPr>
              <w:rPr>
                <w:sz w:val="20"/>
                <w:szCs w:val="20"/>
              </w:rPr>
            </w:pPr>
            <w:r>
              <w:rPr>
                <w:sz w:val="20"/>
                <w:szCs w:val="20"/>
              </w:rPr>
              <w:t xml:space="preserve">none </w:t>
            </w:r>
          </w:p>
        </w:tc>
        <w:tc>
          <w:tcPr>
            <w:tcW w:w="1012" w:type="dxa"/>
            <w:tcBorders>
              <w:top w:val="single" w:sz="6" w:space="0" w:color="000000"/>
              <w:left w:val="single" w:sz="6" w:space="0" w:color="000000"/>
              <w:bottom w:val="single" w:sz="6" w:space="0" w:color="000000"/>
              <w:right w:val="single" w:sz="6" w:space="0" w:color="000000"/>
            </w:tcBorders>
          </w:tcPr>
          <w:p w14:paraId="1193A0B9" w14:textId="77777777" w:rsidR="002D58E4" w:rsidRDefault="00F721D4">
            <w:pPr>
              <w:jc w:val="center"/>
              <w:rPr>
                <w:sz w:val="20"/>
                <w:szCs w:val="20"/>
              </w:rPr>
            </w:pPr>
            <w:r>
              <w:rPr>
                <w:sz w:val="20"/>
                <w:szCs w:val="20"/>
              </w:rPr>
              <w:t xml:space="preserve">4/68 (5.9%) </w:t>
            </w:r>
          </w:p>
        </w:tc>
        <w:tc>
          <w:tcPr>
            <w:tcW w:w="1066" w:type="dxa"/>
            <w:tcBorders>
              <w:top w:val="single" w:sz="6" w:space="0" w:color="000000"/>
              <w:left w:val="single" w:sz="6" w:space="0" w:color="000000"/>
              <w:bottom w:val="single" w:sz="6" w:space="0" w:color="000000"/>
              <w:right w:val="single" w:sz="6" w:space="0" w:color="000000"/>
            </w:tcBorders>
          </w:tcPr>
          <w:p w14:paraId="67898AE2" w14:textId="77777777" w:rsidR="002D58E4" w:rsidRDefault="00F721D4">
            <w:pPr>
              <w:jc w:val="center"/>
              <w:rPr>
                <w:sz w:val="20"/>
                <w:szCs w:val="20"/>
              </w:rPr>
            </w:pPr>
            <w:r>
              <w:rPr>
                <w:sz w:val="20"/>
                <w:szCs w:val="20"/>
              </w:rPr>
              <w:t>0/72</w:t>
            </w:r>
          </w:p>
          <w:p w14:paraId="22A1EA5A" w14:textId="77777777" w:rsidR="002D58E4" w:rsidRDefault="00F721D4">
            <w:pPr>
              <w:jc w:val="center"/>
              <w:rPr>
                <w:sz w:val="20"/>
                <w:szCs w:val="20"/>
              </w:rPr>
            </w:pPr>
            <w:r>
              <w:rPr>
                <w:sz w:val="20"/>
                <w:szCs w:val="20"/>
              </w:rPr>
              <w:t xml:space="preserve"> (0.0%) </w:t>
            </w:r>
          </w:p>
        </w:tc>
        <w:tc>
          <w:tcPr>
            <w:tcW w:w="1404" w:type="dxa"/>
            <w:tcBorders>
              <w:top w:val="single" w:sz="6" w:space="0" w:color="000000"/>
              <w:left w:val="single" w:sz="6" w:space="0" w:color="000000"/>
              <w:bottom w:val="single" w:sz="6" w:space="0" w:color="000000"/>
              <w:right w:val="single" w:sz="6" w:space="0" w:color="000000"/>
            </w:tcBorders>
          </w:tcPr>
          <w:p w14:paraId="38A847E7" w14:textId="77777777" w:rsidR="002D58E4" w:rsidRDefault="00F721D4">
            <w:pPr>
              <w:jc w:val="center"/>
              <w:rPr>
                <w:sz w:val="20"/>
                <w:szCs w:val="20"/>
              </w:rPr>
            </w:pPr>
            <w:r>
              <w:rPr>
                <w:sz w:val="20"/>
                <w:szCs w:val="20"/>
              </w:rPr>
              <w:t xml:space="preserve">NA </w:t>
            </w:r>
            <w:r>
              <w:rPr>
                <w:sz w:val="20"/>
                <w:szCs w:val="20"/>
                <w:vertAlign w:val="superscript"/>
              </w:rPr>
              <w:t>g</w:t>
            </w:r>
            <w:r>
              <w:rPr>
                <w:sz w:val="20"/>
                <w:szCs w:val="20"/>
              </w:rPr>
              <w:t xml:space="preserve"> </w:t>
            </w:r>
          </w:p>
        </w:tc>
        <w:tc>
          <w:tcPr>
            <w:tcW w:w="2614" w:type="dxa"/>
            <w:tcBorders>
              <w:top w:val="single" w:sz="6" w:space="0" w:color="000000"/>
              <w:left w:val="single" w:sz="6" w:space="0" w:color="000000"/>
              <w:bottom w:val="single" w:sz="6" w:space="0" w:color="000000"/>
              <w:right w:val="single" w:sz="6" w:space="0" w:color="000000"/>
            </w:tcBorders>
          </w:tcPr>
          <w:p w14:paraId="2ADB2E27" w14:textId="77777777" w:rsidR="002D58E4" w:rsidRDefault="00F721D4">
            <w:pPr>
              <w:jc w:val="center"/>
              <w:rPr>
                <w:sz w:val="20"/>
                <w:szCs w:val="20"/>
              </w:rPr>
            </w:pPr>
            <w:r>
              <w:rPr>
                <w:sz w:val="20"/>
                <w:szCs w:val="20"/>
              </w:rPr>
              <w:t>59 more per 1,000</w:t>
            </w:r>
          </w:p>
        </w:tc>
        <w:tc>
          <w:tcPr>
            <w:tcW w:w="1181" w:type="dxa"/>
            <w:tcBorders>
              <w:top w:val="single" w:sz="6" w:space="0" w:color="000000"/>
              <w:left w:val="single" w:sz="6" w:space="0" w:color="000000"/>
              <w:bottom w:val="single" w:sz="6" w:space="0" w:color="000000"/>
              <w:right w:val="single" w:sz="6" w:space="0" w:color="000000"/>
            </w:tcBorders>
          </w:tcPr>
          <w:p w14:paraId="358661B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176" w:type="dxa"/>
            <w:tcBorders>
              <w:top w:val="single" w:sz="6" w:space="0" w:color="000000"/>
              <w:left w:val="single" w:sz="6" w:space="0" w:color="000000"/>
              <w:bottom w:val="single" w:sz="6" w:space="0" w:color="000000"/>
              <w:right w:val="single" w:sz="6" w:space="0" w:color="000000"/>
            </w:tcBorders>
          </w:tcPr>
          <w:p w14:paraId="7F5F7142" w14:textId="77777777" w:rsidR="002D58E4" w:rsidRDefault="00F721D4">
            <w:pPr>
              <w:rPr>
                <w:sz w:val="20"/>
                <w:szCs w:val="20"/>
              </w:rPr>
            </w:pPr>
            <w:r>
              <w:rPr>
                <w:sz w:val="20"/>
                <w:szCs w:val="20"/>
              </w:rPr>
              <w:t xml:space="preserve">CRITICAL </w:t>
            </w:r>
          </w:p>
        </w:tc>
      </w:tr>
      <w:tr w:rsidR="002D58E4" w14:paraId="6B643B34" w14:textId="77777777" w:rsidTr="00E70FE5">
        <w:tc>
          <w:tcPr>
            <w:tcW w:w="1460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FAA82AF" w14:textId="77777777" w:rsidR="002D58E4" w:rsidRDefault="00F721D4">
            <w:pPr>
              <w:rPr>
                <w:sz w:val="20"/>
                <w:szCs w:val="20"/>
              </w:rPr>
            </w:pPr>
            <w:r>
              <w:rPr>
                <w:b/>
                <w:sz w:val="20"/>
                <w:szCs w:val="20"/>
              </w:rPr>
              <w:t>Treatment-related Adverse Events</w:t>
            </w:r>
            <w:r>
              <w:rPr>
                <w:sz w:val="20"/>
                <w:szCs w:val="20"/>
              </w:rPr>
              <w:t xml:space="preserve"> </w:t>
            </w:r>
          </w:p>
        </w:tc>
      </w:tr>
      <w:tr w:rsidR="002D58E4" w14:paraId="4BCC7127" w14:textId="77777777" w:rsidTr="00E70FE5">
        <w:tc>
          <w:tcPr>
            <w:tcW w:w="567" w:type="dxa"/>
            <w:tcBorders>
              <w:top w:val="single" w:sz="6" w:space="0" w:color="000000"/>
              <w:left w:val="single" w:sz="6" w:space="0" w:color="000000"/>
              <w:bottom w:val="single" w:sz="6" w:space="0" w:color="000000"/>
              <w:right w:val="single" w:sz="6" w:space="0" w:color="000000"/>
            </w:tcBorders>
          </w:tcPr>
          <w:p w14:paraId="7F402C9A"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5BFC13BE"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708E4D57" w14:textId="77777777" w:rsidR="002D58E4" w:rsidRDefault="00F721D4">
            <w:pPr>
              <w:rPr>
                <w:sz w:val="20"/>
                <w:szCs w:val="20"/>
              </w:rPr>
            </w:pPr>
            <w:r>
              <w:rPr>
                <w:sz w:val="20"/>
                <w:szCs w:val="20"/>
              </w:rPr>
              <w:t xml:space="preserve">serious </w:t>
            </w:r>
            <w:r>
              <w:rPr>
                <w:sz w:val="20"/>
                <w:szCs w:val="20"/>
                <w:vertAlign w:val="superscript"/>
              </w:rPr>
              <w:t>a</w:t>
            </w:r>
          </w:p>
        </w:tc>
        <w:tc>
          <w:tcPr>
            <w:tcW w:w="1194" w:type="dxa"/>
            <w:tcBorders>
              <w:top w:val="single" w:sz="6" w:space="0" w:color="000000"/>
              <w:left w:val="single" w:sz="6" w:space="0" w:color="000000"/>
              <w:bottom w:val="single" w:sz="6" w:space="0" w:color="000000"/>
              <w:right w:val="single" w:sz="6" w:space="0" w:color="000000"/>
            </w:tcBorders>
          </w:tcPr>
          <w:p w14:paraId="1E3A0356" w14:textId="77777777" w:rsidR="002D58E4" w:rsidRDefault="00F721D4">
            <w:pPr>
              <w:rPr>
                <w:sz w:val="20"/>
                <w:szCs w:val="20"/>
              </w:rPr>
            </w:pPr>
            <w:r>
              <w:rPr>
                <w:sz w:val="20"/>
                <w:szCs w:val="20"/>
              </w:rPr>
              <w:t>not serious</w:t>
            </w:r>
          </w:p>
        </w:tc>
        <w:tc>
          <w:tcPr>
            <w:tcW w:w="1071" w:type="dxa"/>
            <w:tcBorders>
              <w:top w:val="single" w:sz="6" w:space="0" w:color="000000"/>
              <w:left w:val="single" w:sz="6" w:space="0" w:color="000000"/>
              <w:bottom w:val="single" w:sz="6" w:space="0" w:color="000000"/>
              <w:right w:val="single" w:sz="6" w:space="0" w:color="000000"/>
            </w:tcBorders>
          </w:tcPr>
          <w:p w14:paraId="329EB01E" w14:textId="77777777" w:rsidR="002D58E4" w:rsidRDefault="00F721D4">
            <w:pPr>
              <w:rPr>
                <w:sz w:val="20"/>
                <w:szCs w:val="20"/>
              </w:rPr>
            </w:pPr>
            <w:r>
              <w:rPr>
                <w:sz w:val="20"/>
                <w:szCs w:val="20"/>
              </w:rPr>
              <w:t xml:space="preserve">serious </w:t>
            </w:r>
            <w:r>
              <w:rPr>
                <w:sz w:val="20"/>
                <w:szCs w:val="20"/>
                <w:vertAlign w:val="superscript"/>
              </w:rPr>
              <w:t>b</w:t>
            </w:r>
          </w:p>
        </w:tc>
        <w:tc>
          <w:tcPr>
            <w:tcW w:w="995" w:type="dxa"/>
            <w:tcBorders>
              <w:top w:val="single" w:sz="6" w:space="0" w:color="000000"/>
              <w:left w:val="single" w:sz="6" w:space="0" w:color="000000"/>
              <w:bottom w:val="single" w:sz="6" w:space="0" w:color="000000"/>
              <w:right w:val="single" w:sz="6" w:space="0" w:color="000000"/>
            </w:tcBorders>
          </w:tcPr>
          <w:p w14:paraId="0CD73961" w14:textId="77777777" w:rsidR="002D58E4" w:rsidRDefault="00F721D4">
            <w:pPr>
              <w:rPr>
                <w:sz w:val="20"/>
                <w:szCs w:val="20"/>
              </w:rPr>
            </w:pPr>
            <w:r>
              <w:rPr>
                <w:sz w:val="20"/>
                <w:szCs w:val="20"/>
              </w:rPr>
              <w:t xml:space="preserve">serious </w:t>
            </w:r>
            <w:r>
              <w:rPr>
                <w:sz w:val="20"/>
                <w:szCs w:val="20"/>
                <w:vertAlign w:val="superscript"/>
              </w:rPr>
              <w:t>e</w:t>
            </w:r>
          </w:p>
        </w:tc>
        <w:tc>
          <w:tcPr>
            <w:tcW w:w="770" w:type="dxa"/>
            <w:tcBorders>
              <w:top w:val="single" w:sz="6" w:space="0" w:color="000000"/>
              <w:left w:val="single" w:sz="6" w:space="0" w:color="000000"/>
              <w:bottom w:val="single" w:sz="6" w:space="0" w:color="000000"/>
              <w:right w:val="single" w:sz="6" w:space="0" w:color="000000"/>
            </w:tcBorders>
          </w:tcPr>
          <w:p w14:paraId="37C106D8" w14:textId="77777777" w:rsidR="002D58E4" w:rsidRDefault="00F721D4">
            <w:pPr>
              <w:rPr>
                <w:sz w:val="20"/>
                <w:szCs w:val="20"/>
              </w:rPr>
            </w:pPr>
            <w:r>
              <w:rPr>
                <w:sz w:val="20"/>
                <w:szCs w:val="20"/>
              </w:rPr>
              <w:t xml:space="preserve">none </w:t>
            </w:r>
          </w:p>
        </w:tc>
        <w:tc>
          <w:tcPr>
            <w:tcW w:w="1012" w:type="dxa"/>
            <w:tcBorders>
              <w:top w:val="single" w:sz="6" w:space="0" w:color="000000"/>
              <w:left w:val="single" w:sz="6" w:space="0" w:color="000000"/>
              <w:bottom w:val="single" w:sz="6" w:space="0" w:color="000000"/>
              <w:right w:val="single" w:sz="6" w:space="0" w:color="000000"/>
            </w:tcBorders>
          </w:tcPr>
          <w:p w14:paraId="033066B0" w14:textId="77777777" w:rsidR="002D58E4" w:rsidRDefault="00F721D4">
            <w:pPr>
              <w:jc w:val="center"/>
              <w:rPr>
                <w:sz w:val="20"/>
                <w:szCs w:val="20"/>
              </w:rPr>
            </w:pPr>
            <w:r>
              <w:rPr>
                <w:sz w:val="20"/>
                <w:szCs w:val="20"/>
              </w:rPr>
              <w:t xml:space="preserve">39/68 (57.4%) </w:t>
            </w:r>
          </w:p>
        </w:tc>
        <w:tc>
          <w:tcPr>
            <w:tcW w:w="1066" w:type="dxa"/>
            <w:tcBorders>
              <w:top w:val="single" w:sz="6" w:space="0" w:color="000000"/>
              <w:left w:val="single" w:sz="6" w:space="0" w:color="000000"/>
              <w:bottom w:val="single" w:sz="6" w:space="0" w:color="000000"/>
              <w:right w:val="single" w:sz="6" w:space="0" w:color="000000"/>
            </w:tcBorders>
          </w:tcPr>
          <w:p w14:paraId="72E015B9" w14:textId="77777777" w:rsidR="002D58E4" w:rsidRDefault="00F721D4">
            <w:pPr>
              <w:jc w:val="center"/>
              <w:rPr>
                <w:sz w:val="20"/>
                <w:szCs w:val="20"/>
              </w:rPr>
            </w:pPr>
            <w:r>
              <w:rPr>
                <w:sz w:val="20"/>
                <w:szCs w:val="20"/>
              </w:rPr>
              <w:t xml:space="preserve">31/72 (43.1%) </w:t>
            </w:r>
          </w:p>
        </w:tc>
        <w:tc>
          <w:tcPr>
            <w:tcW w:w="1404" w:type="dxa"/>
            <w:tcBorders>
              <w:top w:val="single" w:sz="6" w:space="0" w:color="000000"/>
              <w:left w:val="single" w:sz="6" w:space="0" w:color="000000"/>
              <w:bottom w:val="single" w:sz="6" w:space="0" w:color="000000"/>
              <w:right w:val="single" w:sz="6" w:space="0" w:color="000000"/>
            </w:tcBorders>
          </w:tcPr>
          <w:p w14:paraId="19AE455C" w14:textId="77777777" w:rsidR="002D58E4" w:rsidRDefault="00F721D4">
            <w:pPr>
              <w:jc w:val="center"/>
              <w:rPr>
                <w:sz w:val="20"/>
                <w:szCs w:val="20"/>
              </w:rPr>
            </w:pPr>
            <w:r>
              <w:rPr>
                <w:sz w:val="20"/>
                <w:szCs w:val="20"/>
              </w:rPr>
              <w:t>RR 1.33</w:t>
            </w:r>
            <w:r>
              <w:rPr>
                <w:sz w:val="20"/>
                <w:szCs w:val="20"/>
              </w:rPr>
              <w:br/>
              <w:t xml:space="preserve">(0.95 to 1.86) </w:t>
            </w:r>
          </w:p>
        </w:tc>
        <w:tc>
          <w:tcPr>
            <w:tcW w:w="2614" w:type="dxa"/>
            <w:tcBorders>
              <w:top w:val="single" w:sz="6" w:space="0" w:color="000000"/>
              <w:left w:val="single" w:sz="6" w:space="0" w:color="000000"/>
              <w:bottom w:val="single" w:sz="6" w:space="0" w:color="000000"/>
              <w:right w:val="single" w:sz="6" w:space="0" w:color="000000"/>
            </w:tcBorders>
          </w:tcPr>
          <w:p w14:paraId="4DA79B3C" w14:textId="77777777" w:rsidR="002D58E4" w:rsidRDefault="00F721D4">
            <w:pPr>
              <w:jc w:val="center"/>
              <w:rPr>
                <w:sz w:val="20"/>
                <w:szCs w:val="20"/>
              </w:rPr>
            </w:pPr>
            <w:r>
              <w:rPr>
                <w:sz w:val="20"/>
                <w:szCs w:val="20"/>
              </w:rPr>
              <w:t>142 more per 1,000</w:t>
            </w:r>
            <w:r>
              <w:rPr>
                <w:sz w:val="20"/>
                <w:szCs w:val="20"/>
              </w:rPr>
              <w:br/>
              <w:t xml:space="preserve">(from 22 fewer to 370 more) </w:t>
            </w:r>
          </w:p>
        </w:tc>
        <w:tc>
          <w:tcPr>
            <w:tcW w:w="1181" w:type="dxa"/>
            <w:tcBorders>
              <w:top w:val="single" w:sz="6" w:space="0" w:color="000000"/>
              <w:left w:val="single" w:sz="6" w:space="0" w:color="000000"/>
              <w:bottom w:val="single" w:sz="6" w:space="0" w:color="000000"/>
              <w:right w:val="single" w:sz="6" w:space="0" w:color="000000"/>
            </w:tcBorders>
          </w:tcPr>
          <w:p w14:paraId="31FB2B35"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76" w:type="dxa"/>
            <w:tcBorders>
              <w:top w:val="single" w:sz="6" w:space="0" w:color="000000"/>
              <w:left w:val="single" w:sz="6" w:space="0" w:color="000000"/>
              <w:bottom w:val="single" w:sz="6" w:space="0" w:color="000000"/>
              <w:right w:val="single" w:sz="6" w:space="0" w:color="000000"/>
            </w:tcBorders>
          </w:tcPr>
          <w:p w14:paraId="0BB56500" w14:textId="77777777" w:rsidR="002D58E4" w:rsidRDefault="00F721D4">
            <w:pPr>
              <w:rPr>
                <w:sz w:val="20"/>
                <w:szCs w:val="20"/>
              </w:rPr>
            </w:pPr>
            <w:r>
              <w:rPr>
                <w:sz w:val="20"/>
                <w:szCs w:val="20"/>
              </w:rPr>
              <w:t>IMPORTANT</w:t>
            </w:r>
          </w:p>
          <w:p w14:paraId="48F0752F" w14:textId="77777777" w:rsidR="002D58E4" w:rsidRDefault="002D58E4">
            <w:pPr>
              <w:rPr>
                <w:sz w:val="20"/>
                <w:szCs w:val="20"/>
              </w:rPr>
            </w:pPr>
          </w:p>
        </w:tc>
      </w:tr>
      <w:tr w:rsidR="002D58E4" w14:paraId="79665F32" w14:textId="77777777" w:rsidTr="00E70FE5">
        <w:tc>
          <w:tcPr>
            <w:tcW w:w="1460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D1DC047" w14:textId="77777777" w:rsidR="002D58E4" w:rsidRDefault="00F721D4">
            <w:pPr>
              <w:rPr>
                <w:sz w:val="20"/>
                <w:szCs w:val="20"/>
              </w:rPr>
            </w:pPr>
            <w:r>
              <w:rPr>
                <w:b/>
                <w:sz w:val="20"/>
                <w:szCs w:val="20"/>
              </w:rPr>
              <w:t>Gastrointestinal Adverse Events</w:t>
            </w:r>
            <w:r>
              <w:rPr>
                <w:sz w:val="20"/>
                <w:szCs w:val="20"/>
              </w:rPr>
              <w:t xml:space="preserve"> </w:t>
            </w:r>
          </w:p>
        </w:tc>
      </w:tr>
      <w:tr w:rsidR="002D58E4" w14:paraId="31DB4868" w14:textId="77777777" w:rsidTr="00E70FE5">
        <w:tc>
          <w:tcPr>
            <w:tcW w:w="567" w:type="dxa"/>
            <w:tcBorders>
              <w:top w:val="single" w:sz="6" w:space="0" w:color="000000"/>
              <w:left w:val="single" w:sz="6" w:space="0" w:color="000000"/>
              <w:bottom w:val="single" w:sz="6" w:space="0" w:color="000000"/>
              <w:right w:val="single" w:sz="6" w:space="0" w:color="000000"/>
            </w:tcBorders>
          </w:tcPr>
          <w:p w14:paraId="675F07A9"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43B5BA08"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2DAEA45E" w14:textId="77777777" w:rsidR="002D58E4" w:rsidRDefault="00F721D4">
            <w:pPr>
              <w:rPr>
                <w:sz w:val="20"/>
                <w:szCs w:val="20"/>
              </w:rPr>
            </w:pPr>
            <w:r>
              <w:rPr>
                <w:sz w:val="20"/>
                <w:szCs w:val="20"/>
              </w:rPr>
              <w:t xml:space="preserve">serious </w:t>
            </w:r>
            <w:r>
              <w:rPr>
                <w:sz w:val="20"/>
                <w:szCs w:val="20"/>
                <w:vertAlign w:val="superscript"/>
              </w:rPr>
              <w:t>a</w:t>
            </w:r>
          </w:p>
        </w:tc>
        <w:tc>
          <w:tcPr>
            <w:tcW w:w="1194" w:type="dxa"/>
            <w:tcBorders>
              <w:top w:val="single" w:sz="6" w:space="0" w:color="000000"/>
              <w:left w:val="single" w:sz="6" w:space="0" w:color="000000"/>
              <w:bottom w:val="single" w:sz="6" w:space="0" w:color="000000"/>
              <w:right w:val="single" w:sz="6" w:space="0" w:color="000000"/>
            </w:tcBorders>
          </w:tcPr>
          <w:p w14:paraId="1FE46D5D" w14:textId="77777777" w:rsidR="002D58E4" w:rsidRDefault="00F721D4">
            <w:pPr>
              <w:rPr>
                <w:sz w:val="20"/>
                <w:szCs w:val="20"/>
              </w:rPr>
            </w:pPr>
            <w:r>
              <w:rPr>
                <w:sz w:val="20"/>
                <w:szCs w:val="20"/>
              </w:rPr>
              <w:t>not serious</w:t>
            </w:r>
          </w:p>
        </w:tc>
        <w:tc>
          <w:tcPr>
            <w:tcW w:w="1071" w:type="dxa"/>
            <w:tcBorders>
              <w:top w:val="single" w:sz="6" w:space="0" w:color="000000"/>
              <w:left w:val="single" w:sz="6" w:space="0" w:color="000000"/>
              <w:bottom w:val="single" w:sz="6" w:space="0" w:color="000000"/>
              <w:right w:val="single" w:sz="6" w:space="0" w:color="000000"/>
            </w:tcBorders>
          </w:tcPr>
          <w:p w14:paraId="194439A4" w14:textId="77777777" w:rsidR="002D58E4" w:rsidRDefault="00F721D4">
            <w:pPr>
              <w:rPr>
                <w:sz w:val="20"/>
                <w:szCs w:val="20"/>
              </w:rPr>
            </w:pPr>
            <w:r>
              <w:rPr>
                <w:sz w:val="20"/>
                <w:szCs w:val="20"/>
              </w:rPr>
              <w:t xml:space="preserve">serious </w:t>
            </w:r>
            <w:r>
              <w:rPr>
                <w:sz w:val="20"/>
                <w:szCs w:val="20"/>
                <w:vertAlign w:val="superscript"/>
              </w:rPr>
              <w:t>b</w:t>
            </w:r>
          </w:p>
        </w:tc>
        <w:tc>
          <w:tcPr>
            <w:tcW w:w="995" w:type="dxa"/>
            <w:tcBorders>
              <w:top w:val="single" w:sz="6" w:space="0" w:color="000000"/>
              <w:left w:val="single" w:sz="6" w:space="0" w:color="000000"/>
              <w:bottom w:val="single" w:sz="6" w:space="0" w:color="000000"/>
              <w:right w:val="single" w:sz="6" w:space="0" w:color="000000"/>
            </w:tcBorders>
          </w:tcPr>
          <w:p w14:paraId="69640C89" w14:textId="77777777" w:rsidR="002D58E4" w:rsidRDefault="00F721D4">
            <w:pPr>
              <w:rPr>
                <w:sz w:val="20"/>
                <w:szCs w:val="20"/>
              </w:rPr>
            </w:pPr>
            <w:r>
              <w:rPr>
                <w:sz w:val="20"/>
                <w:szCs w:val="20"/>
              </w:rPr>
              <w:t xml:space="preserve">serious </w:t>
            </w:r>
            <w:r>
              <w:rPr>
                <w:sz w:val="20"/>
                <w:szCs w:val="20"/>
                <w:vertAlign w:val="superscript"/>
              </w:rPr>
              <w:t>f</w:t>
            </w:r>
          </w:p>
        </w:tc>
        <w:tc>
          <w:tcPr>
            <w:tcW w:w="770" w:type="dxa"/>
            <w:tcBorders>
              <w:top w:val="single" w:sz="6" w:space="0" w:color="000000"/>
              <w:left w:val="single" w:sz="6" w:space="0" w:color="000000"/>
              <w:bottom w:val="single" w:sz="6" w:space="0" w:color="000000"/>
              <w:right w:val="single" w:sz="6" w:space="0" w:color="000000"/>
            </w:tcBorders>
          </w:tcPr>
          <w:p w14:paraId="3E41DA4E" w14:textId="77777777" w:rsidR="002D58E4" w:rsidRDefault="00F721D4">
            <w:pPr>
              <w:rPr>
                <w:sz w:val="20"/>
                <w:szCs w:val="20"/>
              </w:rPr>
            </w:pPr>
            <w:r>
              <w:rPr>
                <w:sz w:val="20"/>
                <w:szCs w:val="20"/>
              </w:rPr>
              <w:t xml:space="preserve">none </w:t>
            </w:r>
          </w:p>
        </w:tc>
        <w:tc>
          <w:tcPr>
            <w:tcW w:w="1012" w:type="dxa"/>
            <w:tcBorders>
              <w:top w:val="single" w:sz="6" w:space="0" w:color="000000"/>
              <w:left w:val="single" w:sz="6" w:space="0" w:color="000000"/>
              <w:bottom w:val="single" w:sz="6" w:space="0" w:color="000000"/>
              <w:right w:val="single" w:sz="6" w:space="0" w:color="000000"/>
            </w:tcBorders>
          </w:tcPr>
          <w:p w14:paraId="7F60C9CF" w14:textId="77777777" w:rsidR="002D58E4" w:rsidRDefault="00F721D4">
            <w:pPr>
              <w:jc w:val="center"/>
              <w:rPr>
                <w:sz w:val="20"/>
                <w:szCs w:val="20"/>
              </w:rPr>
            </w:pPr>
            <w:r>
              <w:rPr>
                <w:sz w:val="20"/>
                <w:szCs w:val="20"/>
              </w:rPr>
              <w:t xml:space="preserve">28/68 (41.2%) </w:t>
            </w:r>
          </w:p>
        </w:tc>
        <w:tc>
          <w:tcPr>
            <w:tcW w:w="1066" w:type="dxa"/>
            <w:tcBorders>
              <w:top w:val="single" w:sz="6" w:space="0" w:color="000000"/>
              <w:left w:val="single" w:sz="6" w:space="0" w:color="000000"/>
              <w:bottom w:val="single" w:sz="6" w:space="0" w:color="000000"/>
              <w:right w:val="single" w:sz="6" w:space="0" w:color="000000"/>
            </w:tcBorders>
          </w:tcPr>
          <w:p w14:paraId="3F2B047C" w14:textId="77777777" w:rsidR="002D58E4" w:rsidRDefault="00F721D4">
            <w:pPr>
              <w:jc w:val="center"/>
              <w:rPr>
                <w:sz w:val="20"/>
                <w:szCs w:val="20"/>
              </w:rPr>
            </w:pPr>
            <w:r>
              <w:rPr>
                <w:sz w:val="20"/>
                <w:szCs w:val="20"/>
              </w:rPr>
              <w:t xml:space="preserve">18/72 (25.0%) </w:t>
            </w:r>
          </w:p>
        </w:tc>
        <w:tc>
          <w:tcPr>
            <w:tcW w:w="1404" w:type="dxa"/>
            <w:tcBorders>
              <w:top w:val="single" w:sz="6" w:space="0" w:color="000000"/>
              <w:left w:val="single" w:sz="6" w:space="0" w:color="000000"/>
              <w:bottom w:val="single" w:sz="6" w:space="0" w:color="000000"/>
              <w:right w:val="single" w:sz="6" w:space="0" w:color="000000"/>
            </w:tcBorders>
          </w:tcPr>
          <w:p w14:paraId="7057CD4E" w14:textId="77777777" w:rsidR="002D58E4" w:rsidRDefault="00F721D4">
            <w:pPr>
              <w:jc w:val="center"/>
              <w:rPr>
                <w:b/>
                <w:sz w:val="20"/>
                <w:szCs w:val="20"/>
              </w:rPr>
            </w:pPr>
            <w:r>
              <w:rPr>
                <w:b/>
                <w:sz w:val="20"/>
                <w:szCs w:val="20"/>
              </w:rPr>
              <w:t>RR 1.65</w:t>
            </w:r>
            <w:r>
              <w:rPr>
                <w:b/>
                <w:sz w:val="20"/>
                <w:szCs w:val="20"/>
              </w:rPr>
              <w:br/>
              <w:t xml:space="preserve">(1.01 to 2.69) </w:t>
            </w:r>
          </w:p>
        </w:tc>
        <w:tc>
          <w:tcPr>
            <w:tcW w:w="2614" w:type="dxa"/>
            <w:tcBorders>
              <w:top w:val="single" w:sz="6" w:space="0" w:color="000000"/>
              <w:left w:val="single" w:sz="6" w:space="0" w:color="000000"/>
              <w:bottom w:val="single" w:sz="6" w:space="0" w:color="000000"/>
              <w:right w:val="single" w:sz="6" w:space="0" w:color="000000"/>
            </w:tcBorders>
          </w:tcPr>
          <w:p w14:paraId="736C1561" w14:textId="77777777" w:rsidR="002D58E4" w:rsidRDefault="00F721D4">
            <w:pPr>
              <w:jc w:val="center"/>
              <w:rPr>
                <w:b/>
                <w:sz w:val="20"/>
                <w:szCs w:val="20"/>
              </w:rPr>
            </w:pPr>
            <w:r>
              <w:rPr>
                <w:b/>
                <w:sz w:val="20"/>
                <w:szCs w:val="20"/>
              </w:rPr>
              <w:t>162 more per 1,000</w:t>
            </w:r>
            <w:r>
              <w:rPr>
                <w:b/>
                <w:sz w:val="20"/>
                <w:szCs w:val="20"/>
              </w:rPr>
              <w:br/>
              <w:t xml:space="preserve">(from 3 more to 423 more) </w:t>
            </w:r>
          </w:p>
        </w:tc>
        <w:tc>
          <w:tcPr>
            <w:tcW w:w="1181" w:type="dxa"/>
            <w:tcBorders>
              <w:top w:val="single" w:sz="6" w:space="0" w:color="000000"/>
              <w:left w:val="single" w:sz="6" w:space="0" w:color="000000"/>
              <w:bottom w:val="single" w:sz="6" w:space="0" w:color="000000"/>
              <w:right w:val="single" w:sz="6" w:space="0" w:color="000000"/>
            </w:tcBorders>
          </w:tcPr>
          <w:p w14:paraId="147D27B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176" w:type="dxa"/>
            <w:tcBorders>
              <w:top w:val="single" w:sz="6" w:space="0" w:color="000000"/>
              <w:left w:val="single" w:sz="6" w:space="0" w:color="000000"/>
              <w:bottom w:val="single" w:sz="6" w:space="0" w:color="000000"/>
              <w:right w:val="single" w:sz="6" w:space="0" w:color="000000"/>
            </w:tcBorders>
          </w:tcPr>
          <w:p w14:paraId="206A8775" w14:textId="77777777" w:rsidR="002D58E4" w:rsidRDefault="00F721D4">
            <w:pPr>
              <w:rPr>
                <w:sz w:val="20"/>
                <w:szCs w:val="20"/>
              </w:rPr>
            </w:pPr>
            <w:r>
              <w:rPr>
                <w:sz w:val="20"/>
                <w:szCs w:val="20"/>
              </w:rPr>
              <w:t>IMPORTANT</w:t>
            </w:r>
          </w:p>
        </w:tc>
      </w:tr>
      <w:tr w:rsidR="002D58E4" w14:paraId="69E572DE" w14:textId="77777777" w:rsidTr="00E70FE5">
        <w:tc>
          <w:tcPr>
            <w:tcW w:w="1460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4757A66" w14:textId="77777777" w:rsidR="002D58E4" w:rsidRDefault="00F721D4">
            <w:pPr>
              <w:rPr>
                <w:sz w:val="20"/>
                <w:szCs w:val="20"/>
              </w:rPr>
            </w:pPr>
            <w:r>
              <w:rPr>
                <w:b/>
                <w:sz w:val="20"/>
                <w:szCs w:val="20"/>
              </w:rPr>
              <w:lastRenderedPageBreak/>
              <w:t>Allergic reaction</w:t>
            </w:r>
          </w:p>
        </w:tc>
      </w:tr>
      <w:tr w:rsidR="002D58E4" w14:paraId="5F64697E" w14:textId="77777777" w:rsidTr="00E70FE5">
        <w:tc>
          <w:tcPr>
            <w:tcW w:w="567" w:type="dxa"/>
            <w:tcBorders>
              <w:top w:val="single" w:sz="6" w:space="0" w:color="000000"/>
              <w:left w:val="single" w:sz="6" w:space="0" w:color="000000"/>
              <w:bottom w:val="single" w:sz="6" w:space="0" w:color="000000"/>
              <w:right w:val="single" w:sz="6" w:space="0" w:color="000000"/>
            </w:tcBorders>
          </w:tcPr>
          <w:p w14:paraId="2274AA5B"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70B83AA0"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66ADF699" w14:textId="77777777" w:rsidR="002D58E4" w:rsidRDefault="00F721D4">
            <w:pPr>
              <w:rPr>
                <w:sz w:val="20"/>
                <w:szCs w:val="20"/>
              </w:rPr>
            </w:pPr>
            <w:r>
              <w:rPr>
                <w:sz w:val="20"/>
                <w:szCs w:val="20"/>
              </w:rPr>
              <w:t xml:space="preserve">serious </w:t>
            </w:r>
            <w:r>
              <w:rPr>
                <w:sz w:val="20"/>
                <w:szCs w:val="20"/>
                <w:vertAlign w:val="superscript"/>
              </w:rPr>
              <w:t>a</w:t>
            </w:r>
          </w:p>
        </w:tc>
        <w:tc>
          <w:tcPr>
            <w:tcW w:w="1194" w:type="dxa"/>
            <w:tcBorders>
              <w:top w:val="single" w:sz="6" w:space="0" w:color="000000"/>
              <w:left w:val="single" w:sz="6" w:space="0" w:color="000000"/>
              <w:bottom w:val="single" w:sz="6" w:space="0" w:color="000000"/>
              <w:right w:val="single" w:sz="6" w:space="0" w:color="000000"/>
            </w:tcBorders>
          </w:tcPr>
          <w:p w14:paraId="3ADA29C4" w14:textId="77777777" w:rsidR="002D58E4" w:rsidRDefault="00F721D4">
            <w:pPr>
              <w:rPr>
                <w:sz w:val="20"/>
                <w:szCs w:val="20"/>
              </w:rPr>
            </w:pPr>
            <w:r>
              <w:rPr>
                <w:sz w:val="20"/>
                <w:szCs w:val="20"/>
              </w:rPr>
              <w:t>not serious</w:t>
            </w:r>
          </w:p>
        </w:tc>
        <w:tc>
          <w:tcPr>
            <w:tcW w:w="1071" w:type="dxa"/>
            <w:tcBorders>
              <w:top w:val="single" w:sz="6" w:space="0" w:color="000000"/>
              <w:left w:val="single" w:sz="6" w:space="0" w:color="000000"/>
              <w:bottom w:val="single" w:sz="6" w:space="0" w:color="000000"/>
              <w:right w:val="single" w:sz="6" w:space="0" w:color="000000"/>
            </w:tcBorders>
          </w:tcPr>
          <w:p w14:paraId="5E812A67" w14:textId="77777777" w:rsidR="002D58E4" w:rsidRDefault="00F721D4">
            <w:pPr>
              <w:rPr>
                <w:sz w:val="20"/>
                <w:szCs w:val="20"/>
              </w:rPr>
            </w:pPr>
            <w:r>
              <w:rPr>
                <w:sz w:val="20"/>
                <w:szCs w:val="20"/>
              </w:rPr>
              <w:t xml:space="preserve">serious </w:t>
            </w:r>
            <w:r>
              <w:rPr>
                <w:sz w:val="20"/>
                <w:szCs w:val="20"/>
                <w:vertAlign w:val="superscript"/>
              </w:rPr>
              <w:t>b</w:t>
            </w:r>
          </w:p>
        </w:tc>
        <w:tc>
          <w:tcPr>
            <w:tcW w:w="995" w:type="dxa"/>
            <w:tcBorders>
              <w:top w:val="single" w:sz="6" w:space="0" w:color="000000"/>
              <w:left w:val="single" w:sz="6" w:space="0" w:color="000000"/>
              <w:bottom w:val="single" w:sz="6" w:space="0" w:color="000000"/>
              <w:right w:val="single" w:sz="6" w:space="0" w:color="000000"/>
            </w:tcBorders>
          </w:tcPr>
          <w:p w14:paraId="1C44A855" w14:textId="77777777" w:rsidR="002D58E4" w:rsidRDefault="00F721D4">
            <w:pPr>
              <w:rPr>
                <w:sz w:val="20"/>
                <w:szCs w:val="20"/>
              </w:rPr>
            </w:pPr>
            <w:r>
              <w:rPr>
                <w:sz w:val="20"/>
                <w:szCs w:val="20"/>
              </w:rPr>
              <w:t xml:space="preserve">serious </w:t>
            </w:r>
            <w:r>
              <w:rPr>
                <w:sz w:val="20"/>
                <w:szCs w:val="20"/>
                <w:vertAlign w:val="superscript"/>
              </w:rPr>
              <w:t xml:space="preserve">e </w:t>
            </w:r>
          </w:p>
        </w:tc>
        <w:tc>
          <w:tcPr>
            <w:tcW w:w="770" w:type="dxa"/>
            <w:tcBorders>
              <w:top w:val="single" w:sz="6" w:space="0" w:color="000000"/>
              <w:left w:val="single" w:sz="6" w:space="0" w:color="000000"/>
              <w:bottom w:val="single" w:sz="6" w:space="0" w:color="000000"/>
              <w:right w:val="single" w:sz="6" w:space="0" w:color="000000"/>
            </w:tcBorders>
          </w:tcPr>
          <w:p w14:paraId="10FA8279" w14:textId="77777777" w:rsidR="002D58E4" w:rsidRDefault="00F721D4">
            <w:pPr>
              <w:rPr>
                <w:sz w:val="20"/>
                <w:szCs w:val="20"/>
              </w:rPr>
            </w:pPr>
            <w:r>
              <w:rPr>
                <w:sz w:val="20"/>
                <w:szCs w:val="20"/>
              </w:rPr>
              <w:t xml:space="preserve">none </w:t>
            </w:r>
          </w:p>
        </w:tc>
        <w:tc>
          <w:tcPr>
            <w:tcW w:w="1012" w:type="dxa"/>
            <w:tcBorders>
              <w:top w:val="single" w:sz="6" w:space="0" w:color="000000"/>
              <w:left w:val="single" w:sz="6" w:space="0" w:color="000000"/>
              <w:bottom w:val="single" w:sz="6" w:space="0" w:color="000000"/>
              <w:right w:val="single" w:sz="6" w:space="0" w:color="000000"/>
            </w:tcBorders>
          </w:tcPr>
          <w:p w14:paraId="756C1B45" w14:textId="77777777" w:rsidR="002D58E4" w:rsidRDefault="00F721D4">
            <w:pPr>
              <w:jc w:val="center"/>
              <w:rPr>
                <w:sz w:val="20"/>
                <w:szCs w:val="20"/>
              </w:rPr>
            </w:pPr>
            <w:r>
              <w:rPr>
                <w:sz w:val="20"/>
                <w:szCs w:val="20"/>
              </w:rPr>
              <w:t xml:space="preserve">4/68 (5.9%) </w:t>
            </w:r>
          </w:p>
        </w:tc>
        <w:tc>
          <w:tcPr>
            <w:tcW w:w="1066" w:type="dxa"/>
            <w:tcBorders>
              <w:top w:val="single" w:sz="6" w:space="0" w:color="000000"/>
              <w:left w:val="single" w:sz="6" w:space="0" w:color="000000"/>
              <w:bottom w:val="single" w:sz="6" w:space="0" w:color="000000"/>
              <w:right w:val="single" w:sz="6" w:space="0" w:color="000000"/>
            </w:tcBorders>
          </w:tcPr>
          <w:p w14:paraId="4F5F1290" w14:textId="77777777" w:rsidR="002D58E4" w:rsidRDefault="00F721D4">
            <w:pPr>
              <w:jc w:val="center"/>
              <w:rPr>
                <w:sz w:val="20"/>
                <w:szCs w:val="20"/>
              </w:rPr>
            </w:pPr>
            <w:r>
              <w:rPr>
                <w:sz w:val="20"/>
                <w:szCs w:val="20"/>
              </w:rPr>
              <w:t xml:space="preserve">9/72 (12.5%) </w:t>
            </w:r>
          </w:p>
        </w:tc>
        <w:tc>
          <w:tcPr>
            <w:tcW w:w="1404" w:type="dxa"/>
            <w:tcBorders>
              <w:top w:val="single" w:sz="6" w:space="0" w:color="000000"/>
              <w:left w:val="single" w:sz="6" w:space="0" w:color="000000"/>
              <w:bottom w:val="single" w:sz="6" w:space="0" w:color="000000"/>
              <w:right w:val="single" w:sz="6" w:space="0" w:color="000000"/>
            </w:tcBorders>
          </w:tcPr>
          <w:p w14:paraId="0D57F8C1" w14:textId="77777777" w:rsidR="002D58E4" w:rsidRDefault="00F721D4">
            <w:pPr>
              <w:jc w:val="center"/>
              <w:rPr>
                <w:sz w:val="20"/>
                <w:szCs w:val="20"/>
              </w:rPr>
            </w:pPr>
            <w:r>
              <w:rPr>
                <w:sz w:val="20"/>
                <w:szCs w:val="20"/>
              </w:rPr>
              <w:t>RR 0.47</w:t>
            </w:r>
            <w:r>
              <w:rPr>
                <w:sz w:val="20"/>
                <w:szCs w:val="20"/>
              </w:rPr>
              <w:br/>
              <w:t xml:space="preserve">(0.15 to 1.46) </w:t>
            </w:r>
          </w:p>
        </w:tc>
        <w:tc>
          <w:tcPr>
            <w:tcW w:w="2614" w:type="dxa"/>
            <w:tcBorders>
              <w:top w:val="single" w:sz="6" w:space="0" w:color="000000"/>
              <w:left w:val="single" w:sz="6" w:space="0" w:color="000000"/>
              <w:bottom w:val="single" w:sz="6" w:space="0" w:color="000000"/>
              <w:right w:val="single" w:sz="6" w:space="0" w:color="000000"/>
            </w:tcBorders>
          </w:tcPr>
          <w:p w14:paraId="02EEC0CF" w14:textId="77777777" w:rsidR="002D58E4" w:rsidRDefault="00F721D4">
            <w:pPr>
              <w:jc w:val="center"/>
              <w:rPr>
                <w:sz w:val="20"/>
                <w:szCs w:val="20"/>
              </w:rPr>
            </w:pPr>
            <w:r>
              <w:rPr>
                <w:sz w:val="20"/>
                <w:szCs w:val="20"/>
              </w:rPr>
              <w:t>66 fewer per 1,000</w:t>
            </w:r>
            <w:r>
              <w:rPr>
                <w:sz w:val="20"/>
                <w:szCs w:val="20"/>
              </w:rPr>
              <w:br/>
              <w:t xml:space="preserve">(from 57 more to 106 fewer) </w:t>
            </w:r>
          </w:p>
        </w:tc>
        <w:tc>
          <w:tcPr>
            <w:tcW w:w="1181" w:type="dxa"/>
            <w:tcBorders>
              <w:top w:val="single" w:sz="6" w:space="0" w:color="000000"/>
              <w:left w:val="single" w:sz="6" w:space="0" w:color="000000"/>
              <w:bottom w:val="single" w:sz="6" w:space="0" w:color="000000"/>
              <w:right w:val="single" w:sz="6" w:space="0" w:color="000000"/>
            </w:tcBorders>
          </w:tcPr>
          <w:p w14:paraId="1C677D9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76" w:type="dxa"/>
            <w:tcBorders>
              <w:top w:val="single" w:sz="6" w:space="0" w:color="000000"/>
              <w:left w:val="single" w:sz="6" w:space="0" w:color="000000"/>
              <w:bottom w:val="single" w:sz="6" w:space="0" w:color="000000"/>
              <w:right w:val="single" w:sz="6" w:space="0" w:color="000000"/>
            </w:tcBorders>
          </w:tcPr>
          <w:p w14:paraId="494B0DFC" w14:textId="77777777" w:rsidR="002D58E4" w:rsidRDefault="00F721D4">
            <w:pPr>
              <w:rPr>
                <w:sz w:val="20"/>
                <w:szCs w:val="20"/>
              </w:rPr>
            </w:pPr>
            <w:r>
              <w:rPr>
                <w:sz w:val="20"/>
                <w:szCs w:val="20"/>
              </w:rPr>
              <w:t>IMPORTANT</w:t>
            </w:r>
          </w:p>
        </w:tc>
      </w:tr>
      <w:tr w:rsidR="002D58E4" w14:paraId="0A63F1BA" w14:textId="77777777" w:rsidTr="00E70FE5">
        <w:tc>
          <w:tcPr>
            <w:tcW w:w="1460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A2FE4A9" w14:textId="77777777" w:rsidR="002D58E4" w:rsidRDefault="00F721D4">
            <w:pPr>
              <w:rPr>
                <w:sz w:val="20"/>
                <w:szCs w:val="20"/>
              </w:rPr>
            </w:pPr>
            <w:r>
              <w:rPr>
                <w:b/>
                <w:sz w:val="20"/>
                <w:szCs w:val="20"/>
              </w:rPr>
              <w:t>Diarrhea</w:t>
            </w:r>
            <w:r>
              <w:rPr>
                <w:sz w:val="20"/>
                <w:szCs w:val="20"/>
              </w:rPr>
              <w:t xml:space="preserve"> </w:t>
            </w:r>
          </w:p>
        </w:tc>
      </w:tr>
      <w:tr w:rsidR="002D58E4" w14:paraId="6A082E73" w14:textId="77777777" w:rsidTr="00E70FE5">
        <w:tc>
          <w:tcPr>
            <w:tcW w:w="567" w:type="dxa"/>
            <w:tcBorders>
              <w:top w:val="single" w:sz="6" w:space="0" w:color="000000"/>
              <w:left w:val="single" w:sz="6" w:space="0" w:color="000000"/>
              <w:bottom w:val="single" w:sz="6" w:space="0" w:color="000000"/>
              <w:right w:val="single" w:sz="6" w:space="0" w:color="000000"/>
            </w:tcBorders>
          </w:tcPr>
          <w:p w14:paraId="373D273D"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4017319E"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4D747CC" w14:textId="77777777" w:rsidR="002D58E4" w:rsidRDefault="00F721D4">
            <w:pPr>
              <w:rPr>
                <w:sz w:val="20"/>
                <w:szCs w:val="20"/>
              </w:rPr>
            </w:pPr>
            <w:r>
              <w:rPr>
                <w:sz w:val="20"/>
                <w:szCs w:val="20"/>
              </w:rPr>
              <w:t xml:space="preserve">serious </w:t>
            </w:r>
            <w:r>
              <w:rPr>
                <w:sz w:val="20"/>
                <w:szCs w:val="20"/>
                <w:vertAlign w:val="superscript"/>
              </w:rPr>
              <w:t>a</w:t>
            </w:r>
          </w:p>
        </w:tc>
        <w:tc>
          <w:tcPr>
            <w:tcW w:w="1194" w:type="dxa"/>
            <w:tcBorders>
              <w:top w:val="single" w:sz="6" w:space="0" w:color="000000"/>
              <w:left w:val="single" w:sz="6" w:space="0" w:color="000000"/>
              <w:bottom w:val="single" w:sz="6" w:space="0" w:color="000000"/>
              <w:right w:val="single" w:sz="6" w:space="0" w:color="000000"/>
            </w:tcBorders>
          </w:tcPr>
          <w:p w14:paraId="61EA4F4C" w14:textId="77777777" w:rsidR="002D58E4" w:rsidRDefault="00F721D4">
            <w:pPr>
              <w:rPr>
                <w:sz w:val="20"/>
                <w:szCs w:val="20"/>
              </w:rPr>
            </w:pPr>
            <w:r>
              <w:rPr>
                <w:sz w:val="20"/>
                <w:szCs w:val="20"/>
              </w:rPr>
              <w:t>not serious</w:t>
            </w:r>
          </w:p>
        </w:tc>
        <w:tc>
          <w:tcPr>
            <w:tcW w:w="1071" w:type="dxa"/>
            <w:tcBorders>
              <w:top w:val="single" w:sz="6" w:space="0" w:color="000000"/>
              <w:left w:val="single" w:sz="6" w:space="0" w:color="000000"/>
              <w:bottom w:val="single" w:sz="6" w:space="0" w:color="000000"/>
              <w:right w:val="single" w:sz="6" w:space="0" w:color="000000"/>
            </w:tcBorders>
          </w:tcPr>
          <w:p w14:paraId="74F10FEA" w14:textId="77777777" w:rsidR="002D58E4" w:rsidRDefault="00F721D4">
            <w:pPr>
              <w:rPr>
                <w:sz w:val="20"/>
                <w:szCs w:val="20"/>
              </w:rPr>
            </w:pPr>
            <w:r>
              <w:rPr>
                <w:sz w:val="20"/>
                <w:szCs w:val="20"/>
              </w:rPr>
              <w:t xml:space="preserve">serious </w:t>
            </w:r>
            <w:r>
              <w:rPr>
                <w:sz w:val="20"/>
                <w:szCs w:val="20"/>
                <w:vertAlign w:val="superscript"/>
              </w:rPr>
              <w:t>b</w:t>
            </w:r>
          </w:p>
        </w:tc>
        <w:tc>
          <w:tcPr>
            <w:tcW w:w="995" w:type="dxa"/>
            <w:tcBorders>
              <w:top w:val="single" w:sz="6" w:space="0" w:color="000000"/>
              <w:left w:val="single" w:sz="6" w:space="0" w:color="000000"/>
              <w:bottom w:val="single" w:sz="6" w:space="0" w:color="000000"/>
              <w:right w:val="single" w:sz="6" w:space="0" w:color="000000"/>
            </w:tcBorders>
          </w:tcPr>
          <w:p w14:paraId="5EFC8721" w14:textId="77777777" w:rsidR="002D58E4" w:rsidRDefault="00F721D4">
            <w:pPr>
              <w:rPr>
                <w:sz w:val="20"/>
                <w:szCs w:val="20"/>
              </w:rPr>
            </w:pPr>
            <w:r>
              <w:rPr>
                <w:sz w:val="20"/>
                <w:szCs w:val="20"/>
              </w:rPr>
              <w:t xml:space="preserve">serious </w:t>
            </w:r>
            <w:r>
              <w:rPr>
                <w:sz w:val="20"/>
                <w:szCs w:val="20"/>
                <w:vertAlign w:val="superscript"/>
              </w:rPr>
              <w:t>f</w:t>
            </w:r>
          </w:p>
        </w:tc>
        <w:tc>
          <w:tcPr>
            <w:tcW w:w="770" w:type="dxa"/>
            <w:tcBorders>
              <w:top w:val="single" w:sz="6" w:space="0" w:color="000000"/>
              <w:left w:val="single" w:sz="6" w:space="0" w:color="000000"/>
              <w:bottom w:val="single" w:sz="6" w:space="0" w:color="000000"/>
              <w:right w:val="single" w:sz="6" w:space="0" w:color="000000"/>
            </w:tcBorders>
          </w:tcPr>
          <w:p w14:paraId="18D8F866" w14:textId="77777777" w:rsidR="002D58E4" w:rsidRDefault="00F721D4">
            <w:pPr>
              <w:rPr>
                <w:sz w:val="20"/>
                <w:szCs w:val="20"/>
              </w:rPr>
            </w:pPr>
            <w:r>
              <w:rPr>
                <w:sz w:val="20"/>
                <w:szCs w:val="20"/>
              </w:rPr>
              <w:t>none</w:t>
            </w:r>
          </w:p>
        </w:tc>
        <w:tc>
          <w:tcPr>
            <w:tcW w:w="1012" w:type="dxa"/>
            <w:tcBorders>
              <w:top w:val="single" w:sz="6" w:space="0" w:color="000000"/>
              <w:left w:val="single" w:sz="6" w:space="0" w:color="000000"/>
              <w:bottom w:val="single" w:sz="6" w:space="0" w:color="000000"/>
              <w:right w:val="single" w:sz="6" w:space="0" w:color="000000"/>
            </w:tcBorders>
          </w:tcPr>
          <w:p w14:paraId="56BE1AC0" w14:textId="77777777" w:rsidR="002D58E4" w:rsidRDefault="00F721D4">
            <w:pPr>
              <w:jc w:val="center"/>
              <w:rPr>
                <w:sz w:val="20"/>
                <w:szCs w:val="20"/>
              </w:rPr>
            </w:pPr>
            <w:r>
              <w:rPr>
                <w:sz w:val="20"/>
                <w:szCs w:val="20"/>
              </w:rPr>
              <w:t xml:space="preserve">25/68 (36.8%) </w:t>
            </w:r>
          </w:p>
        </w:tc>
        <w:tc>
          <w:tcPr>
            <w:tcW w:w="1066" w:type="dxa"/>
            <w:tcBorders>
              <w:top w:val="single" w:sz="6" w:space="0" w:color="000000"/>
              <w:left w:val="single" w:sz="6" w:space="0" w:color="000000"/>
              <w:bottom w:val="single" w:sz="6" w:space="0" w:color="000000"/>
              <w:right w:val="single" w:sz="6" w:space="0" w:color="000000"/>
            </w:tcBorders>
          </w:tcPr>
          <w:p w14:paraId="56150C58" w14:textId="77777777" w:rsidR="002D58E4" w:rsidRDefault="00F721D4">
            <w:pPr>
              <w:jc w:val="center"/>
              <w:rPr>
                <w:sz w:val="20"/>
                <w:szCs w:val="20"/>
              </w:rPr>
            </w:pPr>
            <w:r>
              <w:rPr>
                <w:sz w:val="20"/>
                <w:szCs w:val="20"/>
              </w:rPr>
              <w:t xml:space="preserve">4/72 </w:t>
            </w:r>
          </w:p>
          <w:p w14:paraId="00876896" w14:textId="77777777" w:rsidR="002D58E4" w:rsidRDefault="00F721D4">
            <w:pPr>
              <w:jc w:val="center"/>
              <w:rPr>
                <w:sz w:val="20"/>
                <w:szCs w:val="20"/>
              </w:rPr>
            </w:pPr>
            <w:r>
              <w:rPr>
                <w:sz w:val="20"/>
                <w:szCs w:val="20"/>
              </w:rPr>
              <w:t xml:space="preserve">(5.6%) </w:t>
            </w:r>
          </w:p>
        </w:tc>
        <w:tc>
          <w:tcPr>
            <w:tcW w:w="1404" w:type="dxa"/>
            <w:tcBorders>
              <w:top w:val="single" w:sz="6" w:space="0" w:color="000000"/>
              <w:left w:val="single" w:sz="6" w:space="0" w:color="000000"/>
              <w:bottom w:val="single" w:sz="6" w:space="0" w:color="000000"/>
              <w:right w:val="single" w:sz="6" w:space="0" w:color="000000"/>
            </w:tcBorders>
          </w:tcPr>
          <w:p w14:paraId="65C3E316" w14:textId="77777777" w:rsidR="002D58E4" w:rsidRDefault="00F721D4">
            <w:pPr>
              <w:jc w:val="center"/>
              <w:rPr>
                <w:b/>
                <w:sz w:val="20"/>
                <w:szCs w:val="20"/>
              </w:rPr>
            </w:pPr>
            <w:r>
              <w:rPr>
                <w:b/>
                <w:sz w:val="20"/>
                <w:szCs w:val="20"/>
              </w:rPr>
              <w:t>RR 6.62</w:t>
            </w:r>
            <w:r>
              <w:rPr>
                <w:b/>
                <w:sz w:val="20"/>
                <w:szCs w:val="20"/>
              </w:rPr>
              <w:br/>
              <w:t xml:space="preserve">(2.43 to 18.03) </w:t>
            </w:r>
          </w:p>
        </w:tc>
        <w:tc>
          <w:tcPr>
            <w:tcW w:w="2614" w:type="dxa"/>
            <w:tcBorders>
              <w:top w:val="single" w:sz="6" w:space="0" w:color="000000"/>
              <w:left w:val="single" w:sz="6" w:space="0" w:color="000000"/>
              <w:bottom w:val="single" w:sz="6" w:space="0" w:color="000000"/>
              <w:right w:val="single" w:sz="6" w:space="0" w:color="000000"/>
            </w:tcBorders>
          </w:tcPr>
          <w:p w14:paraId="26EB9D5C" w14:textId="77777777" w:rsidR="002D58E4" w:rsidRDefault="00F721D4">
            <w:pPr>
              <w:jc w:val="center"/>
              <w:rPr>
                <w:b/>
                <w:sz w:val="20"/>
                <w:szCs w:val="20"/>
              </w:rPr>
            </w:pPr>
            <w:r>
              <w:rPr>
                <w:b/>
                <w:sz w:val="20"/>
                <w:szCs w:val="20"/>
              </w:rPr>
              <w:t>312 more per 1,000</w:t>
            </w:r>
            <w:r>
              <w:rPr>
                <w:b/>
                <w:sz w:val="20"/>
                <w:szCs w:val="20"/>
              </w:rPr>
              <w:br/>
              <w:t xml:space="preserve">(from 79 more to 946 more) </w:t>
            </w:r>
          </w:p>
        </w:tc>
        <w:tc>
          <w:tcPr>
            <w:tcW w:w="1181" w:type="dxa"/>
            <w:tcBorders>
              <w:top w:val="single" w:sz="6" w:space="0" w:color="000000"/>
              <w:left w:val="single" w:sz="6" w:space="0" w:color="000000"/>
              <w:bottom w:val="single" w:sz="6" w:space="0" w:color="000000"/>
              <w:right w:val="single" w:sz="6" w:space="0" w:color="000000"/>
            </w:tcBorders>
          </w:tcPr>
          <w:p w14:paraId="3800939C" w14:textId="77777777" w:rsidR="002D58E4" w:rsidRDefault="00F721D4">
            <w:pPr>
              <w:jc w:val="center"/>
              <w:rPr>
                <w:sz w:val="20"/>
                <w:szCs w:val="20"/>
                <w:highlight w:val="yellow"/>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76" w:type="dxa"/>
            <w:tcBorders>
              <w:top w:val="single" w:sz="6" w:space="0" w:color="000000"/>
              <w:left w:val="single" w:sz="6" w:space="0" w:color="000000"/>
              <w:bottom w:val="single" w:sz="6" w:space="0" w:color="000000"/>
              <w:right w:val="single" w:sz="6" w:space="0" w:color="000000"/>
            </w:tcBorders>
          </w:tcPr>
          <w:p w14:paraId="092BA290" w14:textId="77777777" w:rsidR="002D58E4" w:rsidRDefault="00F721D4">
            <w:pPr>
              <w:rPr>
                <w:sz w:val="20"/>
                <w:szCs w:val="20"/>
              </w:rPr>
            </w:pPr>
            <w:r>
              <w:rPr>
                <w:sz w:val="20"/>
                <w:szCs w:val="20"/>
              </w:rPr>
              <w:t>IMPORTANT</w:t>
            </w:r>
          </w:p>
        </w:tc>
      </w:tr>
    </w:tbl>
    <w:p w14:paraId="56EADE33" w14:textId="77777777" w:rsidR="002D58E4" w:rsidRDefault="00F721D4">
      <w:pPr>
        <w:spacing w:before="100" w:after="280"/>
        <w:rPr>
          <w:sz w:val="18"/>
          <w:szCs w:val="18"/>
        </w:rPr>
      </w:pPr>
      <w:r>
        <w:rPr>
          <w:b/>
          <w:sz w:val="18"/>
          <w:szCs w:val="18"/>
        </w:rPr>
        <w:t>CI:</w:t>
      </w:r>
      <w:r>
        <w:rPr>
          <w:sz w:val="18"/>
          <w:szCs w:val="18"/>
        </w:rPr>
        <w:t xml:space="preserve"> Confidence interval; </w:t>
      </w:r>
      <w:r>
        <w:rPr>
          <w:b/>
          <w:sz w:val="18"/>
          <w:szCs w:val="18"/>
        </w:rPr>
        <w:t>RR:</w:t>
      </w:r>
      <w:r>
        <w:rPr>
          <w:sz w:val="18"/>
          <w:szCs w:val="18"/>
        </w:rPr>
        <w:t xml:space="preserve"> Risk ratio</w:t>
      </w:r>
    </w:p>
    <w:p w14:paraId="6C6BBDD9" w14:textId="77777777" w:rsidR="00E579D1" w:rsidRDefault="00E579D1" w:rsidP="00E579D1">
      <w:pPr>
        <w:spacing w:before="280" w:after="0"/>
        <w:rPr>
          <w:b/>
          <w:color w:val="000000"/>
          <w:sz w:val="24"/>
          <w:szCs w:val="24"/>
        </w:rPr>
      </w:pPr>
      <w:r>
        <w:rPr>
          <w:b/>
          <w:color w:val="000000"/>
          <w:sz w:val="24"/>
          <w:szCs w:val="24"/>
        </w:rPr>
        <w:t>Explanations</w:t>
      </w:r>
    </w:p>
    <w:p w14:paraId="0B5B1E00" w14:textId="77777777" w:rsidR="002D58E4" w:rsidRDefault="00F721D4">
      <w:pPr>
        <w:spacing w:after="0"/>
        <w:rPr>
          <w:sz w:val="18"/>
          <w:szCs w:val="18"/>
        </w:rPr>
      </w:pPr>
      <w:r>
        <w:rPr>
          <w:sz w:val="18"/>
          <w:szCs w:val="18"/>
        </w:rPr>
        <w:t>a. Trial received a high risk of bias rating due to unblinded design (self-reported outcomes).</w:t>
      </w:r>
    </w:p>
    <w:p w14:paraId="419AA6D0" w14:textId="77777777" w:rsidR="002D58E4" w:rsidRDefault="00F721D4">
      <w:pPr>
        <w:spacing w:after="0"/>
        <w:rPr>
          <w:sz w:val="18"/>
          <w:szCs w:val="18"/>
        </w:rPr>
      </w:pPr>
      <w:r>
        <w:rPr>
          <w:sz w:val="18"/>
          <w:szCs w:val="18"/>
        </w:rPr>
        <w:t xml:space="preserve">b. Patients in this trial have evidence of disseminated Lyme disease at baseline rather than localized Lyme disease. </w:t>
      </w:r>
    </w:p>
    <w:p w14:paraId="64FE57F8" w14:textId="77777777" w:rsidR="002D58E4" w:rsidRDefault="00F721D4">
      <w:pPr>
        <w:spacing w:after="0"/>
        <w:rPr>
          <w:sz w:val="18"/>
          <w:szCs w:val="18"/>
        </w:rPr>
      </w:pPr>
      <w:r>
        <w:rPr>
          <w:sz w:val="18"/>
          <w:szCs w:val="18"/>
        </w:rPr>
        <w:t xml:space="preserve">c. Based on an inferiority margin of 15%, not rated down for imprecision.  </w:t>
      </w:r>
    </w:p>
    <w:p w14:paraId="0C81C034" w14:textId="77777777" w:rsidR="002D58E4" w:rsidRDefault="00F721D4">
      <w:pPr>
        <w:spacing w:after="0"/>
        <w:rPr>
          <w:sz w:val="18"/>
          <w:szCs w:val="18"/>
        </w:rPr>
      </w:pPr>
      <w:r>
        <w:rPr>
          <w:sz w:val="18"/>
          <w:szCs w:val="18"/>
        </w:rPr>
        <w:t xml:space="preserve">d. Due to low event rate. </w:t>
      </w:r>
    </w:p>
    <w:p w14:paraId="68B74F13" w14:textId="77777777" w:rsidR="002D58E4" w:rsidRDefault="00F721D4">
      <w:pPr>
        <w:spacing w:after="0"/>
        <w:rPr>
          <w:sz w:val="18"/>
          <w:szCs w:val="18"/>
        </w:rPr>
      </w:pPr>
      <w:r>
        <w:rPr>
          <w:sz w:val="18"/>
          <w:szCs w:val="18"/>
        </w:rPr>
        <w:t xml:space="preserve">e. 95% CI crossing the null value. </w:t>
      </w:r>
    </w:p>
    <w:p w14:paraId="5B6170FB" w14:textId="77777777" w:rsidR="002D58E4" w:rsidRDefault="00F721D4">
      <w:pPr>
        <w:spacing w:after="0"/>
        <w:rPr>
          <w:color w:val="000000"/>
          <w:sz w:val="18"/>
          <w:szCs w:val="18"/>
        </w:rPr>
      </w:pPr>
      <w:r>
        <w:rPr>
          <w:sz w:val="18"/>
          <w:szCs w:val="18"/>
        </w:rPr>
        <w:t xml:space="preserve">f. </w:t>
      </w:r>
      <w:r>
        <w:rPr>
          <w:color w:val="000000"/>
          <w:sz w:val="18"/>
          <w:szCs w:val="18"/>
        </w:rPr>
        <w:t>Fragility due not small sample size (OIS criteria not met).</w:t>
      </w:r>
    </w:p>
    <w:p w14:paraId="4438284C" w14:textId="77777777" w:rsidR="002D58E4" w:rsidRDefault="00F721D4">
      <w:pPr>
        <w:spacing w:after="0" w:line="259" w:lineRule="auto"/>
        <w:rPr>
          <w:sz w:val="18"/>
          <w:szCs w:val="18"/>
        </w:rPr>
      </w:pPr>
      <w:r>
        <w:rPr>
          <w:sz w:val="18"/>
          <w:szCs w:val="18"/>
        </w:rPr>
        <w:t xml:space="preserve">g. </w:t>
      </w:r>
      <w:r>
        <w:rPr>
          <w:color w:val="000000"/>
          <w:sz w:val="18"/>
          <w:szCs w:val="18"/>
        </w:rPr>
        <w:t>Due to zero events in one study arm, an absolute risk reduction was not estimable.</w:t>
      </w:r>
    </w:p>
    <w:p w14:paraId="396EC0A7" w14:textId="77777777" w:rsidR="002D58E4" w:rsidRDefault="00F721D4">
      <w:r>
        <w:br w:type="page"/>
      </w:r>
    </w:p>
    <w:tbl>
      <w:tblPr>
        <w:tblStyle w:val="afc"/>
        <w:tblW w:w="14459" w:type="dxa"/>
        <w:tblLayout w:type="fixed"/>
        <w:tblLook w:val="0600" w:firstRow="0" w:lastRow="0" w:firstColumn="0" w:lastColumn="0" w:noHBand="1" w:noVBand="1"/>
      </w:tblPr>
      <w:tblGrid>
        <w:gridCol w:w="1020"/>
        <w:gridCol w:w="900"/>
        <w:gridCol w:w="630"/>
        <w:gridCol w:w="3971"/>
        <w:gridCol w:w="3827"/>
        <w:gridCol w:w="4111"/>
      </w:tblGrid>
      <w:tr w:rsidR="002D58E4" w14:paraId="2F827A75" w14:textId="77777777" w:rsidTr="00E70FE5">
        <w:trPr>
          <w:trHeight w:val="500"/>
        </w:trPr>
        <w:tc>
          <w:tcPr>
            <w:tcW w:w="14459" w:type="dxa"/>
            <w:gridSpan w:val="6"/>
            <w:tcBorders>
              <w:bottom w:val="single" w:sz="6" w:space="0" w:color="AEAEAE"/>
            </w:tcBorders>
            <w:shd w:val="clear" w:color="auto" w:fill="auto"/>
            <w:tcMar>
              <w:top w:w="15" w:type="dxa"/>
              <w:left w:w="30" w:type="dxa"/>
              <w:bottom w:w="0" w:type="dxa"/>
              <w:right w:w="30" w:type="dxa"/>
            </w:tcMar>
          </w:tcPr>
          <w:p w14:paraId="68E1A6B9" w14:textId="77777777" w:rsidR="002D58E4" w:rsidRDefault="002D58E4">
            <w:pPr>
              <w:rPr>
                <w:b/>
                <w:color w:val="000000"/>
                <w:sz w:val="18"/>
                <w:szCs w:val="18"/>
              </w:rPr>
            </w:pPr>
          </w:p>
          <w:p w14:paraId="33C6022A" w14:textId="4CDF1A05" w:rsidR="002D58E4" w:rsidRDefault="00F721D4">
            <w:pPr>
              <w:rPr>
                <w:b/>
              </w:rPr>
            </w:pPr>
            <w:r>
              <w:rPr>
                <w:b/>
                <w:sz w:val="32"/>
                <w:szCs w:val="32"/>
              </w:rPr>
              <w:t>VIII. Should patients with</w:t>
            </w:r>
            <w:r w:rsidR="008D091E">
              <w:rPr>
                <w:b/>
                <w:sz w:val="32"/>
                <w:szCs w:val="32"/>
              </w:rPr>
              <w:t xml:space="preserve"> the</w:t>
            </w:r>
            <w:r>
              <w:rPr>
                <w:b/>
                <w:sz w:val="32"/>
                <w:szCs w:val="32"/>
              </w:rPr>
              <w:t xml:space="preserve"> Southern Tick-Associated Rash Illness (STARI) be treated with antibiotics?</w:t>
            </w:r>
            <w:r>
              <w:rPr>
                <w:b/>
              </w:rPr>
              <w:t xml:space="preserve"> </w:t>
            </w:r>
          </w:p>
          <w:p w14:paraId="4E4DE1DE" w14:textId="77777777" w:rsidR="002D58E4" w:rsidRDefault="002D58E4">
            <w:pPr>
              <w:rPr>
                <w:b/>
                <w:color w:val="000000"/>
                <w:sz w:val="18"/>
                <w:szCs w:val="18"/>
              </w:rPr>
            </w:pPr>
          </w:p>
          <w:p w14:paraId="1CDEEEF9" w14:textId="77777777" w:rsidR="002D58E4" w:rsidRDefault="00F721D4">
            <w:pPr>
              <w:rPr>
                <w:b/>
                <w:color w:val="000000"/>
                <w:sz w:val="20"/>
                <w:szCs w:val="20"/>
              </w:rPr>
            </w:pPr>
            <w:r>
              <w:rPr>
                <w:b/>
                <w:color w:val="000000"/>
                <w:sz w:val="18"/>
                <w:szCs w:val="18"/>
              </w:rPr>
              <w:t>Bibliography</w:t>
            </w:r>
            <w:r>
              <w:rPr>
                <w:color w:val="000000"/>
                <w:sz w:val="18"/>
                <w:szCs w:val="18"/>
              </w:rPr>
              <w:t xml:space="preserve">: 1. Kirkland, et al.Arch Intern Med. 1997 Dec 8-22; 157(22): 2635-41; 2. </w:t>
            </w:r>
            <w:r w:rsidRPr="002914A2">
              <w:rPr>
                <w:color w:val="000000"/>
                <w:sz w:val="18"/>
                <w:szCs w:val="18"/>
                <w:lang w:val="fr-CA"/>
              </w:rPr>
              <w:t>Felz, et al. ; 3. Wormser, et al.</w:t>
            </w:r>
            <w:r w:rsidRPr="002914A2">
              <w:rPr>
                <w:lang w:val="fr-CA"/>
              </w:rPr>
              <w:t xml:space="preserve"> </w:t>
            </w:r>
            <w:r w:rsidRPr="002914A2">
              <w:rPr>
                <w:color w:val="000000"/>
                <w:sz w:val="18"/>
                <w:szCs w:val="18"/>
                <w:lang w:val="fr-CA"/>
              </w:rPr>
              <w:t xml:space="preserve">Clin Infect Dis. 2005 Feb 1;40(3):423-8; 4. Wormser, et al. </w:t>
            </w:r>
            <w:r w:rsidRPr="002914A2">
              <w:rPr>
                <w:lang w:val="fr-CA"/>
              </w:rPr>
              <w:t xml:space="preserve"> </w:t>
            </w:r>
            <w:r w:rsidRPr="002914A2">
              <w:rPr>
                <w:color w:val="000000"/>
                <w:sz w:val="18"/>
                <w:szCs w:val="18"/>
                <w:lang w:val="fr-CA"/>
              </w:rPr>
              <w:t xml:space="preserve">Clin Infect Dis. 2005 Oct 1; 41(7): 958-65; 5. Philipp, et al. </w:t>
            </w:r>
            <w:r w:rsidRPr="00DE2F3F">
              <w:rPr>
                <w:color w:val="000000"/>
                <w:sz w:val="18"/>
                <w:szCs w:val="18"/>
                <w:lang w:val="en-CA"/>
              </w:rPr>
              <w:t>Clin Vaccine Immunol. 2006 Oct; 13(10): 1170-1; 6. Clark, et al.</w:t>
            </w:r>
            <w:r w:rsidRPr="00DE2F3F">
              <w:rPr>
                <w:lang w:val="en-CA"/>
              </w:rPr>
              <w:t xml:space="preserve"> </w:t>
            </w:r>
            <w:r w:rsidRPr="00DE2F3F">
              <w:rPr>
                <w:color w:val="000000"/>
                <w:sz w:val="18"/>
                <w:szCs w:val="18"/>
                <w:lang w:val="en-CA"/>
              </w:rPr>
              <w:t xml:space="preserve">Int J Med Sci. 2013 May 23; 10(7): 915-31; 7. </w:t>
            </w:r>
            <w:r>
              <w:rPr>
                <w:color w:val="000000"/>
                <w:sz w:val="18"/>
                <w:szCs w:val="18"/>
              </w:rPr>
              <w:t>Lantos, et al.</w:t>
            </w:r>
            <w:r>
              <w:t xml:space="preserve"> </w:t>
            </w:r>
            <w:r>
              <w:rPr>
                <w:color w:val="000000"/>
                <w:sz w:val="18"/>
                <w:szCs w:val="18"/>
              </w:rPr>
              <w:t>Vector Borne Zoonotic Dis. 2013 Dec; 13(12): 877-83.</w:t>
            </w:r>
          </w:p>
        </w:tc>
      </w:tr>
      <w:tr w:rsidR="002D58E4" w14:paraId="2BBF7D42" w14:textId="77777777" w:rsidTr="00E70FE5">
        <w:trPr>
          <w:trHeight w:val="500"/>
        </w:trPr>
        <w:tc>
          <w:tcPr>
            <w:tcW w:w="102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BA0B697" w14:textId="77777777" w:rsidR="002D58E4" w:rsidRDefault="00F721D4">
            <w:pPr>
              <w:jc w:val="center"/>
              <w:rPr>
                <w:sz w:val="20"/>
                <w:szCs w:val="20"/>
              </w:rPr>
            </w:pPr>
            <w:r>
              <w:rPr>
                <w:b/>
                <w:color w:val="000000"/>
                <w:sz w:val="20"/>
                <w:szCs w:val="20"/>
              </w:rPr>
              <w:t>Study and Location</w:t>
            </w:r>
          </w:p>
        </w:tc>
        <w:tc>
          <w:tcPr>
            <w:tcW w:w="900" w:type="dxa"/>
            <w:tcBorders>
              <w:top w:val="single" w:sz="6" w:space="0" w:color="AEAEAE"/>
              <w:left w:val="single" w:sz="6" w:space="0" w:color="AEAEAE"/>
              <w:bottom w:val="single" w:sz="6" w:space="0" w:color="AEAEAE"/>
              <w:right w:val="single" w:sz="6" w:space="0" w:color="AEAEAE"/>
            </w:tcBorders>
            <w:shd w:val="clear" w:color="auto" w:fill="D9D9D9"/>
          </w:tcPr>
          <w:p w14:paraId="1F89A1C3"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7E0F86AF" w14:textId="77777777" w:rsidR="002D58E4" w:rsidRDefault="00F721D4">
            <w:pPr>
              <w:jc w:val="center"/>
              <w:rPr>
                <w:b/>
                <w:color w:val="000000"/>
                <w:sz w:val="20"/>
                <w:szCs w:val="20"/>
              </w:rPr>
            </w:pPr>
            <w:r>
              <w:rPr>
                <w:b/>
                <w:color w:val="000000"/>
                <w:sz w:val="20"/>
                <w:szCs w:val="20"/>
              </w:rPr>
              <w:t>Risk of bias*</w:t>
            </w:r>
          </w:p>
        </w:tc>
        <w:tc>
          <w:tcPr>
            <w:tcW w:w="3971" w:type="dxa"/>
            <w:tcBorders>
              <w:top w:val="single" w:sz="6" w:space="0" w:color="AEAEAE"/>
              <w:left w:val="single" w:sz="6" w:space="0" w:color="AEAEAE"/>
              <w:bottom w:val="single" w:sz="6" w:space="0" w:color="AEAEAE"/>
              <w:right w:val="single" w:sz="6" w:space="0" w:color="AEAEAE"/>
            </w:tcBorders>
            <w:shd w:val="clear" w:color="auto" w:fill="D9D9D9"/>
          </w:tcPr>
          <w:p w14:paraId="34AEE767" w14:textId="77777777" w:rsidR="002D58E4" w:rsidRDefault="00F721D4">
            <w:pPr>
              <w:jc w:val="center"/>
              <w:rPr>
                <w:b/>
                <w:color w:val="000000"/>
                <w:sz w:val="20"/>
                <w:szCs w:val="20"/>
              </w:rPr>
            </w:pPr>
            <w:r>
              <w:rPr>
                <w:b/>
                <w:color w:val="000000"/>
                <w:sz w:val="20"/>
                <w:szCs w:val="20"/>
              </w:rPr>
              <w:t>Lyme Disease/STARI Diagnosis method, Patient characteristics</w:t>
            </w:r>
          </w:p>
        </w:tc>
        <w:tc>
          <w:tcPr>
            <w:tcW w:w="3827" w:type="dxa"/>
            <w:tcBorders>
              <w:top w:val="single" w:sz="6" w:space="0" w:color="AEAEAE"/>
              <w:left w:val="single" w:sz="6" w:space="0" w:color="AEAEAE"/>
              <w:bottom w:val="single" w:sz="6" w:space="0" w:color="AEAEAE"/>
              <w:right w:val="single" w:sz="6" w:space="0" w:color="AEAEAE"/>
            </w:tcBorders>
            <w:shd w:val="clear" w:color="auto" w:fill="D9D9D9"/>
          </w:tcPr>
          <w:p w14:paraId="34F02FC3" w14:textId="77777777" w:rsidR="002D58E4" w:rsidRDefault="00F721D4">
            <w:pPr>
              <w:jc w:val="center"/>
              <w:rPr>
                <w:b/>
                <w:color w:val="000000"/>
                <w:sz w:val="20"/>
                <w:szCs w:val="20"/>
              </w:rPr>
            </w:pPr>
            <w:r>
              <w:rPr>
                <w:b/>
                <w:color w:val="000000"/>
                <w:sz w:val="20"/>
                <w:szCs w:val="20"/>
              </w:rPr>
              <w:t>Lyme vs. STARI characteristics</w:t>
            </w:r>
          </w:p>
        </w:tc>
        <w:tc>
          <w:tcPr>
            <w:tcW w:w="4111" w:type="dxa"/>
            <w:tcBorders>
              <w:top w:val="single" w:sz="6" w:space="0" w:color="AEAEAE"/>
              <w:left w:val="single" w:sz="6" w:space="0" w:color="AEAEAE"/>
              <w:bottom w:val="single" w:sz="6" w:space="0" w:color="AEAEAE"/>
              <w:right w:val="single" w:sz="6" w:space="0" w:color="AEAEAE"/>
            </w:tcBorders>
            <w:shd w:val="clear" w:color="auto" w:fill="D9D9D9"/>
          </w:tcPr>
          <w:p w14:paraId="7D652168" w14:textId="77777777" w:rsidR="002D58E4" w:rsidRDefault="00F721D4">
            <w:pPr>
              <w:jc w:val="center"/>
              <w:rPr>
                <w:b/>
                <w:color w:val="000000"/>
                <w:sz w:val="20"/>
                <w:szCs w:val="20"/>
              </w:rPr>
            </w:pPr>
            <w:r>
              <w:rPr>
                <w:b/>
                <w:color w:val="000000"/>
                <w:sz w:val="20"/>
                <w:szCs w:val="20"/>
              </w:rPr>
              <w:t>Study conclusions</w:t>
            </w:r>
          </w:p>
        </w:tc>
      </w:tr>
      <w:tr w:rsidR="002D58E4" w14:paraId="71A3EB1C" w14:textId="77777777" w:rsidTr="00E70FE5">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C3504CC" w14:textId="77777777" w:rsidR="002D58E4" w:rsidRDefault="00F721D4">
            <w:pPr>
              <w:rPr>
                <w:sz w:val="20"/>
                <w:szCs w:val="20"/>
              </w:rPr>
            </w:pPr>
            <w:r>
              <w:rPr>
                <w:sz w:val="20"/>
                <w:szCs w:val="20"/>
              </w:rPr>
              <w:t>Kirkland, et al., 1997</w:t>
            </w:r>
          </w:p>
          <w:p w14:paraId="4905EC50" w14:textId="77777777" w:rsidR="002D58E4" w:rsidRDefault="002D58E4">
            <w:pPr>
              <w:rPr>
                <w:sz w:val="20"/>
                <w:szCs w:val="20"/>
              </w:rPr>
            </w:pPr>
          </w:p>
          <w:p w14:paraId="0347899D" w14:textId="77777777" w:rsidR="002D58E4" w:rsidRDefault="00F721D4">
            <w:pPr>
              <w:rPr>
                <w:sz w:val="20"/>
                <w:szCs w:val="20"/>
              </w:rPr>
            </w:pPr>
            <w:r>
              <w:rPr>
                <w:sz w:val="20"/>
                <w:szCs w:val="20"/>
              </w:rPr>
              <w:t>North Carolina</w:t>
            </w:r>
          </w:p>
        </w:tc>
        <w:tc>
          <w:tcPr>
            <w:tcW w:w="900" w:type="dxa"/>
            <w:tcBorders>
              <w:top w:val="single" w:sz="6" w:space="0" w:color="AEAEAE"/>
              <w:left w:val="single" w:sz="6" w:space="0" w:color="AEAEAE"/>
              <w:bottom w:val="single" w:sz="6" w:space="0" w:color="AEAEAE"/>
              <w:right w:val="single" w:sz="6" w:space="0" w:color="AEAEAE"/>
            </w:tcBorders>
            <w:vAlign w:val="center"/>
          </w:tcPr>
          <w:p w14:paraId="6A7709A0" w14:textId="77777777" w:rsidR="002D58E4" w:rsidRDefault="00F721D4">
            <w:pPr>
              <w:rPr>
                <w:sz w:val="20"/>
                <w:szCs w:val="20"/>
              </w:rPr>
            </w:pPr>
            <w:r>
              <w:rPr>
                <w:sz w:val="20"/>
                <w:szCs w:val="20"/>
              </w:rPr>
              <w:t>Case series (14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73B924CD" w14:textId="77777777" w:rsidR="002D58E4" w:rsidRDefault="00F721D4">
            <w:pPr>
              <w:jc w:val="center"/>
              <w:rPr>
                <w:sz w:val="20"/>
                <w:szCs w:val="20"/>
              </w:rPr>
            </w:pPr>
            <w:r>
              <w:rPr>
                <w:sz w:val="20"/>
                <w:szCs w:val="20"/>
              </w:rPr>
              <w:t>NA</w:t>
            </w:r>
          </w:p>
        </w:tc>
        <w:tc>
          <w:tcPr>
            <w:tcW w:w="3971" w:type="dxa"/>
            <w:tcBorders>
              <w:top w:val="single" w:sz="6" w:space="0" w:color="AEAEAE"/>
              <w:left w:val="single" w:sz="6" w:space="0" w:color="AEAEAE"/>
              <w:bottom w:val="single" w:sz="6" w:space="0" w:color="AEAEAE"/>
              <w:right w:val="single" w:sz="6" w:space="0" w:color="AEAEAE"/>
            </w:tcBorders>
            <w:vAlign w:val="center"/>
          </w:tcPr>
          <w:p w14:paraId="20C5CFF9" w14:textId="77777777" w:rsidR="002D58E4" w:rsidRDefault="00F721D4">
            <w:pPr>
              <w:rPr>
                <w:sz w:val="20"/>
                <w:szCs w:val="20"/>
              </w:rPr>
            </w:pPr>
            <w:r>
              <w:rPr>
                <w:sz w:val="20"/>
                <w:szCs w:val="20"/>
              </w:rPr>
              <w:t xml:space="preserve"> 8 cases of suspected erythema migrans (EM) were observed in a camp in the central Piedmont region of North Carolina in 1994, all with onset between May 14 and July 5. 6 additional cases were observed in the same area in 1995, with onset between May 1 and August 12. </w:t>
            </w:r>
          </w:p>
          <w:p w14:paraId="5FC854E7" w14:textId="77777777" w:rsidR="002D58E4" w:rsidRDefault="002D58E4">
            <w:pPr>
              <w:rPr>
                <w:sz w:val="20"/>
                <w:szCs w:val="20"/>
              </w:rPr>
            </w:pPr>
          </w:p>
          <w:p w14:paraId="236E0CC5" w14:textId="77777777" w:rsidR="002D58E4" w:rsidRDefault="00F721D4">
            <w:pPr>
              <w:rPr>
                <w:sz w:val="20"/>
                <w:szCs w:val="20"/>
              </w:rPr>
            </w:pPr>
            <w:r>
              <w:rPr>
                <w:sz w:val="20"/>
                <w:szCs w:val="20"/>
              </w:rPr>
              <w:t>Of the 14 cases, 10 people were residents of the area and 4 were staff members of the camp. Thirteen case-patients were female, with a median age of 15 years (range, 13-49 years).</w:t>
            </w:r>
          </w:p>
          <w:p w14:paraId="4FEC95CA" w14:textId="77777777" w:rsidR="002D58E4" w:rsidRDefault="002D58E4">
            <w:pPr>
              <w:rPr>
                <w:sz w:val="20"/>
                <w:szCs w:val="20"/>
              </w:rPr>
            </w:pPr>
          </w:p>
          <w:p w14:paraId="423B5760" w14:textId="77777777" w:rsidR="002D58E4" w:rsidRDefault="00F721D4">
            <w:pPr>
              <w:rPr>
                <w:sz w:val="20"/>
                <w:szCs w:val="20"/>
                <w:u w:val="single"/>
              </w:rPr>
            </w:pPr>
            <w:r>
              <w:rPr>
                <w:sz w:val="20"/>
                <w:szCs w:val="20"/>
              </w:rPr>
              <w:t xml:space="preserve">13 patients were evaluated for presence of antibodies against </w:t>
            </w:r>
            <w:r>
              <w:rPr>
                <w:i/>
                <w:sz w:val="20"/>
                <w:szCs w:val="20"/>
              </w:rPr>
              <w:t>B. burgdorferi</w:t>
            </w:r>
            <w:r>
              <w:rPr>
                <w:sz w:val="20"/>
                <w:szCs w:val="20"/>
              </w:rPr>
              <w:t xml:space="preserve"> by ELISA, confirmed by Western Blot. Skin biopsies were collected from five patients (4 of whom had not yet received antibiotics). </w:t>
            </w:r>
          </w:p>
        </w:tc>
        <w:tc>
          <w:tcPr>
            <w:tcW w:w="3827" w:type="dxa"/>
            <w:tcBorders>
              <w:top w:val="single" w:sz="6" w:space="0" w:color="AEAEAE"/>
              <w:left w:val="single" w:sz="6" w:space="0" w:color="AEAEAE"/>
              <w:bottom w:val="single" w:sz="6" w:space="0" w:color="AEAEAE"/>
              <w:right w:val="single" w:sz="6" w:space="0" w:color="AEAEAE"/>
            </w:tcBorders>
            <w:vAlign w:val="center"/>
          </w:tcPr>
          <w:p w14:paraId="7993D46A" w14:textId="77777777" w:rsidR="002D58E4" w:rsidRDefault="00F721D4">
            <w:pPr>
              <w:rPr>
                <w:sz w:val="20"/>
                <w:szCs w:val="20"/>
              </w:rPr>
            </w:pPr>
            <w:r>
              <w:rPr>
                <w:sz w:val="20"/>
                <w:szCs w:val="20"/>
              </w:rPr>
              <w:t xml:space="preserve">The EM-like lesions were erythematous, had irregular borders, and had central clearing. Several patients first noted a small papule around which a red patch developed and then expanded, leaving an area of central clearing. Other case-patients first noticed the rash when it was larger and annular in appearance. Several case-patients reported that the lesions were tender or pruritic. </w:t>
            </w:r>
          </w:p>
          <w:p w14:paraId="3748DED8" w14:textId="77777777" w:rsidR="002D58E4" w:rsidRDefault="002D58E4">
            <w:pPr>
              <w:rPr>
                <w:sz w:val="20"/>
                <w:szCs w:val="20"/>
              </w:rPr>
            </w:pPr>
          </w:p>
          <w:p w14:paraId="0199D386" w14:textId="77777777" w:rsidR="002D58E4" w:rsidRDefault="00F721D4">
            <w:pPr>
              <w:rPr>
                <w:sz w:val="20"/>
                <w:szCs w:val="20"/>
              </w:rPr>
            </w:pPr>
            <w:r>
              <w:rPr>
                <w:sz w:val="20"/>
                <w:szCs w:val="20"/>
              </w:rPr>
              <w:t xml:space="preserve">The rash lesions were on the ankles or feet in 8 case-patients, other parts of the leg in 2 case-patients, on the trunk in 3 case-patients, and on the wrist in 1 case-patient. The lesions ranged in size from 3 x 5 cm to 6 x 7 cm. </w:t>
            </w:r>
          </w:p>
          <w:p w14:paraId="055460FF" w14:textId="77777777" w:rsidR="002D58E4" w:rsidRDefault="002D58E4">
            <w:pPr>
              <w:rPr>
                <w:sz w:val="20"/>
                <w:szCs w:val="20"/>
              </w:rPr>
            </w:pPr>
          </w:p>
          <w:p w14:paraId="1119DBA6" w14:textId="77777777" w:rsidR="002D58E4" w:rsidRDefault="00F721D4">
            <w:pPr>
              <w:rPr>
                <w:sz w:val="20"/>
                <w:szCs w:val="20"/>
              </w:rPr>
            </w:pPr>
            <w:r>
              <w:rPr>
                <w:sz w:val="20"/>
                <w:szCs w:val="20"/>
              </w:rPr>
              <w:t xml:space="preserve">Most of the case-patients had mild systemic illnesses at the time of their rash. Ten case-patients reported headache, 8 reported musculoskeletal pain, 7 reported fatigue, and 6 reported nausea. One case-patient had a temperature of 38.7°C; the rest were afebrile. </w:t>
            </w:r>
          </w:p>
          <w:p w14:paraId="280C3971" w14:textId="77777777" w:rsidR="002D58E4" w:rsidRDefault="002D58E4">
            <w:pPr>
              <w:rPr>
                <w:sz w:val="20"/>
                <w:szCs w:val="20"/>
              </w:rPr>
            </w:pPr>
          </w:p>
          <w:p w14:paraId="78047F37" w14:textId="77777777" w:rsidR="002D58E4" w:rsidRDefault="00F721D4">
            <w:pPr>
              <w:rPr>
                <w:sz w:val="20"/>
                <w:szCs w:val="20"/>
                <w:u w:val="single"/>
              </w:rPr>
            </w:pPr>
            <w:r>
              <w:rPr>
                <w:sz w:val="20"/>
                <w:szCs w:val="20"/>
              </w:rPr>
              <w:t>Four of the 14 case-patients had no manifestations of illness other than the skin lesion.</w:t>
            </w:r>
          </w:p>
        </w:tc>
        <w:tc>
          <w:tcPr>
            <w:tcW w:w="4111" w:type="dxa"/>
            <w:tcBorders>
              <w:top w:val="single" w:sz="6" w:space="0" w:color="AEAEAE"/>
              <w:left w:val="single" w:sz="6" w:space="0" w:color="AEAEAE"/>
              <w:bottom w:val="single" w:sz="6" w:space="0" w:color="AEAEAE"/>
              <w:right w:val="single" w:sz="6" w:space="0" w:color="AEAEAE"/>
            </w:tcBorders>
            <w:vAlign w:val="center"/>
          </w:tcPr>
          <w:p w14:paraId="5F916B39" w14:textId="77777777" w:rsidR="002D58E4" w:rsidRDefault="00F721D4">
            <w:pPr>
              <w:rPr>
                <w:sz w:val="20"/>
                <w:szCs w:val="20"/>
              </w:rPr>
            </w:pPr>
            <w:r>
              <w:rPr>
                <w:sz w:val="20"/>
                <w:szCs w:val="20"/>
              </w:rPr>
              <w:t xml:space="preserve">None of the biopsy specimens from 5 patients were positive by culture. </w:t>
            </w:r>
          </w:p>
          <w:p w14:paraId="68CB487D" w14:textId="77777777" w:rsidR="002D58E4" w:rsidRDefault="002D58E4">
            <w:pPr>
              <w:rPr>
                <w:sz w:val="20"/>
                <w:szCs w:val="20"/>
              </w:rPr>
            </w:pPr>
          </w:p>
          <w:p w14:paraId="59A8DAFF" w14:textId="77777777" w:rsidR="002D58E4" w:rsidRDefault="00F721D4">
            <w:pPr>
              <w:rPr>
                <w:sz w:val="20"/>
                <w:szCs w:val="20"/>
              </w:rPr>
            </w:pPr>
            <w:r>
              <w:rPr>
                <w:sz w:val="20"/>
                <w:szCs w:val="20"/>
              </w:rPr>
              <w:t>4 of 14 case-patients had positive or equivocal results by ELISA, but these results were not confirmed by Western Blot in any case. Of 9 patients with negative ELISA, one patient had positive IgM results by Western Blot both in the acute and convalescent phase. None of the patients tested (N=13) had positive IgG Western Blot.</w:t>
            </w:r>
          </w:p>
          <w:p w14:paraId="3DE63E94" w14:textId="77777777" w:rsidR="002D58E4" w:rsidRDefault="002D58E4">
            <w:pPr>
              <w:rPr>
                <w:sz w:val="20"/>
                <w:szCs w:val="20"/>
              </w:rPr>
            </w:pPr>
          </w:p>
          <w:p w14:paraId="44FB9AB8" w14:textId="77777777" w:rsidR="002D58E4" w:rsidRDefault="00F721D4">
            <w:pPr>
              <w:rPr>
                <w:sz w:val="20"/>
                <w:szCs w:val="20"/>
              </w:rPr>
            </w:pPr>
            <w:r>
              <w:rPr>
                <w:sz w:val="20"/>
                <w:szCs w:val="20"/>
              </w:rPr>
              <w:t>All 14 case-patients were treated with a 10-day course of doxycycline with resolution of symptoms within the 10-day period.</w:t>
            </w:r>
          </w:p>
          <w:p w14:paraId="036B4E5A" w14:textId="77777777" w:rsidR="002D58E4" w:rsidRDefault="002D58E4">
            <w:pPr>
              <w:rPr>
                <w:sz w:val="20"/>
                <w:szCs w:val="20"/>
              </w:rPr>
            </w:pPr>
          </w:p>
          <w:p w14:paraId="46A98D70" w14:textId="77777777" w:rsidR="002D58E4" w:rsidRDefault="00F721D4">
            <w:pPr>
              <w:rPr>
                <w:i/>
                <w:sz w:val="20"/>
                <w:szCs w:val="20"/>
              </w:rPr>
            </w:pPr>
            <w:r>
              <w:rPr>
                <w:sz w:val="20"/>
                <w:szCs w:val="20"/>
              </w:rPr>
              <w:t xml:space="preserve">Based on negative serologic and culture findings, the authors conclude that there is evidence of a tick-associated EM-like rash illness in Southern states which is not caused by </w:t>
            </w:r>
            <w:r>
              <w:rPr>
                <w:i/>
                <w:sz w:val="20"/>
                <w:szCs w:val="20"/>
              </w:rPr>
              <w:t xml:space="preserve">B. burgdorferi. </w:t>
            </w:r>
          </w:p>
        </w:tc>
      </w:tr>
      <w:tr w:rsidR="002D58E4" w14:paraId="27B6A4C3" w14:textId="77777777" w:rsidTr="00E70FE5">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87F80D1" w14:textId="77777777" w:rsidR="002D58E4" w:rsidRDefault="00F721D4">
            <w:pPr>
              <w:rPr>
                <w:sz w:val="20"/>
                <w:szCs w:val="20"/>
              </w:rPr>
            </w:pPr>
            <w:r>
              <w:rPr>
                <w:sz w:val="20"/>
                <w:szCs w:val="20"/>
              </w:rPr>
              <w:lastRenderedPageBreak/>
              <w:t>Felz, et al., 1999</w:t>
            </w:r>
          </w:p>
          <w:p w14:paraId="0E7D9E48" w14:textId="77777777" w:rsidR="002D58E4" w:rsidRDefault="002D58E4">
            <w:pPr>
              <w:rPr>
                <w:sz w:val="20"/>
                <w:szCs w:val="20"/>
              </w:rPr>
            </w:pPr>
          </w:p>
          <w:p w14:paraId="042DE728" w14:textId="77777777" w:rsidR="002D58E4" w:rsidRDefault="00F721D4">
            <w:pPr>
              <w:rPr>
                <w:sz w:val="20"/>
                <w:szCs w:val="20"/>
              </w:rPr>
            </w:pPr>
            <w:r>
              <w:rPr>
                <w:sz w:val="20"/>
                <w:szCs w:val="20"/>
              </w:rPr>
              <w:t>Georgia and South Carolina</w:t>
            </w:r>
          </w:p>
        </w:tc>
        <w:tc>
          <w:tcPr>
            <w:tcW w:w="900" w:type="dxa"/>
            <w:tcBorders>
              <w:top w:val="single" w:sz="6" w:space="0" w:color="AEAEAE"/>
              <w:left w:val="single" w:sz="6" w:space="0" w:color="AEAEAE"/>
              <w:bottom w:val="single" w:sz="6" w:space="0" w:color="AEAEAE"/>
              <w:right w:val="single" w:sz="6" w:space="0" w:color="AEAEAE"/>
            </w:tcBorders>
            <w:vAlign w:val="center"/>
          </w:tcPr>
          <w:p w14:paraId="7009A971" w14:textId="77777777" w:rsidR="002D58E4" w:rsidRDefault="00F721D4">
            <w:pPr>
              <w:rPr>
                <w:sz w:val="20"/>
                <w:szCs w:val="20"/>
              </w:rPr>
            </w:pPr>
            <w:r>
              <w:rPr>
                <w:sz w:val="20"/>
                <w:szCs w:val="20"/>
              </w:rPr>
              <w:t>Case series (23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3DB651EE" w14:textId="77777777" w:rsidR="002D58E4" w:rsidRDefault="00F721D4">
            <w:pPr>
              <w:jc w:val="center"/>
              <w:rPr>
                <w:sz w:val="20"/>
                <w:szCs w:val="20"/>
              </w:rPr>
            </w:pPr>
            <w:r>
              <w:rPr>
                <w:sz w:val="20"/>
                <w:szCs w:val="20"/>
              </w:rPr>
              <w:t>NA</w:t>
            </w:r>
          </w:p>
        </w:tc>
        <w:tc>
          <w:tcPr>
            <w:tcW w:w="3971" w:type="dxa"/>
            <w:tcBorders>
              <w:top w:val="single" w:sz="6" w:space="0" w:color="AEAEAE"/>
              <w:left w:val="single" w:sz="6" w:space="0" w:color="AEAEAE"/>
              <w:bottom w:val="single" w:sz="6" w:space="0" w:color="AEAEAE"/>
              <w:right w:val="single" w:sz="6" w:space="0" w:color="AEAEAE"/>
            </w:tcBorders>
            <w:vAlign w:val="center"/>
          </w:tcPr>
          <w:p w14:paraId="1671F74C" w14:textId="77777777" w:rsidR="002D58E4" w:rsidRDefault="00F721D4">
            <w:pPr>
              <w:rPr>
                <w:sz w:val="20"/>
                <w:szCs w:val="20"/>
              </w:rPr>
            </w:pPr>
            <w:r>
              <w:rPr>
                <w:sz w:val="20"/>
                <w:szCs w:val="20"/>
              </w:rPr>
              <w:t xml:space="preserve">23 patients presenting with an expanding erythematous rash ≥5 cm in diameter, physician diagnosis of erythema migrans (EM), and tick bite or exposure within the preceding month. </w:t>
            </w:r>
          </w:p>
          <w:p w14:paraId="2D28DE4D" w14:textId="77777777" w:rsidR="002D58E4" w:rsidRDefault="002D58E4">
            <w:pPr>
              <w:rPr>
                <w:sz w:val="20"/>
                <w:szCs w:val="20"/>
              </w:rPr>
            </w:pPr>
          </w:p>
          <w:p w14:paraId="13E4F296" w14:textId="77777777" w:rsidR="002D58E4" w:rsidRDefault="00F721D4">
            <w:pPr>
              <w:rPr>
                <w:i/>
                <w:sz w:val="20"/>
                <w:szCs w:val="20"/>
              </w:rPr>
            </w:pPr>
            <w:r>
              <w:rPr>
                <w:i/>
                <w:sz w:val="20"/>
                <w:szCs w:val="20"/>
              </w:rPr>
              <w:t xml:space="preserve">Patients were excluded if the rash had resolved prior to enrollment, if they had received antibiotics within the prior two weeks, or if they were ≤2 years old, pregnant, or nursing. </w:t>
            </w:r>
          </w:p>
          <w:p w14:paraId="513B2A53" w14:textId="77777777" w:rsidR="002D58E4" w:rsidRDefault="00F721D4">
            <w:pPr>
              <w:spacing w:before="240"/>
              <w:rPr>
                <w:sz w:val="20"/>
                <w:szCs w:val="20"/>
              </w:rPr>
            </w:pPr>
            <w:r>
              <w:rPr>
                <w:sz w:val="20"/>
                <w:szCs w:val="20"/>
              </w:rPr>
              <w:t xml:space="preserve">Skin biopsy specimens were collected and histologically examined and cultured using BSK II medium. Biopsy specimens were also subject to PCR analysis. Serologic analysis was performed with a </w:t>
            </w:r>
            <w:r>
              <w:rPr>
                <w:i/>
                <w:sz w:val="20"/>
                <w:szCs w:val="20"/>
              </w:rPr>
              <w:t>fla</w:t>
            </w:r>
            <w:r>
              <w:rPr>
                <w:sz w:val="20"/>
                <w:szCs w:val="20"/>
              </w:rPr>
              <w:t>-EIA, confirmed by Western Blot, and results were available for 22 patients.</w:t>
            </w:r>
          </w:p>
          <w:p w14:paraId="65D39714" w14:textId="77777777" w:rsidR="002D58E4" w:rsidRDefault="00F721D4">
            <w:pPr>
              <w:spacing w:before="240"/>
              <w:rPr>
                <w:sz w:val="20"/>
                <w:szCs w:val="20"/>
              </w:rPr>
            </w:pPr>
            <w:r>
              <w:rPr>
                <w:sz w:val="20"/>
                <w:szCs w:val="20"/>
              </w:rPr>
              <w:t xml:space="preserve">30 healthy blood donors served as positive controls. </w:t>
            </w:r>
          </w:p>
        </w:tc>
        <w:tc>
          <w:tcPr>
            <w:tcW w:w="3827" w:type="dxa"/>
            <w:tcBorders>
              <w:top w:val="single" w:sz="6" w:space="0" w:color="AEAEAE"/>
              <w:left w:val="single" w:sz="6" w:space="0" w:color="AEAEAE"/>
              <w:bottom w:val="single" w:sz="6" w:space="0" w:color="AEAEAE"/>
              <w:right w:val="single" w:sz="6" w:space="0" w:color="AEAEAE"/>
            </w:tcBorders>
            <w:vAlign w:val="center"/>
          </w:tcPr>
          <w:p w14:paraId="0157CDCF" w14:textId="77777777" w:rsidR="002D58E4" w:rsidRDefault="00F721D4">
            <w:pPr>
              <w:rPr>
                <w:sz w:val="20"/>
                <w:szCs w:val="20"/>
              </w:rPr>
            </w:pPr>
            <w:r>
              <w:rPr>
                <w:sz w:val="20"/>
                <w:szCs w:val="20"/>
              </w:rPr>
              <w:t xml:space="preserve">Clinical manifestations were limited to solitary, annular, erythematous skin lesions at the site of a tick bite and mild systemic complaints. 78% of patients had rash with central clearing. 91% of patients recalled a tick bite, and verbal reports of two patients suggested that the tick may have been </w:t>
            </w:r>
            <w:r>
              <w:rPr>
                <w:i/>
                <w:sz w:val="20"/>
                <w:szCs w:val="20"/>
              </w:rPr>
              <w:t xml:space="preserve">A. americanum. </w:t>
            </w:r>
            <w:r>
              <w:rPr>
                <w:sz w:val="20"/>
                <w:szCs w:val="20"/>
              </w:rPr>
              <w:t xml:space="preserve">26% of patients reported malaise, and 26% of patients reported headache. 22% of patients were febrile (&gt;38°C). 17% of patients reported arthralgia or myalgia, and 17% of patients reported sore neck. </w:t>
            </w:r>
          </w:p>
          <w:p w14:paraId="207F3520" w14:textId="77777777" w:rsidR="002D58E4" w:rsidRDefault="002D58E4">
            <w:pPr>
              <w:rPr>
                <w:sz w:val="20"/>
                <w:szCs w:val="20"/>
              </w:rPr>
            </w:pPr>
          </w:p>
          <w:p w14:paraId="4B25C592" w14:textId="77777777" w:rsidR="002D58E4" w:rsidRDefault="00F721D4">
            <w:pPr>
              <w:rPr>
                <w:sz w:val="20"/>
                <w:szCs w:val="20"/>
              </w:rPr>
            </w:pPr>
            <w:r>
              <w:rPr>
                <w:sz w:val="20"/>
                <w:szCs w:val="20"/>
              </w:rPr>
              <w:t xml:space="preserve">Secondary or multiple erythematous lesions, neuropathy, arthritis, and bradycardia were not observed. </w:t>
            </w:r>
          </w:p>
          <w:p w14:paraId="0319592F" w14:textId="77777777" w:rsidR="002D58E4" w:rsidRDefault="002D58E4">
            <w:pPr>
              <w:rPr>
                <w:i/>
                <w:sz w:val="20"/>
                <w:szCs w:val="20"/>
              </w:rPr>
            </w:pPr>
          </w:p>
          <w:p w14:paraId="7E7F017D" w14:textId="77777777" w:rsidR="002D58E4" w:rsidRDefault="00F721D4">
            <w:pPr>
              <w:rPr>
                <w:sz w:val="20"/>
                <w:szCs w:val="20"/>
              </w:rPr>
            </w:pPr>
            <w:r>
              <w:rPr>
                <w:sz w:val="20"/>
                <w:szCs w:val="20"/>
              </w:rPr>
              <w:t xml:space="preserve">Lesions ranged in size from 5 x 4 cm to 20 x 17 cm, with a mean of 9.6 cm. Lesions had been observed by patients for a mean of 9.3 days (range 3-21 days). Lesions occurred on the leg (N=8), back (N=6), shoulder (N=4), abdomen (N=4), and chest (N=1). </w:t>
            </w:r>
          </w:p>
        </w:tc>
        <w:tc>
          <w:tcPr>
            <w:tcW w:w="4111" w:type="dxa"/>
            <w:tcBorders>
              <w:top w:val="single" w:sz="6" w:space="0" w:color="AEAEAE"/>
              <w:left w:val="single" w:sz="6" w:space="0" w:color="AEAEAE"/>
              <w:bottom w:val="single" w:sz="6" w:space="0" w:color="AEAEAE"/>
              <w:right w:val="single" w:sz="6" w:space="0" w:color="AEAEAE"/>
            </w:tcBorders>
            <w:vAlign w:val="center"/>
          </w:tcPr>
          <w:p w14:paraId="69691910" w14:textId="77777777" w:rsidR="002D58E4" w:rsidRDefault="00F721D4">
            <w:pPr>
              <w:rPr>
                <w:sz w:val="20"/>
                <w:szCs w:val="20"/>
              </w:rPr>
            </w:pPr>
            <w:r>
              <w:rPr>
                <w:sz w:val="20"/>
                <w:szCs w:val="20"/>
              </w:rPr>
              <w:t xml:space="preserve">Spirochetes suggestive of </w:t>
            </w:r>
            <w:r>
              <w:rPr>
                <w:i/>
                <w:sz w:val="20"/>
                <w:szCs w:val="20"/>
              </w:rPr>
              <w:t>Borrelia</w:t>
            </w:r>
            <w:r>
              <w:rPr>
                <w:sz w:val="20"/>
                <w:szCs w:val="20"/>
              </w:rPr>
              <w:t xml:space="preserve"> were demonstrated in replicate kin sections stained with the Steiner silver procedure in 3 (13%) of 23 patients. </w:t>
            </w:r>
          </w:p>
          <w:p w14:paraId="7FF366EE" w14:textId="77777777" w:rsidR="002D58E4" w:rsidRDefault="002D58E4">
            <w:pPr>
              <w:rPr>
                <w:sz w:val="20"/>
                <w:szCs w:val="20"/>
              </w:rPr>
            </w:pPr>
          </w:p>
          <w:p w14:paraId="37C0BCC9" w14:textId="77777777" w:rsidR="002D58E4" w:rsidRDefault="00F721D4">
            <w:pPr>
              <w:rPr>
                <w:sz w:val="20"/>
                <w:szCs w:val="20"/>
              </w:rPr>
            </w:pPr>
            <w:r>
              <w:rPr>
                <w:sz w:val="20"/>
                <w:szCs w:val="20"/>
              </w:rPr>
              <w:t xml:space="preserve">Biopsy specimens were positive by PCR in 5 (22%) patients. Only 1 of 23 (4%) patients was culture-positive for </w:t>
            </w:r>
            <w:r>
              <w:rPr>
                <w:i/>
                <w:sz w:val="20"/>
                <w:szCs w:val="20"/>
              </w:rPr>
              <w:t>B. burgdorferi</w:t>
            </w:r>
            <w:r>
              <w:rPr>
                <w:sz w:val="20"/>
                <w:szCs w:val="20"/>
              </w:rPr>
              <w:t xml:space="preserve">. </w:t>
            </w:r>
          </w:p>
          <w:p w14:paraId="78173C77" w14:textId="77777777" w:rsidR="002D58E4" w:rsidRDefault="002D58E4">
            <w:pPr>
              <w:rPr>
                <w:sz w:val="20"/>
                <w:szCs w:val="20"/>
              </w:rPr>
            </w:pPr>
          </w:p>
          <w:p w14:paraId="2E778C14" w14:textId="77777777" w:rsidR="002D58E4" w:rsidRDefault="00F721D4">
            <w:pPr>
              <w:rPr>
                <w:sz w:val="20"/>
                <w:szCs w:val="20"/>
              </w:rPr>
            </w:pPr>
            <w:r>
              <w:rPr>
                <w:sz w:val="20"/>
                <w:szCs w:val="20"/>
              </w:rPr>
              <w:t xml:space="preserve">Only 2 of 23 (9%) patients was serologically confirmed to have </w:t>
            </w:r>
            <w:r>
              <w:rPr>
                <w:i/>
                <w:sz w:val="20"/>
                <w:szCs w:val="20"/>
              </w:rPr>
              <w:t xml:space="preserve">B. burgdorferi </w:t>
            </w:r>
            <w:r>
              <w:rPr>
                <w:sz w:val="20"/>
                <w:szCs w:val="20"/>
              </w:rPr>
              <w:t xml:space="preserve">infection. 8 patients had equivocal results by EIA. Across all methods, only 7 patients had confirmed </w:t>
            </w:r>
            <w:r>
              <w:rPr>
                <w:i/>
                <w:sz w:val="20"/>
                <w:szCs w:val="20"/>
              </w:rPr>
              <w:t xml:space="preserve">B. burgdorferi </w:t>
            </w:r>
            <w:r>
              <w:rPr>
                <w:sz w:val="20"/>
                <w:szCs w:val="20"/>
              </w:rPr>
              <w:t>infection.</w:t>
            </w:r>
          </w:p>
          <w:p w14:paraId="3B45B601" w14:textId="77777777" w:rsidR="002D58E4" w:rsidRDefault="002D58E4">
            <w:pPr>
              <w:rPr>
                <w:sz w:val="20"/>
                <w:szCs w:val="20"/>
              </w:rPr>
            </w:pPr>
          </w:p>
          <w:p w14:paraId="7C641CED" w14:textId="77777777" w:rsidR="002D58E4" w:rsidRDefault="00F721D4">
            <w:pPr>
              <w:rPr>
                <w:sz w:val="20"/>
                <w:szCs w:val="20"/>
              </w:rPr>
            </w:pPr>
            <w:r>
              <w:rPr>
                <w:sz w:val="20"/>
                <w:szCs w:val="20"/>
              </w:rPr>
              <w:t xml:space="preserve">The authors concluded that EM in this region may represent Lyme infection in some cases, but is of undetermined origin for most patients. </w:t>
            </w:r>
          </w:p>
        </w:tc>
      </w:tr>
      <w:tr w:rsidR="002D58E4" w14:paraId="18C8B9D4" w14:textId="77777777" w:rsidTr="00E70FE5">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4DB9FA3" w14:textId="77777777" w:rsidR="002D58E4" w:rsidRDefault="00F721D4">
            <w:pPr>
              <w:rPr>
                <w:sz w:val="20"/>
                <w:szCs w:val="20"/>
              </w:rPr>
            </w:pPr>
            <w:r>
              <w:rPr>
                <w:sz w:val="20"/>
                <w:szCs w:val="20"/>
              </w:rPr>
              <w:t>Wormser 2005 and Wormser 2005*</w:t>
            </w:r>
          </w:p>
          <w:p w14:paraId="1887FF0B" w14:textId="77777777" w:rsidR="002D58E4" w:rsidRDefault="002D58E4">
            <w:pPr>
              <w:rPr>
                <w:sz w:val="20"/>
                <w:szCs w:val="20"/>
              </w:rPr>
            </w:pPr>
          </w:p>
          <w:p w14:paraId="344FFFC5" w14:textId="77777777" w:rsidR="002D58E4" w:rsidRDefault="00F721D4">
            <w:pPr>
              <w:rPr>
                <w:sz w:val="20"/>
                <w:szCs w:val="20"/>
              </w:rPr>
            </w:pPr>
            <w:r>
              <w:rPr>
                <w:sz w:val="20"/>
                <w:szCs w:val="20"/>
              </w:rPr>
              <w:t>Valhalla, NY and Cape Girardeau, MO</w:t>
            </w:r>
          </w:p>
          <w:p w14:paraId="7C13F9EF" w14:textId="77777777" w:rsidR="002D58E4" w:rsidRDefault="002D58E4">
            <w:pPr>
              <w:rPr>
                <w:sz w:val="20"/>
                <w:szCs w:val="20"/>
              </w:rPr>
            </w:pPr>
          </w:p>
          <w:p w14:paraId="25685012" w14:textId="77777777" w:rsidR="002D58E4" w:rsidRDefault="002D58E4">
            <w:pPr>
              <w:rPr>
                <w:sz w:val="20"/>
                <w:szCs w:val="20"/>
              </w:rPr>
            </w:pPr>
          </w:p>
          <w:p w14:paraId="2DD47AF6" w14:textId="77777777" w:rsidR="002D58E4" w:rsidRDefault="00F721D4">
            <w:pPr>
              <w:rPr>
                <w:sz w:val="20"/>
                <w:szCs w:val="20"/>
              </w:rPr>
            </w:pPr>
            <w:r>
              <w:rPr>
                <w:sz w:val="20"/>
                <w:szCs w:val="20"/>
              </w:rPr>
              <w:t xml:space="preserve">*Same cohort, </w:t>
            </w:r>
            <w:r>
              <w:rPr>
                <w:sz w:val="20"/>
                <w:szCs w:val="20"/>
              </w:rPr>
              <w:lastRenderedPageBreak/>
              <w:t>reports different results</w:t>
            </w:r>
          </w:p>
        </w:tc>
        <w:tc>
          <w:tcPr>
            <w:tcW w:w="900" w:type="dxa"/>
            <w:tcBorders>
              <w:top w:val="single" w:sz="6" w:space="0" w:color="AEAEAE"/>
              <w:left w:val="single" w:sz="6" w:space="0" w:color="AEAEAE"/>
              <w:bottom w:val="single" w:sz="6" w:space="0" w:color="AEAEAE"/>
              <w:right w:val="single" w:sz="6" w:space="0" w:color="AEAEAE"/>
            </w:tcBorders>
            <w:vAlign w:val="center"/>
          </w:tcPr>
          <w:p w14:paraId="4B7E0097" w14:textId="77777777" w:rsidR="002D58E4" w:rsidRDefault="00F721D4">
            <w:pPr>
              <w:rPr>
                <w:sz w:val="20"/>
                <w:szCs w:val="20"/>
              </w:rPr>
            </w:pPr>
            <w:r>
              <w:rPr>
                <w:sz w:val="20"/>
                <w:szCs w:val="20"/>
              </w:rPr>
              <w:lastRenderedPageBreak/>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BE976CC" w14:textId="77777777" w:rsidR="002D58E4" w:rsidRDefault="00F721D4">
            <w:pPr>
              <w:jc w:val="center"/>
              <w:rPr>
                <w:sz w:val="20"/>
                <w:szCs w:val="20"/>
              </w:rPr>
            </w:pPr>
            <w:r>
              <w:rPr>
                <w:sz w:val="20"/>
                <w:szCs w:val="20"/>
              </w:rPr>
              <w:t>6</w:t>
            </w:r>
          </w:p>
        </w:tc>
        <w:tc>
          <w:tcPr>
            <w:tcW w:w="3971" w:type="dxa"/>
            <w:tcBorders>
              <w:top w:val="single" w:sz="6" w:space="0" w:color="AEAEAE"/>
              <w:left w:val="single" w:sz="6" w:space="0" w:color="AEAEAE"/>
              <w:bottom w:val="single" w:sz="6" w:space="0" w:color="AEAEAE"/>
              <w:right w:val="single" w:sz="6" w:space="0" w:color="AEAEAE"/>
            </w:tcBorders>
            <w:vAlign w:val="center"/>
          </w:tcPr>
          <w:p w14:paraId="067F5711" w14:textId="77777777" w:rsidR="002D58E4" w:rsidRDefault="00F721D4">
            <w:pPr>
              <w:rPr>
                <w:sz w:val="20"/>
                <w:szCs w:val="20"/>
                <w:u w:val="single"/>
              </w:rPr>
            </w:pPr>
            <w:r>
              <w:rPr>
                <w:sz w:val="20"/>
                <w:szCs w:val="20"/>
                <w:u w:val="single"/>
              </w:rPr>
              <w:t>Microbiologic Diagnosis:</w:t>
            </w:r>
          </w:p>
          <w:p w14:paraId="5E3BCA51" w14:textId="77777777" w:rsidR="002D58E4" w:rsidRDefault="00F721D4">
            <w:pPr>
              <w:rPr>
                <w:sz w:val="20"/>
                <w:szCs w:val="20"/>
              </w:rPr>
            </w:pPr>
            <w:r>
              <w:rPr>
                <w:sz w:val="20"/>
                <w:szCs w:val="20"/>
              </w:rPr>
              <w:t xml:space="preserve">21 patients from Missouri and 143 New York patients presented with erythema migrans (EM)-like skin lesions. Skin biopsy specimens were cultured and evaluated by PCR, and serum tested by ELISA. </w:t>
            </w:r>
          </w:p>
          <w:p w14:paraId="36CD6689" w14:textId="77777777" w:rsidR="002D58E4" w:rsidRDefault="002D58E4">
            <w:pPr>
              <w:rPr>
                <w:sz w:val="20"/>
                <w:szCs w:val="20"/>
              </w:rPr>
            </w:pPr>
          </w:p>
          <w:p w14:paraId="00E358D6" w14:textId="77777777" w:rsidR="002D58E4" w:rsidRDefault="00F721D4">
            <w:pPr>
              <w:rPr>
                <w:sz w:val="20"/>
                <w:szCs w:val="20"/>
                <w:u w:val="single"/>
              </w:rPr>
            </w:pPr>
            <w:r>
              <w:rPr>
                <w:sz w:val="20"/>
                <w:szCs w:val="20"/>
                <w:u w:val="single"/>
              </w:rPr>
              <w:t>Clinical Diagnosis:</w:t>
            </w:r>
          </w:p>
          <w:p w14:paraId="2CD3ACA9" w14:textId="77777777" w:rsidR="002D58E4" w:rsidRDefault="00F721D4">
            <w:pPr>
              <w:rPr>
                <w:sz w:val="20"/>
                <w:szCs w:val="20"/>
              </w:rPr>
            </w:pPr>
            <w:r>
              <w:rPr>
                <w:sz w:val="20"/>
                <w:szCs w:val="20"/>
              </w:rPr>
              <w:t>At study onset and up to three months, 21 Missouri and 97 (of 143, with similar lesions to those of MO patients) New York patients were physically examined and photographs were taken of the presenting lesion(s).</w:t>
            </w:r>
          </w:p>
          <w:p w14:paraId="4F939B99" w14:textId="77777777" w:rsidR="002D58E4" w:rsidRDefault="002D58E4">
            <w:pPr>
              <w:rPr>
                <w:sz w:val="20"/>
                <w:szCs w:val="20"/>
              </w:rPr>
            </w:pPr>
          </w:p>
        </w:tc>
        <w:tc>
          <w:tcPr>
            <w:tcW w:w="3827" w:type="dxa"/>
            <w:tcBorders>
              <w:top w:val="single" w:sz="6" w:space="0" w:color="AEAEAE"/>
              <w:left w:val="single" w:sz="6" w:space="0" w:color="AEAEAE"/>
              <w:bottom w:val="single" w:sz="6" w:space="0" w:color="AEAEAE"/>
              <w:right w:val="single" w:sz="6" w:space="0" w:color="AEAEAE"/>
            </w:tcBorders>
            <w:vAlign w:val="center"/>
          </w:tcPr>
          <w:p w14:paraId="6CC51781" w14:textId="77777777" w:rsidR="002D58E4" w:rsidRDefault="00F721D4">
            <w:pPr>
              <w:rPr>
                <w:sz w:val="20"/>
                <w:szCs w:val="20"/>
                <w:u w:val="single"/>
              </w:rPr>
            </w:pPr>
            <w:r>
              <w:rPr>
                <w:sz w:val="20"/>
                <w:szCs w:val="20"/>
                <w:u w:val="single"/>
              </w:rPr>
              <w:t>Microbiologic Diagnosis:</w:t>
            </w:r>
          </w:p>
          <w:p w14:paraId="6023ACFE" w14:textId="77777777" w:rsidR="002D58E4" w:rsidRDefault="00F721D4">
            <w:pPr>
              <w:rPr>
                <w:sz w:val="20"/>
                <w:szCs w:val="20"/>
              </w:rPr>
            </w:pPr>
            <w:r>
              <w:rPr>
                <w:sz w:val="20"/>
                <w:szCs w:val="20"/>
              </w:rPr>
              <w:t xml:space="preserve">Of 19 cultures, none of the Missouri skin samples were positive by PCR for </w:t>
            </w:r>
            <w:r>
              <w:rPr>
                <w:i/>
                <w:sz w:val="20"/>
                <w:szCs w:val="20"/>
              </w:rPr>
              <w:t>B. burgdorferi</w:t>
            </w:r>
            <w:r>
              <w:rPr>
                <w:sz w:val="20"/>
                <w:szCs w:val="20"/>
              </w:rPr>
              <w:t>. 63% of skin samples from New York patients were positive.</w:t>
            </w:r>
          </w:p>
          <w:p w14:paraId="53B0734D" w14:textId="77777777" w:rsidR="002D58E4" w:rsidRDefault="002D58E4">
            <w:pPr>
              <w:rPr>
                <w:sz w:val="20"/>
                <w:szCs w:val="20"/>
              </w:rPr>
            </w:pPr>
          </w:p>
          <w:p w14:paraId="33442172" w14:textId="77777777" w:rsidR="002D58E4" w:rsidRDefault="00F721D4">
            <w:pPr>
              <w:rPr>
                <w:sz w:val="20"/>
                <w:szCs w:val="20"/>
              </w:rPr>
            </w:pPr>
            <w:r>
              <w:rPr>
                <w:sz w:val="20"/>
                <w:szCs w:val="20"/>
              </w:rPr>
              <w:t>None of the Missouri patients were seropositive for antibodies against</w:t>
            </w:r>
            <w:r>
              <w:rPr>
                <w:i/>
                <w:sz w:val="20"/>
                <w:szCs w:val="20"/>
              </w:rPr>
              <w:t xml:space="preserve"> B. burgdorferi </w:t>
            </w:r>
            <w:r>
              <w:rPr>
                <w:sz w:val="20"/>
                <w:szCs w:val="20"/>
              </w:rPr>
              <w:t>by ELISA, whereas 75% of New York patients were (P&lt; 0.001).</w:t>
            </w:r>
          </w:p>
          <w:p w14:paraId="57C3EF66" w14:textId="77777777" w:rsidR="002D58E4" w:rsidRDefault="002D58E4">
            <w:pPr>
              <w:rPr>
                <w:sz w:val="20"/>
                <w:szCs w:val="20"/>
              </w:rPr>
            </w:pPr>
          </w:p>
          <w:p w14:paraId="12C405DB" w14:textId="77777777" w:rsidR="002D58E4" w:rsidRDefault="00F721D4">
            <w:pPr>
              <w:rPr>
                <w:sz w:val="20"/>
                <w:szCs w:val="20"/>
                <w:u w:val="single"/>
              </w:rPr>
            </w:pPr>
            <w:r>
              <w:rPr>
                <w:sz w:val="20"/>
                <w:szCs w:val="20"/>
                <w:u w:val="single"/>
              </w:rPr>
              <w:t>Clinical Diagnosis:</w:t>
            </w:r>
          </w:p>
          <w:p w14:paraId="05216852" w14:textId="77777777" w:rsidR="002D58E4" w:rsidRDefault="00F721D4">
            <w:pPr>
              <w:rPr>
                <w:sz w:val="20"/>
                <w:szCs w:val="20"/>
              </w:rPr>
            </w:pPr>
            <w:r>
              <w:rPr>
                <w:sz w:val="20"/>
                <w:szCs w:val="20"/>
              </w:rPr>
              <w:t xml:space="preserve">Statistically significant differences were found between the clinical presentations of the two </w:t>
            </w:r>
            <w:r>
              <w:rPr>
                <w:sz w:val="20"/>
                <w:szCs w:val="20"/>
              </w:rPr>
              <w:lastRenderedPageBreak/>
              <w:t>groups. 85.7% of Missouri and 19.8% of New York case patients recalled a tick bite. The authors found that the time period from tick bite to onset of the skin lesion was shorter among Missouri patients (mean 6.1 days vs. mean 10.4 days in NY patients; p=0.011).</w:t>
            </w:r>
          </w:p>
          <w:p w14:paraId="6DABC962" w14:textId="77777777" w:rsidR="002D58E4" w:rsidRDefault="002D58E4">
            <w:pPr>
              <w:rPr>
                <w:sz w:val="20"/>
                <w:szCs w:val="20"/>
              </w:rPr>
            </w:pPr>
          </w:p>
          <w:p w14:paraId="7259AC42" w14:textId="77777777" w:rsidR="002D58E4" w:rsidRDefault="00F721D4">
            <w:pPr>
              <w:rPr>
                <w:sz w:val="20"/>
                <w:szCs w:val="20"/>
              </w:rPr>
            </w:pPr>
            <w:r>
              <w:rPr>
                <w:sz w:val="20"/>
                <w:szCs w:val="20"/>
              </w:rPr>
              <w:t>Missouri patients presented with milder symptoms than those from New York (P= 0.005).  Missouri patients were less likely to be symptomatic than NY patients (p&lt;0.001), and were less likely to have multiple skin lesions (p=0.042). The skin lesions of Missouri patients were more likely to show central clearing (p&lt; 0.001) and were typically more circular in shape (p=0.004).</w:t>
            </w:r>
          </w:p>
        </w:tc>
        <w:tc>
          <w:tcPr>
            <w:tcW w:w="4111" w:type="dxa"/>
            <w:tcBorders>
              <w:top w:val="single" w:sz="6" w:space="0" w:color="AEAEAE"/>
              <w:left w:val="single" w:sz="6" w:space="0" w:color="AEAEAE"/>
              <w:bottom w:val="single" w:sz="6" w:space="0" w:color="AEAEAE"/>
              <w:right w:val="single" w:sz="6" w:space="0" w:color="AEAEAE"/>
            </w:tcBorders>
            <w:vAlign w:val="center"/>
          </w:tcPr>
          <w:p w14:paraId="75326353" w14:textId="77777777" w:rsidR="002D58E4" w:rsidRDefault="00F721D4">
            <w:pPr>
              <w:rPr>
                <w:sz w:val="20"/>
                <w:szCs w:val="20"/>
                <w:u w:val="single"/>
              </w:rPr>
            </w:pPr>
            <w:r>
              <w:rPr>
                <w:sz w:val="20"/>
                <w:szCs w:val="20"/>
                <w:u w:val="single"/>
              </w:rPr>
              <w:lastRenderedPageBreak/>
              <w:t>Microbiologic Diagnosis:</w:t>
            </w:r>
          </w:p>
          <w:p w14:paraId="29195107" w14:textId="77777777" w:rsidR="002D58E4" w:rsidRDefault="00F721D4">
            <w:pPr>
              <w:rPr>
                <w:sz w:val="20"/>
                <w:szCs w:val="20"/>
              </w:rPr>
            </w:pPr>
            <w:r>
              <w:rPr>
                <w:i/>
                <w:sz w:val="20"/>
                <w:szCs w:val="20"/>
              </w:rPr>
              <w:t>B. lonestari</w:t>
            </w:r>
            <w:r>
              <w:rPr>
                <w:sz w:val="20"/>
                <w:szCs w:val="20"/>
              </w:rPr>
              <w:t xml:space="preserve"> and </w:t>
            </w:r>
            <w:r>
              <w:rPr>
                <w:i/>
                <w:sz w:val="20"/>
                <w:szCs w:val="20"/>
              </w:rPr>
              <w:t>B. burgdorferi</w:t>
            </w:r>
            <w:r>
              <w:rPr>
                <w:sz w:val="20"/>
                <w:szCs w:val="20"/>
              </w:rPr>
              <w:t xml:space="preserve"> are not likely cases of EM-like skin lesions in patients from Missouri. The etiology of the condition is unknown.</w:t>
            </w:r>
          </w:p>
          <w:p w14:paraId="4B464658" w14:textId="77777777" w:rsidR="002D58E4" w:rsidRDefault="002D58E4">
            <w:pPr>
              <w:rPr>
                <w:sz w:val="20"/>
                <w:szCs w:val="20"/>
              </w:rPr>
            </w:pPr>
          </w:p>
          <w:p w14:paraId="62057EC6" w14:textId="2754F9F1" w:rsidR="002D58E4" w:rsidRDefault="00F721D4">
            <w:pPr>
              <w:rPr>
                <w:sz w:val="20"/>
                <w:szCs w:val="20"/>
              </w:rPr>
            </w:pPr>
            <w:r>
              <w:rPr>
                <w:sz w:val="20"/>
                <w:szCs w:val="20"/>
              </w:rPr>
              <w:t xml:space="preserve">No evidence of </w:t>
            </w:r>
            <w:r>
              <w:rPr>
                <w:i/>
                <w:sz w:val="20"/>
                <w:szCs w:val="20"/>
              </w:rPr>
              <w:t>B. lonestari</w:t>
            </w:r>
            <w:r>
              <w:rPr>
                <w:sz w:val="20"/>
                <w:szCs w:val="20"/>
              </w:rPr>
              <w:t xml:space="preserve"> was found in any of 312 field-collected </w:t>
            </w:r>
            <w:r>
              <w:rPr>
                <w:i/>
                <w:sz w:val="20"/>
                <w:szCs w:val="20"/>
              </w:rPr>
              <w:t>A. americanum</w:t>
            </w:r>
            <w:r>
              <w:rPr>
                <w:sz w:val="20"/>
                <w:szCs w:val="20"/>
              </w:rPr>
              <w:t xml:space="preserve"> ticks or in 2 </w:t>
            </w:r>
            <w:r>
              <w:rPr>
                <w:i/>
                <w:sz w:val="20"/>
                <w:szCs w:val="20"/>
              </w:rPr>
              <w:t>A. americanum</w:t>
            </w:r>
            <w:r>
              <w:rPr>
                <w:sz w:val="20"/>
                <w:szCs w:val="20"/>
              </w:rPr>
              <w:t xml:space="preserve"> ticks removed from Missouri patients who later developed EM-like lesions.</w:t>
            </w:r>
          </w:p>
          <w:p w14:paraId="07DD65D9" w14:textId="77777777" w:rsidR="002D58E4" w:rsidRDefault="002D58E4">
            <w:pPr>
              <w:rPr>
                <w:sz w:val="20"/>
                <w:szCs w:val="20"/>
              </w:rPr>
            </w:pPr>
          </w:p>
          <w:p w14:paraId="5398E93B" w14:textId="77777777" w:rsidR="002D58E4" w:rsidRDefault="00F721D4">
            <w:pPr>
              <w:rPr>
                <w:sz w:val="20"/>
                <w:szCs w:val="20"/>
                <w:u w:val="single"/>
              </w:rPr>
            </w:pPr>
            <w:r>
              <w:rPr>
                <w:sz w:val="20"/>
                <w:szCs w:val="20"/>
                <w:u w:val="single"/>
              </w:rPr>
              <w:t>Clinical Diagnosis:</w:t>
            </w:r>
          </w:p>
          <w:p w14:paraId="2C386D80" w14:textId="77777777" w:rsidR="002D58E4" w:rsidRDefault="00F721D4">
            <w:pPr>
              <w:rPr>
                <w:sz w:val="20"/>
                <w:szCs w:val="20"/>
              </w:rPr>
            </w:pPr>
            <w:r>
              <w:rPr>
                <w:sz w:val="20"/>
                <w:szCs w:val="20"/>
              </w:rPr>
              <w:t xml:space="preserve">Missouri patients recovered more rapidly than NY patients after antibiotic therapy (p=0.037). </w:t>
            </w:r>
          </w:p>
          <w:p w14:paraId="0BCDA504" w14:textId="77777777" w:rsidR="002D58E4" w:rsidRDefault="002D58E4">
            <w:pPr>
              <w:rPr>
                <w:sz w:val="20"/>
                <w:szCs w:val="20"/>
              </w:rPr>
            </w:pPr>
          </w:p>
          <w:p w14:paraId="6B4031F0" w14:textId="77777777" w:rsidR="002D58E4" w:rsidRDefault="00F721D4">
            <w:pPr>
              <w:rPr>
                <w:sz w:val="20"/>
                <w:szCs w:val="20"/>
              </w:rPr>
            </w:pPr>
            <w:r>
              <w:rPr>
                <w:sz w:val="20"/>
                <w:szCs w:val="20"/>
              </w:rPr>
              <w:lastRenderedPageBreak/>
              <w:t xml:space="preserve">The authors noted several statistically significant differences in clinical presentation of EM-like lesions between patients in Missouri and patients in New York. </w:t>
            </w:r>
          </w:p>
        </w:tc>
      </w:tr>
      <w:tr w:rsidR="002D58E4" w14:paraId="4B3C238F" w14:textId="77777777" w:rsidTr="00E70FE5">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78DB462" w14:textId="77777777" w:rsidR="002D58E4" w:rsidRDefault="00F721D4">
            <w:pPr>
              <w:rPr>
                <w:sz w:val="20"/>
                <w:szCs w:val="20"/>
              </w:rPr>
            </w:pPr>
            <w:r>
              <w:rPr>
                <w:sz w:val="20"/>
                <w:szCs w:val="20"/>
              </w:rPr>
              <w:lastRenderedPageBreak/>
              <w:t>Philipp, et al., 2006</w:t>
            </w:r>
          </w:p>
          <w:p w14:paraId="424E008C" w14:textId="77777777" w:rsidR="002D58E4" w:rsidRDefault="002D58E4">
            <w:pPr>
              <w:rPr>
                <w:sz w:val="20"/>
                <w:szCs w:val="20"/>
              </w:rPr>
            </w:pPr>
          </w:p>
          <w:p w14:paraId="4577D8BF" w14:textId="77777777" w:rsidR="002D58E4" w:rsidRDefault="00F721D4">
            <w:pPr>
              <w:rPr>
                <w:sz w:val="20"/>
                <w:szCs w:val="20"/>
              </w:rPr>
            </w:pPr>
            <w:r>
              <w:rPr>
                <w:sz w:val="20"/>
                <w:szCs w:val="20"/>
              </w:rPr>
              <w:t>Maryland, Missouri, New York, and North Carolina</w:t>
            </w:r>
          </w:p>
        </w:tc>
        <w:tc>
          <w:tcPr>
            <w:tcW w:w="900" w:type="dxa"/>
            <w:tcBorders>
              <w:top w:val="single" w:sz="6" w:space="0" w:color="AEAEAE"/>
              <w:left w:val="single" w:sz="6" w:space="0" w:color="AEAEAE"/>
              <w:bottom w:val="single" w:sz="6" w:space="0" w:color="AEAEAE"/>
              <w:right w:val="single" w:sz="6" w:space="0" w:color="AEAEAE"/>
            </w:tcBorders>
            <w:vAlign w:val="center"/>
          </w:tcPr>
          <w:p w14:paraId="21C2E1B8"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4C5A0A83" w14:textId="77777777" w:rsidR="002D58E4" w:rsidRDefault="00F721D4">
            <w:pPr>
              <w:jc w:val="center"/>
              <w:rPr>
                <w:sz w:val="20"/>
                <w:szCs w:val="20"/>
              </w:rPr>
            </w:pPr>
            <w:r>
              <w:rPr>
                <w:sz w:val="20"/>
                <w:szCs w:val="20"/>
              </w:rPr>
              <w:t>4</w:t>
            </w:r>
          </w:p>
        </w:tc>
        <w:tc>
          <w:tcPr>
            <w:tcW w:w="3971" w:type="dxa"/>
            <w:tcBorders>
              <w:top w:val="single" w:sz="6" w:space="0" w:color="AEAEAE"/>
              <w:left w:val="single" w:sz="6" w:space="0" w:color="AEAEAE"/>
              <w:bottom w:val="single" w:sz="6" w:space="0" w:color="AEAEAE"/>
              <w:right w:val="single" w:sz="6" w:space="0" w:color="AEAEAE"/>
            </w:tcBorders>
            <w:vAlign w:val="center"/>
          </w:tcPr>
          <w:p w14:paraId="3552260C" w14:textId="77777777" w:rsidR="002D58E4" w:rsidRDefault="00F721D4">
            <w:pPr>
              <w:rPr>
                <w:sz w:val="20"/>
                <w:szCs w:val="20"/>
              </w:rPr>
            </w:pPr>
            <w:r>
              <w:rPr>
                <w:sz w:val="20"/>
                <w:szCs w:val="20"/>
              </w:rPr>
              <w:t xml:space="preserve">Serum specimens were evaluated for presence of antibodies against </w:t>
            </w:r>
            <w:r>
              <w:rPr>
                <w:i/>
                <w:sz w:val="20"/>
                <w:szCs w:val="20"/>
              </w:rPr>
              <w:t>B. burgdorferi</w:t>
            </w:r>
            <w:r>
              <w:rPr>
                <w:sz w:val="20"/>
                <w:szCs w:val="20"/>
              </w:rPr>
              <w:t xml:space="preserve"> by the C6 Lyme ELISA. </w:t>
            </w:r>
          </w:p>
          <w:p w14:paraId="2B8A67C3" w14:textId="77777777" w:rsidR="002D58E4" w:rsidRDefault="002D58E4">
            <w:pPr>
              <w:rPr>
                <w:sz w:val="20"/>
                <w:szCs w:val="20"/>
              </w:rPr>
            </w:pPr>
          </w:p>
          <w:p w14:paraId="77BB6FAA" w14:textId="77777777" w:rsidR="002D58E4" w:rsidRDefault="00F721D4">
            <w:pPr>
              <w:rPr>
                <w:sz w:val="20"/>
                <w:szCs w:val="20"/>
              </w:rPr>
            </w:pPr>
            <w:r>
              <w:rPr>
                <w:sz w:val="20"/>
                <w:szCs w:val="20"/>
                <w:u w:val="single"/>
              </w:rPr>
              <w:t>Focus Diagnostics, Inc. (FDI)</w:t>
            </w:r>
            <w:r>
              <w:rPr>
                <w:sz w:val="20"/>
                <w:szCs w:val="20"/>
              </w:rPr>
              <w:t xml:space="preserve">: Specimens from 9 STARI patients from Missouri and from one patient who had a proven </w:t>
            </w:r>
            <w:r>
              <w:rPr>
                <w:i/>
                <w:sz w:val="20"/>
                <w:szCs w:val="20"/>
              </w:rPr>
              <w:t>B. lonestari</w:t>
            </w:r>
            <w:r>
              <w:rPr>
                <w:sz w:val="20"/>
                <w:szCs w:val="20"/>
              </w:rPr>
              <w:t xml:space="preserve"> infection acquired in Maryland or North Carolina. </w:t>
            </w:r>
          </w:p>
          <w:p w14:paraId="6CB7C610" w14:textId="77777777" w:rsidR="002D58E4" w:rsidRDefault="002D58E4">
            <w:pPr>
              <w:rPr>
                <w:sz w:val="20"/>
                <w:szCs w:val="20"/>
              </w:rPr>
            </w:pPr>
          </w:p>
          <w:p w14:paraId="61365703" w14:textId="77777777" w:rsidR="002D58E4" w:rsidRDefault="00F721D4">
            <w:pPr>
              <w:rPr>
                <w:sz w:val="20"/>
                <w:szCs w:val="20"/>
              </w:rPr>
            </w:pPr>
            <w:r>
              <w:rPr>
                <w:sz w:val="20"/>
                <w:szCs w:val="20"/>
              </w:rPr>
              <w:t>9 acute-phase and 9 convalescent-phase specimens from patients with erythema migrans and culture-confirmed</w:t>
            </w:r>
          </w:p>
          <w:p w14:paraId="7CB4EA06" w14:textId="77777777" w:rsidR="002D58E4" w:rsidRDefault="00F721D4">
            <w:pPr>
              <w:rPr>
                <w:sz w:val="20"/>
                <w:szCs w:val="20"/>
              </w:rPr>
            </w:pPr>
            <w:r>
              <w:rPr>
                <w:sz w:val="20"/>
                <w:szCs w:val="20"/>
              </w:rPr>
              <w:t>Lyme disease patients from New York.</w:t>
            </w:r>
          </w:p>
          <w:p w14:paraId="4382E383" w14:textId="77777777" w:rsidR="002D58E4" w:rsidRDefault="002D58E4">
            <w:pPr>
              <w:rPr>
                <w:sz w:val="20"/>
                <w:szCs w:val="20"/>
              </w:rPr>
            </w:pPr>
          </w:p>
          <w:p w14:paraId="0F5EF1D5" w14:textId="77777777" w:rsidR="002D58E4" w:rsidRDefault="00F721D4">
            <w:pPr>
              <w:rPr>
                <w:sz w:val="20"/>
                <w:szCs w:val="20"/>
              </w:rPr>
            </w:pPr>
            <w:r>
              <w:rPr>
                <w:sz w:val="20"/>
                <w:szCs w:val="20"/>
                <w:u w:val="single"/>
              </w:rPr>
              <w:t>Tulane Nat’l. Primate Research Center (TNPRC):</w:t>
            </w:r>
            <w:r>
              <w:rPr>
                <w:sz w:val="20"/>
                <w:szCs w:val="20"/>
              </w:rPr>
              <w:t xml:space="preserve"> 70 acute- or convalescent-phase samples from 63 STARI patients from Missouri were tested. </w:t>
            </w:r>
          </w:p>
        </w:tc>
        <w:tc>
          <w:tcPr>
            <w:tcW w:w="3827" w:type="dxa"/>
            <w:tcBorders>
              <w:top w:val="single" w:sz="6" w:space="0" w:color="AEAEAE"/>
              <w:left w:val="single" w:sz="6" w:space="0" w:color="AEAEAE"/>
              <w:bottom w:val="single" w:sz="6" w:space="0" w:color="AEAEAE"/>
              <w:right w:val="single" w:sz="6" w:space="0" w:color="AEAEAE"/>
            </w:tcBorders>
            <w:vAlign w:val="center"/>
          </w:tcPr>
          <w:p w14:paraId="487038AB" w14:textId="77777777" w:rsidR="002D58E4" w:rsidRDefault="00F721D4">
            <w:pPr>
              <w:jc w:val="center"/>
              <w:rPr>
                <w:sz w:val="20"/>
                <w:szCs w:val="20"/>
              </w:rPr>
            </w:pPr>
            <w:r>
              <w:rPr>
                <w:sz w:val="20"/>
                <w:szCs w:val="20"/>
              </w:rPr>
              <w:t>ND</w:t>
            </w:r>
          </w:p>
        </w:tc>
        <w:tc>
          <w:tcPr>
            <w:tcW w:w="4111" w:type="dxa"/>
            <w:tcBorders>
              <w:top w:val="single" w:sz="6" w:space="0" w:color="AEAEAE"/>
              <w:left w:val="single" w:sz="6" w:space="0" w:color="AEAEAE"/>
              <w:bottom w:val="single" w:sz="6" w:space="0" w:color="AEAEAE"/>
              <w:right w:val="single" w:sz="6" w:space="0" w:color="AEAEAE"/>
            </w:tcBorders>
            <w:vAlign w:val="center"/>
          </w:tcPr>
          <w:p w14:paraId="143ACC1E" w14:textId="77777777" w:rsidR="002D58E4" w:rsidRDefault="00F721D4">
            <w:pPr>
              <w:rPr>
                <w:sz w:val="20"/>
                <w:szCs w:val="20"/>
              </w:rPr>
            </w:pPr>
            <w:r>
              <w:rPr>
                <w:sz w:val="20"/>
                <w:szCs w:val="20"/>
                <w:u w:val="single"/>
              </w:rPr>
              <w:t>FDI:</w:t>
            </w:r>
            <w:r>
              <w:rPr>
                <w:sz w:val="20"/>
                <w:szCs w:val="20"/>
              </w:rPr>
              <w:t xml:space="preserve"> All 10 serum samples from STARI patients were negative by C6 Lyme ELISA. </w:t>
            </w:r>
          </w:p>
          <w:p w14:paraId="2EB56621" w14:textId="77777777" w:rsidR="002D58E4" w:rsidRDefault="002D58E4">
            <w:pPr>
              <w:rPr>
                <w:sz w:val="20"/>
                <w:szCs w:val="20"/>
              </w:rPr>
            </w:pPr>
          </w:p>
          <w:p w14:paraId="001BC18E" w14:textId="77777777" w:rsidR="002D58E4" w:rsidRDefault="00F721D4">
            <w:pPr>
              <w:rPr>
                <w:sz w:val="20"/>
                <w:szCs w:val="20"/>
              </w:rPr>
            </w:pPr>
            <w:r>
              <w:rPr>
                <w:sz w:val="20"/>
                <w:szCs w:val="20"/>
              </w:rPr>
              <w:t xml:space="preserve">In contrast, 88.9% (8 of 9) of serum samples from New York patients with Lyme disease were positive by C6 ELISA. </w:t>
            </w:r>
          </w:p>
          <w:p w14:paraId="43DD1597" w14:textId="77777777" w:rsidR="002D58E4" w:rsidRDefault="002D58E4">
            <w:pPr>
              <w:rPr>
                <w:sz w:val="20"/>
                <w:szCs w:val="20"/>
              </w:rPr>
            </w:pPr>
          </w:p>
          <w:p w14:paraId="139213C2" w14:textId="77777777" w:rsidR="002D58E4" w:rsidRDefault="00F721D4">
            <w:pPr>
              <w:rPr>
                <w:sz w:val="20"/>
                <w:szCs w:val="20"/>
              </w:rPr>
            </w:pPr>
            <w:r>
              <w:rPr>
                <w:sz w:val="20"/>
                <w:szCs w:val="20"/>
                <w:u w:val="single"/>
              </w:rPr>
              <w:t>TNPRC:</w:t>
            </w:r>
            <w:r>
              <w:rPr>
                <w:sz w:val="20"/>
                <w:szCs w:val="20"/>
              </w:rPr>
              <w:t xml:space="preserve"> 98.4% (62 of 63) serum samples from STARI patients were negative by C6 Lyme ELISA. </w:t>
            </w:r>
          </w:p>
          <w:p w14:paraId="660CA96E" w14:textId="77777777" w:rsidR="002D58E4" w:rsidRDefault="002D58E4">
            <w:pPr>
              <w:rPr>
                <w:sz w:val="20"/>
                <w:szCs w:val="20"/>
              </w:rPr>
            </w:pPr>
          </w:p>
          <w:p w14:paraId="0ECCC465" w14:textId="77777777" w:rsidR="002D58E4" w:rsidRDefault="00F721D4">
            <w:pPr>
              <w:rPr>
                <w:sz w:val="20"/>
                <w:szCs w:val="20"/>
              </w:rPr>
            </w:pPr>
            <w:r>
              <w:rPr>
                <w:sz w:val="20"/>
                <w:szCs w:val="20"/>
              </w:rPr>
              <w:t xml:space="preserve">The authors concluded that patients who presented with an “erythema-migrans-like” rash, or “Lyme-like” illness in Southern states such as Missouri or North Carolina do not have Lyme disease. </w:t>
            </w:r>
          </w:p>
          <w:p w14:paraId="60970B97" w14:textId="77777777" w:rsidR="002D58E4" w:rsidRDefault="002D58E4">
            <w:pPr>
              <w:rPr>
                <w:sz w:val="20"/>
                <w:szCs w:val="20"/>
              </w:rPr>
            </w:pPr>
          </w:p>
          <w:p w14:paraId="1DA482D7" w14:textId="77777777" w:rsidR="002D58E4" w:rsidRDefault="002D58E4">
            <w:pPr>
              <w:rPr>
                <w:sz w:val="20"/>
                <w:szCs w:val="20"/>
              </w:rPr>
            </w:pPr>
          </w:p>
        </w:tc>
      </w:tr>
      <w:tr w:rsidR="002D58E4" w14:paraId="15309C7B" w14:textId="77777777" w:rsidTr="00E70FE5">
        <w:trPr>
          <w:trHeight w:val="324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D2CFA4B" w14:textId="77777777" w:rsidR="002D58E4" w:rsidRDefault="00F721D4">
            <w:pPr>
              <w:rPr>
                <w:sz w:val="20"/>
                <w:szCs w:val="20"/>
              </w:rPr>
            </w:pPr>
            <w:r>
              <w:rPr>
                <w:sz w:val="20"/>
                <w:szCs w:val="20"/>
              </w:rPr>
              <w:lastRenderedPageBreak/>
              <w:t>Clark, 2013</w:t>
            </w:r>
          </w:p>
          <w:p w14:paraId="218AE4D1" w14:textId="77777777" w:rsidR="002D58E4" w:rsidRDefault="002D58E4">
            <w:pPr>
              <w:rPr>
                <w:sz w:val="20"/>
                <w:szCs w:val="20"/>
              </w:rPr>
            </w:pPr>
          </w:p>
          <w:p w14:paraId="6878EA09" w14:textId="77777777" w:rsidR="002D58E4" w:rsidRDefault="00F721D4">
            <w:pPr>
              <w:rPr>
                <w:sz w:val="20"/>
                <w:szCs w:val="20"/>
              </w:rPr>
            </w:pPr>
            <w:r>
              <w:rPr>
                <w:sz w:val="20"/>
                <w:szCs w:val="20"/>
              </w:rPr>
              <w:t>Florida and Georgia, USA</w:t>
            </w:r>
          </w:p>
        </w:tc>
        <w:tc>
          <w:tcPr>
            <w:tcW w:w="900" w:type="dxa"/>
            <w:tcBorders>
              <w:top w:val="single" w:sz="6" w:space="0" w:color="AEAEAE"/>
              <w:left w:val="single" w:sz="6" w:space="0" w:color="AEAEAE"/>
              <w:bottom w:val="single" w:sz="6" w:space="0" w:color="AEAEAE"/>
              <w:right w:val="single" w:sz="6" w:space="0" w:color="AEAEAE"/>
            </w:tcBorders>
            <w:vAlign w:val="center"/>
          </w:tcPr>
          <w:p w14:paraId="01B73962" w14:textId="77777777" w:rsidR="002D58E4" w:rsidRDefault="00F721D4">
            <w:pPr>
              <w:rPr>
                <w:sz w:val="20"/>
                <w:szCs w:val="20"/>
              </w:rPr>
            </w:pPr>
            <w:r>
              <w:rPr>
                <w:sz w:val="20"/>
                <w:szCs w:val="20"/>
              </w:rPr>
              <w:t>Case series (10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6D211D78" w14:textId="77777777" w:rsidR="002D58E4" w:rsidRDefault="00F721D4">
            <w:pPr>
              <w:jc w:val="center"/>
              <w:rPr>
                <w:sz w:val="20"/>
                <w:szCs w:val="20"/>
              </w:rPr>
            </w:pPr>
            <w:r>
              <w:rPr>
                <w:sz w:val="20"/>
                <w:szCs w:val="20"/>
              </w:rPr>
              <w:t>NA</w:t>
            </w:r>
          </w:p>
        </w:tc>
        <w:tc>
          <w:tcPr>
            <w:tcW w:w="3971" w:type="dxa"/>
            <w:tcBorders>
              <w:top w:val="single" w:sz="6" w:space="0" w:color="AEAEAE"/>
              <w:left w:val="single" w:sz="6" w:space="0" w:color="AEAEAE"/>
              <w:bottom w:val="single" w:sz="6" w:space="0" w:color="AEAEAE"/>
              <w:right w:val="single" w:sz="6" w:space="0" w:color="AEAEAE"/>
            </w:tcBorders>
            <w:vAlign w:val="center"/>
          </w:tcPr>
          <w:p w14:paraId="2A747FA1" w14:textId="77777777" w:rsidR="002D58E4" w:rsidRDefault="00F721D4">
            <w:pPr>
              <w:rPr>
                <w:sz w:val="20"/>
                <w:szCs w:val="20"/>
              </w:rPr>
            </w:pPr>
            <w:r>
              <w:rPr>
                <w:sz w:val="20"/>
                <w:szCs w:val="20"/>
              </w:rPr>
              <w:t xml:space="preserve">Clinical presentation, PCR, and DNA sequence used to identify </w:t>
            </w:r>
            <w:r>
              <w:rPr>
                <w:i/>
                <w:sz w:val="20"/>
                <w:szCs w:val="20"/>
              </w:rPr>
              <w:t xml:space="preserve">B. burgdorferi </w:t>
            </w:r>
            <w:r>
              <w:rPr>
                <w:sz w:val="20"/>
                <w:szCs w:val="20"/>
              </w:rPr>
              <w:t>in samples of blood and skin in 10 patients (6 of 10 female) from Florida or Georgia.</w:t>
            </w:r>
          </w:p>
          <w:p w14:paraId="525117C8" w14:textId="77777777" w:rsidR="002D58E4" w:rsidRDefault="002D58E4">
            <w:pPr>
              <w:rPr>
                <w:sz w:val="20"/>
                <w:szCs w:val="20"/>
              </w:rPr>
            </w:pPr>
          </w:p>
          <w:p w14:paraId="0C0A3AC3" w14:textId="77777777" w:rsidR="002D58E4" w:rsidRDefault="00F721D4">
            <w:pPr>
              <w:rPr>
                <w:sz w:val="20"/>
                <w:szCs w:val="20"/>
              </w:rPr>
            </w:pPr>
            <w:r>
              <w:rPr>
                <w:sz w:val="20"/>
                <w:szCs w:val="20"/>
              </w:rPr>
              <w:t xml:space="preserve">In 4 patients with Lone Star tick bites, </w:t>
            </w:r>
            <w:r>
              <w:rPr>
                <w:i/>
                <w:sz w:val="20"/>
                <w:szCs w:val="20"/>
              </w:rPr>
              <w:t>B. burgdorferi</w:t>
            </w:r>
            <w:r>
              <w:rPr>
                <w:sz w:val="20"/>
                <w:szCs w:val="20"/>
              </w:rPr>
              <w:t xml:space="preserve"> sensu lato DNA was found and confirmed by PCR.</w:t>
            </w:r>
          </w:p>
          <w:p w14:paraId="7F7CFBEA" w14:textId="77777777" w:rsidR="002D58E4" w:rsidRDefault="002D58E4">
            <w:pPr>
              <w:rPr>
                <w:sz w:val="20"/>
                <w:szCs w:val="20"/>
              </w:rPr>
            </w:pPr>
          </w:p>
          <w:p w14:paraId="78D93F3C" w14:textId="77777777" w:rsidR="002D58E4" w:rsidRDefault="002D58E4">
            <w:pPr>
              <w:rPr>
                <w:sz w:val="20"/>
                <w:szCs w:val="20"/>
              </w:rPr>
            </w:pPr>
          </w:p>
          <w:p w14:paraId="415BCB1F" w14:textId="77777777" w:rsidR="002D58E4" w:rsidRDefault="002D58E4">
            <w:pPr>
              <w:rPr>
                <w:sz w:val="20"/>
                <w:szCs w:val="20"/>
              </w:rPr>
            </w:pPr>
          </w:p>
        </w:tc>
        <w:tc>
          <w:tcPr>
            <w:tcW w:w="3827" w:type="dxa"/>
            <w:tcBorders>
              <w:top w:val="single" w:sz="6" w:space="0" w:color="AEAEAE"/>
              <w:left w:val="single" w:sz="6" w:space="0" w:color="AEAEAE"/>
              <w:bottom w:val="single" w:sz="6" w:space="0" w:color="AEAEAE"/>
              <w:right w:val="single" w:sz="6" w:space="0" w:color="AEAEAE"/>
            </w:tcBorders>
            <w:vAlign w:val="center"/>
          </w:tcPr>
          <w:p w14:paraId="798C3482" w14:textId="77777777" w:rsidR="002D58E4" w:rsidRDefault="00F721D4">
            <w:pPr>
              <w:jc w:val="center"/>
              <w:rPr>
                <w:sz w:val="20"/>
                <w:szCs w:val="20"/>
              </w:rPr>
            </w:pPr>
            <w:r>
              <w:rPr>
                <w:sz w:val="20"/>
                <w:szCs w:val="20"/>
              </w:rPr>
              <w:t>ND</w:t>
            </w:r>
          </w:p>
        </w:tc>
        <w:tc>
          <w:tcPr>
            <w:tcW w:w="4111" w:type="dxa"/>
            <w:tcBorders>
              <w:top w:val="single" w:sz="6" w:space="0" w:color="AEAEAE"/>
              <w:left w:val="single" w:sz="6" w:space="0" w:color="AEAEAE"/>
              <w:bottom w:val="single" w:sz="6" w:space="0" w:color="AEAEAE"/>
              <w:right w:val="single" w:sz="6" w:space="0" w:color="AEAEAE"/>
            </w:tcBorders>
            <w:vAlign w:val="center"/>
          </w:tcPr>
          <w:p w14:paraId="12C74DAD" w14:textId="77777777" w:rsidR="002D58E4" w:rsidRDefault="00F721D4">
            <w:pPr>
              <w:rPr>
                <w:sz w:val="20"/>
                <w:szCs w:val="20"/>
              </w:rPr>
            </w:pPr>
            <w:r>
              <w:rPr>
                <w:sz w:val="20"/>
                <w:szCs w:val="20"/>
              </w:rPr>
              <w:t xml:space="preserve">Several </w:t>
            </w:r>
            <w:r>
              <w:rPr>
                <w:i/>
                <w:sz w:val="20"/>
                <w:szCs w:val="20"/>
              </w:rPr>
              <w:t>B. burgdorferi</w:t>
            </w:r>
            <w:r>
              <w:rPr>
                <w:sz w:val="20"/>
                <w:szCs w:val="20"/>
              </w:rPr>
              <w:t xml:space="preserve"> sensu lato species may be associated with Lyme disease-like signs and symptoms in southern states. </w:t>
            </w:r>
          </w:p>
          <w:p w14:paraId="02FB8F70" w14:textId="77777777" w:rsidR="002D58E4" w:rsidRDefault="00F721D4">
            <w:pPr>
              <w:rPr>
                <w:sz w:val="20"/>
                <w:szCs w:val="20"/>
              </w:rPr>
            </w:pPr>
            <w:r>
              <w:rPr>
                <w:sz w:val="20"/>
                <w:szCs w:val="20"/>
              </w:rPr>
              <w:br/>
              <w:t xml:space="preserve">Lyme borreliosis occurs in Florida and Georgia. Some cases of Lyme-like illness referred to as STARI in southern United States may actually be prior, undetected infections with Lyme </w:t>
            </w:r>
            <w:r>
              <w:rPr>
                <w:i/>
                <w:sz w:val="20"/>
                <w:szCs w:val="20"/>
              </w:rPr>
              <w:t>Borrelia</w:t>
            </w:r>
            <w:r>
              <w:rPr>
                <w:sz w:val="20"/>
                <w:szCs w:val="20"/>
              </w:rPr>
              <w:t xml:space="preserve"> strains.</w:t>
            </w:r>
            <w:r>
              <w:rPr>
                <w:sz w:val="20"/>
                <w:szCs w:val="20"/>
              </w:rPr>
              <w:br/>
            </w:r>
          </w:p>
          <w:p w14:paraId="07BA67E6" w14:textId="77777777" w:rsidR="002D58E4" w:rsidRDefault="00F721D4">
            <w:pPr>
              <w:rPr>
                <w:sz w:val="20"/>
                <w:szCs w:val="20"/>
              </w:rPr>
            </w:pPr>
            <w:r>
              <w:rPr>
                <w:sz w:val="20"/>
                <w:szCs w:val="20"/>
              </w:rPr>
              <w:t xml:space="preserve">Study found no evidence to support </w:t>
            </w:r>
            <w:r>
              <w:rPr>
                <w:i/>
                <w:sz w:val="20"/>
                <w:szCs w:val="20"/>
              </w:rPr>
              <w:t>B. lonestari</w:t>
            </w:r>
            <w:r>
              <w:rPr>
                <w:sz w:val="20"/>
                <w:szCs w:val="20"/>
              </w:rPr>
              <w:t xml:space="preserve"> as cause of STARI.</w:t>
            </w:r>
          </w:p>
        </w:tc>
      </w:tr>
      <w:tr w:rsidR="002D58E4" w14:paraId="4DAFD350" w14:textId="77777777" w:rsidTr="00E70FE5">
        <w:trPr>
          <w:trHeight w:val="600"/>
        </w:trPr>
        <w:tc>
          <w:tcPr>
            <w:tcW w:w="102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4EFCE74" w14:textId="77777777" w:rsidR="002D58E4" w:rsidRDefault="00F721D4">
            <w:pPr>
              <w:jc w:val="center"/>
              <w:rPr>
                <w:sz w:val="20"/>
                <w:szCs w:val="20"/>
              </w:rPr>
            </w:pPr>
            <w:r>
              <w:rPr>
                <w:b/>
                <w:color w:val="000000"/>
                <w:sz w:val="20"/>
                <w:szCs w:val="20"/>
              </w:rPr>
              <w:t>Study and Location</w:t>
            </w:r>
          </w:p>
        </w:tc>
        <w:tc>
          <w:tcPr>
            <w:tcW w:w="900" w:type="dxa"/>
            <w:tcBorders>
              <w:top w:val="single" w:sz="6" w:space="0" w:color="AEAEAE"/>
              <w:left w:val="single" w:sz="6" w:space="0" w:color="AEAEAE"/>
              <w:bottom w:val="single" w:sz="6" w:space="0" w:color="AEAEAE"/>
              <w:right w:val="single" w:sz="6" w:space="0" w:color="AEAEAE"/>
            </w:tcBorders>
            <w:shd w:val="clear" w:color="auto" w:fill="D9D9D9"/>
          </w:tcPr>
          <w:p w14:paraId="7ECFF012"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0A39E661" w14:textId="77777777" w:rsidR="002D58E4" w:rsidRDefault="00F721D4">
            <w:pPr>
              <w:jc w:val="center"/>
              <w:rPr>
                <w:b/>
                <w:color w:val="000000"/>
                <w:sz w:val="20"/>
                <w:szCs w:val="20"/>
              </w:rPr>
            </w:pPr>
            <w:r>
              <w:rPr>
                <w:b/>
                <w:color w:val="000000"/>
                <w:sz w:val="20"/>
                <w:szCs w:val="20"/>
              </w:rPr>
              <w:t>Risk of bias*</w:t>
            </w:r>
          </w:p>
        </w:tc>
        <w:tc>
          <w:tcPr>
            <w:tcW w:w="3971" w:type="dxa"/>
            <w:tcBorders>
              <w:top w:val="single" w:sz="6" w:space="0" w:color="AEAEAE"/>
              <w:left w:val="single" w:sz="6" w:space="0" w:color="AEAEAE"/>
              <w:bottom w:val="single" w:sz="6" w:space="0" w:color="AEAEAE"/>
              <w:right w:val="single" w:sz="6" w:space="0" w:color="AEAEAE"/>
            </w:tcBorders>
            <w:shd w:val="clear" w:color="auto" w:fill="D9D9D9"/>
          </w:tcPr>
          <w:p w14:paraId="6A47CE75" w14:textId="77777777" w:rsidR="002D58E4" w:rsidRDefault="00F721D4">
            <w:pPr>
              <w:jc w:val="center"/>
              <w:rPr>
                <w:b/>
                <w:color w:val="000000"/>
                <w:sz w:val="20"/>
                <w:szCs w:val="20"/>
              </w:rPr>
            </w:pPr>
            <w:r>
              <w:rPr>
                <w:b/>
                <w:color w:val="000000"/>
                <w:sz w:val="20"/>
                <w:szCs w:val="20"/>
              </w:rPr>
              <w:t>Population Characteristics and Treatment Decision Options</w:t>
            </w:r>
          </w:p>
        </w:tc>
        <w:tc>
          <w:tcPr>
            <w:tcW w:w="3827" w:type="dxa"/>
            <w:tcBorders>
              <w:top w:val="single" w:sz="6" w:space="0" w:color="AEAEAE"/>
              <w:left w:val="single" w:sz="6" w:space="0" w:color="AEAEAE"/>
              <w:bottom w:val="single" w:sz="6" w:space="0" w:color="AEAEAE"/>
              <w:right w:val="single" w:sz="6" w:space="0" w:color="AEAEAE"/>
            </w:tcBorders>
            <w:shd w:val="clear" w:color="auto" w:fill="D9D9D9"/>
          </w:tcPr>
          <w:p w14:paraId="5FC859AF" w14:textId="77777777" w:rsidR="002D58E4" w:rsidRDefault="00F721D4">
            <w:pPr>
              <w:jc w:val="center"/>
              <w:rPr>
                <w:b/>
                <w:color w:val="000000"/>
                <w:sz w:val="20"/>
                <w:szCs w:val="20"/>
              </w:rPr>
            </w:pPr>
            <w:r>
              <w:rPr>
                <w:b/>
                <w:color w:val="000000"/>
                <w:sz w:val="20"/>
                <w:szCs w:val="20"/>
              </w:rPr>
              <w:t>Study Results</w:t>
            </w:r>
          </w:p>
        </w:tc>
        <w:tc>
          <w:tcPr>
            <w:tcW w:w="4111" w:type="dxa"/>
            <w:tcBorders>
              <w:top w:val="single" w:sz="6" w:space="0" w:color="AEAEAE"/>
              <w:left w:val="single" w:sz="6" w:space="0" w:color="AEAEAE"/>
              <w:bottom w:val="single" w:sz="6" w:space="0" w:color="AEAEAE"/>
              <w:right w:val="single" w:sz="6" w:space="0" w:color="AEAEAE"/>
            </w:tcBorders>
            <w:shd w:val="clear" w:color="auto" w:fill="D9D9D9"/>
          </w:tcPr>
          <w:p w14:paraId="24258018" w14:textId="77777777" w:rsidR="002D58E4" w:rsidRDefault="00F721D4">
            <w:pPr>
              <w:jc w:val="center"/>
              <w:rPr>
                <w:b/>
                <w:color w:val="000000"/>
                <w:sz w:val="20"/>
                <w:szCs w:val="20"/>
              </w:rPr>
            </w:pPr>
            <w:r>
              <w:rPr>
                <w:b/>
                <w:color w:val="000000"/>
                <w:sz w:val="20"/>
                <w:szCs w:val="20"/>
              </w:rPr>
              <w:t>Study Conclusions</w:t>
            </w:r>
          </w:p>
        </w:tc>
      </w:tr>
      <w:tr w:rsidR="002D58E4" w14:paraId="08233084" w14:textId="77777777" w:rsidTr="00E70FE5">
        <w:trPr>
          <w:trHeight w:val="124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D4A7F8C" w14:textId="77777777" w:rsidR="002D58E4" w:rsidRPr="002914A2" w:rsidRDefault="00F721D4">
            <w:pPr>
              <w:rPr>
                <w:sz w:val="20"/>
                <w:szCs w:val="20"/>
                <w:lang w:val="fr-CA"/>
              </w:rPr>
            </w:pPr>
            <w:r w:rsidRPr="002914A2">
              <w:rPr>
                <w:sz w:val="20"/>
                <w:szCs w:val="20"/>
                <w:lang w:val="fr-CA"/>
              </w:rPr>
              <w:t>Lantos, et al., 2013</w:t>
            </w:r>
          </w:p>
          <w:p w14:paraId="5E0C15BE" w14:textId="77777777" w:rsidR="002D58E4" w:rsidRPr="002914A2" w:rsidRDefault="002D58E4">
            <w:pPr>
              <w:rPr>
                <w:sz w:val="20"/>
                <w:szCs w:val="20"/>
                <w:lang w:val="fr-CA"/>
              </w:rPr>
            </w:pPr>
          </w:p>
          <w:p w14:paraId="10AB0BD8" w14:textId="77777777" w:rsidR="002D58E4" w:rsidRPr="002914A2" w:rsidRDefault="002D58E4">
            <w:pPr>
              <w:rPr>
                <w:sz w:val="20"/>
                <w:szCs w:val="20"/>
                <w:lang w:val="fr-CA"/>
              </w:rPr>
            </w:pPr>
          </w:p>
          <w:p w14:paraId="0CF20D93" w14:textId="77777777" w:rsidR="002D58E4" w:rsidRPr="002914A2" w:rsidRDefault="00F721D4">
            <w:pPr>
              <w:rPr>
                <w:sz w:val="20"/>
                <w:szCs w:val="20"/>
                <w:lang w:val="fr-CA"/>
              </w:rPr>
            </w:pPr>
            <w:r w:rsidRPr="002914A2">
              <w:rPr>
                <w:sz w:val="20"/>
                <w:szCs w:val="20"/>
                <w:lang w:val="fr-CA"/>
              </w:rPr>
              <w:t>15 USA states</w:t>
            </w:r>
          </w:p>
        </w:tc>
        <w:tc>
          <w:tcPr>
            <w:tcW w:w="900" w:type="dxa"/>
            <w:tcBorders>
              <w:top w:val="single" w:sz="6" w:space="0" w:color="AEAEAE"/>
              <w:left w:val="single" w:sz="6" w:space="0" w:color="AEAEAE"/>
              <w:bottom w:val="single" w:sz="6" w:space="0" w:color="AEAEAE"/>
              <w:right w:val="single" w:sz="6" w:space="0" w:color="AEAEAE"/>
            </w:tcBorders>
            <w:vAlign w:val="center"/>
          </w:tcPr>
          <w:p w14:paraId="3CFF8B68" w14:textId="77777777" w:rsidR="002D58E4" w:rsidRDefault="00F721D4">
            <w:pPr>
              <w:rPr>
                <w:sz w:val="20"/>
                <w:szCs w:val="20"/>
              </w:rPr>
            </w:pPr>
            <w:r>
              <w:rPr>
                <w:sz w:val="20"/>
                <w:szCs w:val="20"/>
              </w:rPr>
              <w:t>Decision Analysis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293E7CE" w14:textId="77777777" w:rsidR="002D58E4" w:rsidRDefault="00F721D4">
            <w:pPr>
              <w:jc w:val="center"/>
              <w:rPr>
                <w:sz w:val="20"/>
                <w:szCs w:val="20"/>
              </w:rPr>
            </w:pPr>
            <w:r>
              <w:rPr>
                <w:sz w:val="20"/>
                <w:szCs w:val="20"/>
              </w:rPr>
              <w:t>NA</w:t>
            </w:r>
          </w:p>
        </w:tc>
        <w:tc>
          <w:tcPr>
            <w:tcW w:w="3971" w:type="dxa"/>
            <w:tcBorders>
              <w:top w:val="single" w:sz="6" w:space="0" w:color="AEAEAE"/>
              <w:left w:val="single" w:sz="6" w:space="0" w:color="AEAEAE"/>
              <w:bottom w:val="single" w:sz="6" w:space="0" w:color="AEAEAE"/>
              <w:right w:val="single" w:sz="6" w:space="0" w:color="AEAEAE"/>
            </w:tcBorders>
            <w:vAlign w:val="center"/>
          </w:tcPr>
          <w:p w14:paraId="6F308733" w14:textId="77777777" w:rsidR="002D58E4" w:rsidRDefault="00F721D4">
            <w:pPr>
              <w:rPr>
                <w:sz w:val="20"/>
                <w:szCs w:val="20"/>
              </w:rPr>
            </w:pPr>
            <w:r>
              <w:rPr>
                <w:sz w:val="20"/>
                <w:szCs w:val="20"/>
              </w:rPr>
              <w:t>Patients presenting with an EM-like skin lesion in endemic and non-endemic areas were studied.</w:t>
            </w:r>
          </w:p>
          <w:p w14:paraId="33BFA6AA" w14:textId="77777777" w:rsidR="002D58E4" w:rsidRDefault="002D58E4">
            <w:pPr>
              <w:rPr>
                <w:sz w:val="20"/>
                <w:szCs w:val="20"/>
              </w:rPr>
            </w:pPr>
          </w:p>
          <w:p w14:paraId="5A699A67" w14:textId="77777777" w:rsidR="002D58E4" w:rsidRDefault="00F721D4">
            <w:pPr>
              <w:rPr>
                <w:sz w:val="20"/>
                <w:szCs w:val="20"/>
              </w:rPr>
            </w:pPr>
            <w:r>
              <w:rPr>
                <w:sz w:val="20"/>
                <w:szCs w:val="20"/>
              </w:rPr>
              <w:t>Three possible decisions were assessed:</w:t>
            </w:r>
          </w:p>
          <w:p w14:paraId="205548AC" w14:textId="77777777" w:rsidR="002D58E4" w:rsidRDefault="00F721D4">
            <w:pPr>
              <w:numPr>
                <w:ilvl w:val="0"/>
                <w:numId w:val="33"/>
              </w:numPr>
              <w:rPr>
                <w:sz w:val="20"/>
                <w:szCs w:val="20"/>
              </w:rPr>
            </w:pPr>
            <w:r>
              <w:rPr>
                <w:b/>
                <w:sz w:val="20"/>
                <w:szCs w:val="20"/>
              </w:rPr>
              <w:t xml:space="preserve">Treat all: </w:t>
            </w:r>
            <w:r>
              <w:rPr>
                <w:sz w:val="20"/>
                <w:szCs w:val="20"/>
              </w:rPr>
              <w:t>all patients are given standard course of antibiotics intended to treat EM due to early Lyme disease</w:t>
            </w:r>
          </w:p>
          <w:p w14:paraId="02D1AD81" w14:textId="77777777" w:rsidR="002D58E4" w:rsidRDefault="002D58E4">
            <w:pPr>
              <w:ind w:left="360"/>
              <w:rPr>
                <w:b/>
                <w:sz w:val="20"/>
                <w:szCs w:val="20"/>
              </w:rPr>
            </w:pPr>
          </w:p>
          <w:p w14:paraId="40F9D820" w14:textId="77777777" w:rsidR="002D58E4" w:rsidRDefault="00F721D4">
            <w:pPr>
              <w:numPr>
                <w:ilvl w:val="0"/>
                <w:numId w:val="33"/>
              </w:numPr>
              <w:rPr>
                <w:sz w:val="20"/>
                <w:szCs w:val="20"/>
              </w:rPr>
            </w:pPr>
            <w:r>
              <w:rPr>
                <w:b/>
                <w:sz w:val="20"/>
                <w:szCs w:val="20"/>
              </w:rPr>
              <w:t xml:space="preserve">Observe All: </w:t>
            </w:r>
            <w:r>
              <w:rPr>
                <w:sz w:val="20"/>
                <w:szCs w:val="20"/>
              </w:rPr>
              <w:t>patients are observed, and treated only if disseminated Lyme disease develops</w:t>
            </w:r>
          </w:p>
          <w:p w14:paraId="4BE50830" w14:textId="77777777" w:rsidR="002D58E4" w:rsidRDefault="002D58E4">
            <w:pPr>
              <w:ind w:left="360"/>
              <w:rPr>
                <w:b/>
                <w:sz w:val="20"/>
                <w:szCs w:val="20"/>
              </w:rPr>
            </w:pPr>
          </w:p>
          <w:p w14:paraId="2C77EBA3" w14:textId="77777777" w:rsidR="002D58E4" w:rsidRDefault="00F721D4">
            <w:pPr>
              <w:numPr>
                <w:ilvl w:val="0"/>
                <w:numId w:val="33"/>
              </w:numPr>
              <w:rPr>
                <w:sz w:val="20"/>
                <w:szCs w:val="20"/>
              </w:rPr>
            </w:pPr>
            <w:r>
              <w:rPr>
                <w:b/>
                <w:sz w:val="20"/>
                <w:szCs w:val="20"/>
              </w:rPr>
              <w:t>Serology and treat seropositive patients:</w:t>
            </w:r>
            <w:r>
              <w:rPr>
                <w:sz w:val="20"/>
                <w:szCs w:val="20"/>
              </w:rPr>
              <w:t xml:space="preserve"> patients are tested using two-tier serology (ELISA and Western blot). Seropositive patients are treated with antibiotics, and seronegative patients are observed.</w:t>
            </w:r>
          </w:p>
        </w:tc>
        <w:tc>
          <w:tcPr>
            <w:tcW w:w="3827" w:type="dxa"/>
            <w:tcBorders>
              <w:top w:val="single" w:sz="6" w:space="0" w:color="AEAEAE"/>
              <w:left w:val="single" w:sz="6" w:space="0" w:color="AEAEAE"/>
              <w:bottom w:val="single" w:sz="6" w:space="0" w:color="AEAEAE"/>
              <w:right w:val="single" w:sz="6" w:space="0" w:color="AEAEAE"/>
            </w:tcBorders>
            <w:vAlign w:val="center"/>
          </w:tcPr>
          <w:p w14:paraId="0F9789A9" w14:textId="77777777" w:rsidR="002D58E4" w:rsidRDefault="00F721D4">
            <w:pPr>
              <w:numPr>
                <w:ilvl w:val="0"/>
                <w:numId w:val="36"/>
              </w:numPr>
              <w:rPr>
                <w:sz w:val="20"/>
                <w:szCs w:val="20"/>
              </w:rPr>
            </w:pPr>
            <w:r>
              <w:rPr>
                <w:b/>
                <w:sz w:val="20"/>
                <w:szCs w:val="20"/>
              </w:rPr>
              <w:t>Treat all:</w:t>
            </w:r>
            <w:r>
              <w:rPr>
                <w:sz w:val="20"/>
                <w:szCs w:val="20"/>
              </w:rPr>
              <w:t xml:space="preserve"> </w:t>
            </w:r>
          </w:p>
          <w:p w14:paraId="4388C9C6" w14:textId="77777777" w:rsidR="002D58E4" w:rsidRDefault="00F721D4">
            <w:pPr>
              <w:ind w:left="360"/>
              <w:rPr>
                <w:sz w:val="20"/>
                <w:szCs w:val="20"/>
              </w:rPr>
            </w:pPr>
            <w:r>
              <w:rPr>
                <w:sz w:val="20"/>
                <w:szCs w:val="20"/>
              </w:rPr>
              <w:t>If the probability that EM is Lyme= 1, the model predicts 78,000 cases of disseminated Lyme disease would be averted for every 100,000 treated patients.</w:t>
            </w:r>
          </w:p>
          <w:p w14:paraId="71B17F4D" w14:textId="77777777" w:rsidR="002D58E4" w:rsidRDefault="002D58E4">
            <w:pPr>
              <w:ind w:left="360"/>
              <w:rPr>
                <w:sz w:val="20"/>
                <w:szCs w:val="20"/>
              </w:rPr>
            </w:pPr>
          </w:p>
          <w:p w14:paraId="416DAD06" w14:textId="77777777" w:rsidR="002D58E4" w:rsidRDefault="00F721D4">
            <w:pPr>
              <w:ind w:left="360"/>
              <w:rPr>
                <w:sz w:val="20"/>
                <w:szCs w:val="20"/>
              </w:rPr>
            </w:pPr>
            <w:r>
              <w:rPr>
                <w:sz w:val="20"/>
                <w:szCs w:val="20"/>
              </w:rPr>
              <w:t>If the probability that EM is Lyme= 0.0001, only 8 cases of disseminated Lyme disease would be prevented for every 100,000 patients treated.</w:t>
            </w:r>
            <w:r>
              <w:rPr>
                <w:b/>
                <w:sz w:val="20"/>
                <w:szCs w:val="20"/>
              </w:rPr>
              <w:t xml:space="preserve"> </w:t>
            </w:r>
            <w:r>
              <w:rPr>
                <w:sz w:val="20"/>
                <w:szCs w:val="20"/>
              </w:rPr>
              <w:t>Additionally, one patient would have a major adverse medication event for every averted case of disseminated Lyme disease, making such an event 64 more times likely than an averted case of disseminated Lyme disease.</w:t>
            </w:r>
          </w:p>
          <w:p w14:paraId="2793A95B" w14:textId="77777777" w:rsidR="002D58E4" w:rsidRDefault="002D58E4">
            <w:pPr>
              <w:ind w:left="360"/>
              <w:rPr>
                <w:b/>
                <w:sz w:val="20"/>
                <w:szCs w:val="20"/>
              </w:rPr>
            </w:pPr>
          </w:p>
          <w:p w14:paraId="66D4CA4B" w14:textId="77777777" w:rsidR="002D58E4" w:rsidRDefault="00F721D4">
            <w:pPr>
              <w:numPr>
                <w:ilvl w:val="0"/>
                <w:numId w:val="36"/>
              </w:numPr>
              <w:rPr>
                <w:sz w:val="20"/>
                <w:szCs w:val="20"/>
              </w:rPr>
            </w:pPr>
            <w:r>
              <w:rPr>
                <w:b/>
                <w:sz w:val="20"/>
                <w:szCs w:val="20"/>
              </w:rPr>
              <w:t>Observe all:</w:t>
            </w:r>
          </w:p>
          <w:p w14:paraId="0C618EF8" w14:textId="77777777" w:rsidR="002D58E4" w:rsidRDefault="00F721D4">
            <w:pPr>
              <w:ind w:left="360"/>
              <w:rPr>
                <w:sz w:val="20"/>
                <w:szCs w:val="20"/>
              </w:rPr>
            </w:pPr>
            <w:r>
              <w:rPr>
                <w:sz w:val="20"/>
                <w:szCs w:val="20"/>
              </w:rPr>
              <w:t xml:space="preserve">Observing 100,000 patients where the probability that EM is Lyme= 1 would result in 83,000 cases of disseminated </w:t>
            </w:r>
            <w:r>
              <w:rPr>
                <w:sz w:val="20"/>
                <w:szCs w:val="20"/>
              </w:rPr>
              <w:lastRenderedPageBreak/>
              <w:t>Lyme disease, as compared with 5,000 under a Treat All strategy</w:t>
            </w:r>
          </w:p>
          <w:p w14:paraId="15B66CE7" w14:textId="77777777" w:rsidR="002D58E4" w:rsidRDefault="00F721D4">
            <w:pPr>
              <w:ind w:left="360"/>
              <w:rPr>
                <w:sz w:val="20"/>
                <w:szCs w:val="20"/>
              </w:rPr>
            </w:pPr>
            <w:r>
              <w:rPr>
                <w:sz w:val="20"/>
                <w:szCs w:val="20"/>
              </w:rPr>
              <w:t>.</w:t>
            </w:r>
          </w:p>
          <w:p w14:paraId="127CA539" w14:textId="77777777" w:rsidR="002D58E4" w:rsidRDefault="00F721D4">
            <w:pPr>
              <w:numPr>
                <w:ilvl w:val="0"/>
                <w:numId w:val="36"/>
              </w:numPr>
              <w:rPr>
                <w:sz w:val="20"/>
                <w:szCs w:val="20"/>
              </w:rPr>
            </w:pPr>
            <w:r>
              <w:rPr>
                <w:b/>
                <w:sz w:val="20"/>
                <w:szCs w:val="20"/>
              </w:rPr>
              <w:t>Serology and treat seropositive patients</w:t>
            </w:r>
            <w:r>
              <w:rPr>
                <w:sz w:val="20"/>
                <w:szCs w:val="20"/>
              </w:rPr>
              <w:t>:</w:t>
            </w:r>
          </w:p>
          <w:p w14:paraId="52DB443D" w14:textId="77777777" w:rsidR="002D58E4" w:rsidRDefault="00F721D4">
            <w:pPr>
              <w:ind w:left="360"/>
              <w:rPr>
                <w:sz w:val="20"/>
                <w:szCs w:val="20"/>
              </w:rPr>
            </w:pPr>
            <w:r>
              <w:rPr>
                <w:sz w:val="20"/>
                <w:szCs w:val="20"/>
              </w:rPr>
              <w:t>Serology would substantially reduce the number of adverse treatment events per averted case of disseminated Lyme disease.</w:t>
            </w:r>
          </w:p>
          <w:p w14:paraId="40D5AB68" w14:textId="77777777" w:rsidR="002D58E4" w:rsidRDefault="002D58E4">
            <w:pPr>
              <w:ind w:left="360"/>
              <w:rPr>
                <w:sz w:val="20"/>
                <w:szCs w:val="20"/>
              </w:rPr>
            </w:pPr>
          </w:p>
          <w:p w14:paraId="601D870D" w14:textId="77777777" w:rsidR="002D58E4" w:rsidRDefault="00F721D4">
            <w:pPr>
              <w:numPr>
                <w:ilvl w:val="0"/>
                <w:numId w:val="36"/>
              </w:numPr>
              <w:rPr>
                <w:sz w:val="20"/>
                <w:szCs w:val="20"/>
              </w:rPr>
            </w:pPr>
            <w:r>
              <w:rPr>
                <w:b/>
                <w:sz w:val="20"/>
                <w:szCs w:val="20"/>
              </w:rPr>
              <w:t>Cost Effectiveness:</w:t>
            </w:r>
          </w:p>
          <w:p w14:paraId="67D2E87E" w14:textId="77777777" w:rsidR="002D58E4" w:rsidRDefault="00F721D4">
            <w:pPr>
              <w:ind w:left="360"/>
              <w:rPr>
                <w:sz w:val="20"/>
                <w:szCs w:val="20"/>
              </w:rPr>
            </w:pPr>
            <w:r>
              <w:rPr>
                <w:sz w:val="20"/>
                <w:szCs w:val="20"/>
              </w:rPr>
              <w:t xml:space="preserve">In cases when EM cases are definitely due to Lyme disease, the cost for Treat All strategy would be $219 per patient. Serology-guided care would cost $2,315 per patient. The Observe strategy would cost $3,320 per patient. </w:t>
            </w:r>
          </w:p>
          <w:p w14:paraId="212E23C2" w14:textId="77777777" w:rsidR="002D58E4" w:rsidRDefault="002D58E4">
            <w:pPr>
              <w:ind w:left="360"/>
              <w:rPr>
                <w:sz w:val="20"/>
                <w:szCs w:val="20"/>
              </w:rPr>
            </w:pPr>
          </w:p>
          <w:p w14:paraId="021E983B" w14:textId="77777777" w:rsidR="002D58E4" w:rsidRDefault="00F721D4">
            <w:pPr>
              <w:ind w:left="360"/>
              <w:rPr>
                <w:sz w:val="20"/>
                <w:szCs w:val="20"/>
              </w:rPr>
            </w:pPr>
            <w:r>
              <w:rPr>
                <w:sz w:val="20"/>
                <w:szCs w:val="20"/>
              </w:rPr>
              <w:t>In areas where EM-like lesions are never due to Lyme disease (the probability that EM is Lyme=0), “Treat All” would cost $19 per patient, Serology would cost $80, and Observe would cost $0 per patient. As the probability that EM is Lyme disease increases, all strategies become costlier.</w:t>
            </w:r>
          </w:p>
          <w:p w14:paraId="6AC2BF3C" w14:textId="77777777" w:rsidR="002D58E4" w:rsidRDefault="002D58E4">
            <w:pPr>
              <w:ind w:left="360"/>
              <w:rPr>
                <w:sz w:val="20"/>
                <w:szCs w:val="20"/>
              </w:rPr>
            </w:pPr>
          </w:p>
          <w:p w14:paraId="4C2F5CA8" w14:textId="77777777" w:rsidR="002D58E4" w:rsidRDefault="00F721D4">
            <w:pPr>
              <w:ind w:left="360"/>
              <w:rPr>
                <w:sz w:val="20"/>
                <w:szCs w:val="20"/>
              </w:rPr>
            </w:pPr>
            <w:r>
              <w:rPr>
                <w:sz w:val="20"/>
                <w:szCs w:val="20"/>
              </w:rPr>
              <w:t xml:space="preserve">Treat all is the least expensive strategy for all probability values of EM being Lyme greater than 0.0061. </w:t>
            </w:r>
          </w:p>
        </w:tc>
        <w:tc>
          <w:tcPr>
            <w:tcW w:w="4111" w:type="dxa"/>
            <w:tcBorders>
              <w:top w:val="single" w:sz="6" w:space="0" w:color="AEAEAE"/>
              <w:left w:val="single" w:sz="6" w:space="0" w:color="AEAEAE"/>
              <w:bottom w:val="single" w:sz="6" w:space="0" w:color="AEAEAE"/>
              <w:right w:val="single" w:sz="6" w:space="0" w:color="AEAEAE"/>
            </w:tcBorders>
            <w:vAlign w:val="center"/>
          </w:tcPr>
          <w:p w14:paraId="50026D2D" w14:textId="77777777" w:rsidR="002D58E4" w:rsidRDefault="00F721D4">
            <w:pPr>
              <w:rPr>
                <w:sz w:val="20"/>
                <w:szCs w:val="20"/>
              </w:rPr>
            </w:pPr>
            <w:r>
              <w:rPr>
                <w:sz w:val="20"/>
                <w:szCs w:val="20"/>
              </w:rPr>
              <w:lastRenderedPageBreak/>
              <w:t xml:space="preserve">“Treat All” was the most affordable strategy whenever the probability of EM being Lyme disease exceeded 0.0061. “Observe All” was the least costly strategy below this value. Regardless of the probability of EM being Lyme, “Serology” was never the most cost-effective strategy.. </w:t>
            </w:r>
          </w:p>
        </w:tc>
      </w:tr>
    </w:tbl>
    <w:p w14:paraId="4908F146" w14:textId="77777777" w:rsidR="002D58E4" w:rsidRDefault="00F721D4">
      <w:pPr>
        <w:spacing w:line="240" w:lineRule="auto"/>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771CE28B" w14:textId="77777777" w:rsidR="002D58E4" w:rsidRDefault="00086112">
      <w:pPr>
        <w:spacing w:after="0" w:line="480" w:lineRule="auto"/>
        <w:jc w:val="right"/>
        <w:rPr>
          <w:sz w:val="18"/>
          <w:szCs w:val="18"/>
        </w:rPr>
      </w:pPr>
      <w:hyperlink w:anchor="30j0zll">
        <w:r w:rsidR="00F721D4">
          <w:rPr>
            <w:color w:val="0000FF"/>
            <w:sz w:val="18"/>
            <w:szCs w:val="18"/>
            <w:u w:val="single"/>
          </w:rPr>
          <w:t>Back to the top</w:t>
        </w:r>
      </w:hyperlink>
    </w:p>
    <w:p w14:paraId="511A4427" w14:textId="77777777" w:rsidR="002D58E4" w:rsidRDefault="00F721D4">
      <w:bookmarkStart w:id="17" w:name="26in1rg" w:colFirst="0" w:colLast="0"/>
      <w:bookmarkEnd w:id="17"/>
      <w:r>
        <w:br w:type="page"/>
      </w:r>
    </w:p>
    <w:tbl>
      <w:tblPr>
        <w:tblStyle w:val="afd"/>
        <w:tblW w:w="14459" w:type="dxa"/>
        <w:tblLayout w:type="fixed"/>
        <w:tblLook w:val="0600" w:firstRow="0" w:lastRow="0" w:firstColumn="0" w:lastColumn="0" w:noHBand="1" w:noVBand="1"/>
      </w:tblPr>
      <w:tblGrid>
        <w:gridCol w:w="1109"/>
        <w:gridCol w:w="876"/>
        <w:gridCol w:w="24"/>
        <w:gridCol w:w="516"/>
        <w:gridCol w:w="90"/>
        <w:gridCol w:w="3985"/>
        <w:gridCol w:w="3969"/>
        <w:gridCol w:w="76"/>
        <w:gridCol w:w="7"/>
        <w:gridCol w:w="83"/>
        <w:gridCol w:w="3724"/>
      </w:tblGrid>
      <w:tr w:rsidR="002D58E4" w14:paraId="082F3694" w14:textId="77777777" w:rsidTr="003D1C11">
        <w:trPr>
          <w:trHeight w:val="500"/>
        </w:trPr>
        <w:tc>
          <w:tcPr>
            <w:tcW w:w="14459" w:type="dxa"/>
            <w:gridSpan w:val="11"/>
            <w:tcBorders>
              <w:top w:val="nil"/>
              <w:left w:val="nil"/>
              <w:bottom w:val="single" w:sz="6" w:space="0" w:color="AEAEAE"/>
              <w:right w:val="nil"/>
            </w:tcBorders>
            <w:tcMar>
              <w:top w:w="15" w:type="dxa"/>
              <w:left w:w="30" w:type="dxa"/>
              <w:bottom w:w="0" w:type="dxa"/>
              <w:right w:w="30" w:type="dxa"/>
            </w:tcMar>
          </w:tcPr>
          <w:p w14:paraId="77B57E95" w14:textId="77777777" w:rsidR="002D58E4" w:rsidRDefault="00F721D4">
            <w:pPr>
              <w:rPr>
                <w:b/>
                <w:sz w:val="32"/>
                <w:szCs w:val="32"/>
                <w:u w:val="single"/>
              </w:rPr>
            </w:pPr>
            <w:bookmarkStart w:id="18" w:name="lnxbz9" w:colFirst="0" w:colLast="0"/>
            <w:bookmarkEnd w:id="18"/>
            <w:r>
              <w:rPr>
                <w:b/>
                <w:sz w:val="32"/>
                <w:szCs w:val="32"/>
                <w:u w:val="single"/>
              </w:rPr>
              <w:lastRenderedPageBreak/>
              <w:t>Neurologic Lyme disease</w:t>
            </w:r>
          </w:p>
          <w:p w14:paraId="08C601FC" w14:textId="77777777" w:rsidR="002D58E4" w:rsidRDefault="002D58E4">
            <w:pPr>
              <w:rPr>
                <w:b/>
                <w:sz w:val="32"/>
                <w:szCs w:val="32"/>
              </w:rPr>
            </w:pPr>
          </w:p>
          <w:p w14:paraId="2F46CABC" w14:textId="77777777" w:rsidR="002D58E4" w:rsidRDefault="00F721D4">
            <w:pPr>
              <w:rPr>
                <w:b/>
                <w:sz w:val="32"/>
                <w:szCs w:val="32"/>
              </w:rPr>
            </w:pPr>
            <w:r>
              <w:rPr>
                <w:b/>
                <w:sz w:val="32"/>
                <w:szCs w:val="32"/>
              </w:rPr>
              <w:t xml:space="preserve">IX. </w:t>
            </w:r>
            <w:r>
              <w:rPr>
                <w:b/>
                <w:color w:val="000000"/>
                <w:sz w:val="32"/>
                <w:szCs w:val="32"/>
              </w:rPr>
              <w:t>What is the preferred diagnostic testing strategy for Lyme neuroborreliosis?</w:t>
            </w:r>
          </w:p>
          <w:p w14:paraId="49DC4BE3" w14:textId="77777777" w:rsidR="002D58E4" w:rsidRDefault="002D58E4">
            <w:pPr>
              <w:rPr>
                <w:b/>
                <w:sz w:val="32"/>
                <w:szCs w:val="32"/>
              </w:rPr>
            </w:pPr>
          </w:p>
          <w:p w14:paraId="23582925" w14:textId="77777777" w:rsidR="002D58E4" w:rsidRDefault="00F721D4">
            <w:pPr>
              <w:rPr>
                <w:color w:val="000000"/>
                <w:sz w:val="20"/>
                <w:szCs w:val="20"/>
              </w:rPr>
            </w:pPr>
            <w:r w:rsidRPr="002914A2">
              <w:rPr>
                <w:b/>
                <w:color w:val="000000"/>
                <w:sz w:val="18"/>
                <w:szCs w:val="18"/>
                <w:lang w:val="fr-CA"/>
              </w:rPr>
              <w:t xml:space="preserve">Bibliography: </w:t>
            </w:r>
            <w:r w:rsidRPr="002914A2">
              <w:rPr>
                <w:color w:val="000000"/>
                <w:sz w:val="18"/>
                <w:szCs w:val="18"/>
                <w:lang w:val="fr-CA"/>
              </w:rPr>
              <w:t>1.Karlsson, et al.</w:t>
            </w:r>
            <w:r w:rsidRPr="002914A2">
              <w:rPr>
                <w:lang w:val="fr-CA"/>
              </w:rPr>
              <w:t xml:space="preserve"> </w:t>
            </w:r>
            <w:r w:rsidRPr="002914A2">
              <w:rPr>
                <w:color w:val="000000"/>
                <w:sz w:val="18"/>
                <w:szCs w:val="18"/>
                <w:lang w:val="fr-CA"/>
              </w:rPr>
              <w:t xml:space="preserve">J Clin Microbiol. 1990 Mar; 28(3): 473-9; 2. Cerar, et al. </w:t>
            </w:r>
            <w:r w:rsidRPr="002914A2">
              <w:rPr>
                <w:lang w:val="fr-CA"/>
              </w:rPr>
              <w:t xml:space="preserve"> </w:t>
            </w:r>
            <w:r w:rsidRPr="002914A2">
              <w:rPr>
                <w:color w:val="000000"/>
                <w:sz w:val="18"/>
                <w:szCs w:val="18"/>
                <w:lang w:val="fr-CA"/>
              </w:rPr>
              <w:t>Arthritis Rheum. 1999 Dec; 42(12): 2705-9; 3. Nowakowski, et al. Clin Infect Dis. 2009 Dec 1; 49(11): 1733-5; 4. Maraspin, et al.</w:t>
            </w:r>
            <w:r w:rsidRPr="002914A2">
              <w:rPr>
                <w:lang w:val="fr-CA"/>
              </w:rPr>
              <w:t xml:space="preserve"> </w:t>
            </w:r>
            <w:r w:rsidRPr="002914A2">
              <w:rPr>
                <w:color w:val="000000"/>
                <w:sz w:val="18"/>
                <w:szCs w:val="18"/>
                <w:lang w:val="fr-CA"/>
              </w:rPr>
              <w:t xml:space="preserve">Infection. 2011 Feb; 39(1): 35-40; 5. Dumler. </w:t>
            </w:r>
            <w:r w:rsidRPr="002914A2">
              <w:rPr>
                <w:lang w:val="fr-CA"/>
              </w:rPr>
              <w:t xml:space="preserve"> </w:t>
            </w:r>
            <w:r w:rsidRPr="002914A2">
              <w:rPr>
                <w:color w:val="000000"/>
                <w:sz w:val="18"/>
                <w:szCs w:val="18"/>
                <w:lang w:val="fr-CA"/>
              </w:rPr>
              <w:t xml:space="preserve">Mol Diagn. 2001 Mar; 6(1): 1-11; 6. Avery, et al. </w:t>
            </w:r>
            <w:r w:rsidRPr="002914A2">
              <w:rPr>
                <w:lang w:val="fr-CA"/>
              </w:rPr>
              <w:t xml:space="preserve"> </w:t>
            </w:r>
            <w:r w:rsidRPr="002914A2">
              <w:rPr>
                <w:color w:val="000000"/>
                <w:sz w:val="18"/>
                <w:szCs w:val="18"/>
                <w:lang w:val="fr-CA"/>
              </w:rPr>
              <w:t xml:space="preserve">Pediatr Infect Dis J. 2005 Aug; 24(8): 705-8; 7. Pícha, et al. </w:t>
            </w:r>
            <w:r w:rsidRPr="002914A2">
              <w:rPr>
                <w:lang w:val="fr-CA"/>
              </w:rPr>
              <w:t xml:space="preserve"> </w:t>
            </w:r>
            <w:r w:rsidRPr="002914A2">
              <w:rPr>
                <w:color w:val="000000"/>
                <w:sz w:val="18"/>
                <w:szCs w:val="18"/>
                <w:lang w:val="fr-CA"/>
              </w:rPr>
              <w:t xml:space="preserve">Eur J Clin Microbiol Infect Dis. 2000 Oct; 19(10): 805-6; 8. Babady, et al. </w:t>
            </w:r>
            <w:r w:rsidRPr="002914A2">
              <w:rPr>
                <w:lang w:val="fr-CA"/>
              </w:rPr>
              <w:t xml:space="preserve"> </w:t>
            </w:r>
            <w:r w:rsidRPr="002914A2">
              <w:rPr>
                <w:color w:val="000000"/>
                <w:sz w:val="18"/>
                <w:szCs w:val="18"/>
                <w:lang w:val="fr-CA"/>
              </w:rPr>
              <w:t xml:space="preserve">Diagn Microbiol Infect Dis. 2008 Dec; 62(4): 464-6; 9. Maes, et al. </w:t>
            </w:r>
            <w:r w:rsidRPr="002914A2">
              <w:rPr>
                <w:lang w:val="fr-CA"/>
              </w:rPr>
              <w:t xml:space="preserve"> </w:t>
            </w:r>
            <w:r w:rsidRPr="002914A2">
              <w:rPr>
                <w:color w:val="000000"/>
                <w:sz w:val="18"/>
                <w:szCs w:val="18"/>
                <w:lang w:val="fr-CA"/>
              </w:rPr>
              <w:t xml:space="preserve">Eur J Clin Microbiol Infect Dis. 2017 Feb;36(2):273-279; 10. Barstad, et al. J Clin Microbiol. 2018 Apr 25;56(5). pii: e01868-17; 11. Halperin, et al. </w:t>
            </w:r>
            <w:r w:rsidRPr="002914A2">
              <w:rPr>
                <w:lang w:val="fr-CA"/>
              </w:rPr>
              <w:t xml:space="preserve"> </w:t>
            </w:r>
            <w:r w:rsidRPr="002914A2">
              <w:rPr>
                <w:color w:val="000000"/>
                <w:sz w:val="18"/>
                <w:szCs w:val="18"/>
                <w:lang w:val="fr-CA"/>
              </w:rPr>
              <w:t xml:space="preserve">Neurology. 1989 Jun;39(6):753-9; 12. Steere, et al. </w:t>
            </w:r>
            <w:r w:rsidRPr="002914A2">
              <w:rPr>
                <w:lang w:val="fr-CA"/>
              </w:rPr>
              <w:t xml:space="preserve"> </w:t>
            </w:r>
            <w:r w:rsidRPr="002914A2">
              <w:rPr>
                <w:color w:val="000000"/>
                <w:sz w:val="18"/>
                <w:szCs w:val="18"/>
                <w:lang w:val="fr-CA"/>
              </w:rPr>
              <w:t xml:space="preserve">J Infect Dis. 1990 Jun; 161(6): 1203-9; 13. Halperin, et al. </w:t>
            </w:r>
            <w:r w:rsidRPr="002914A2">
              <w:rPr>
                <w:lang w:val="fr-CA"/>
              </w:rPr>
              <w:t xml:space="preserve"> </w:t>
            </w:r>
            <w:r w:rsidRPr="002914A2">
              <w:rPr>
                <w:color w:val="000000"/>
                <w:sz w:val="18"/>
                <w:szCs w:val="18"/>
                <w:lang w:val="fr-CA"/>
              </w:rPr>
              <w:t xml:space="preserve">Neurology. 1991 Oct;41(10):1571-82; 14. Tumani, et al. </w:t>
            </w:r>
            <w:r w:rsidRPr="002914A2">
              <w:rPr>
                <w:lang w:val="fr-CA"/>
              </w:rPr>
              <w:t xml:space="preserve"> </w:t>
            </w:r>
            <w:r w:rsidRPr="002914A2">
              <w:rPr>
                <w:color w:val="000000"/>
                <w:sz w:val="18"/>
                <w:szCs w:val="18"/>
                <w:lang w:val="fr-CA"/>
              </w:rPr>
              <w:t>Neurology. 1995 Sep; 45(9): 1663-70; 15. Maraspin, Vera, et al. Wiener klinische Wochenschrift 114.13-14 (2002): 505-509; 16. Pícha, et al</w:t>
            </w:r>
            <w:r w:rsidRPr="002914A2">
              <w:rPr>
                <w:lang w:val="fr-CA"/>
              </w:rPr>
              <w:t xml:space="preserve"> </w:t>
            </w:r>
            <w:r w:rsidRPr="002914A2">
              <w:rPr>
                <w:color w:val="000000"/>
                <w:sz w:val="18"/>
                <w:szCs w:val="18"/>
                <w:lang w:val="fr-CA"/>
              </w:rPr>
              <w:t>Acta Neurol Scand. 2005 Nov; 112(5): 287-92; 17. Tuerlinckx, et al.</w:t>
            </w:r>
            <w:r w:rsidRPr="002914A2">
              <w:rPr>
                <w:lang w:val="fr-CA"/>
              </w:rPr>
              <w:t xml:space="preserve"> </w:t>
            </w:r>
            <w:r w:rsidRPr="002914A2">
              <w:rPr>
                <w:color w:val="000000"/>
                <w:sz w:val="18"/>
                <w:szCs w:val="18"/>
                <w:lang w:val="fr-CA"/>
              </w:rPr>
              <w:t xml:space="preserve">Eur J Pediatr. 2003 Mar; 162(3): 150-3; 18. Blanc, et al.  Neurology. 2007 Sep 4; 69(10): 953-8; 19. Schwenkenbecher, et al.   BMC Infect Dis. 2017 Jan 21; 17(1):90; 20. French, et al. PLoS Negl Trop Dis. 2018 Dec 17;12(12):e0007045; 21. </w:t>
            </w:r>
            <w:r w:rsidRPr="00C10663">
              <w:rPr>
                <w:color w:val="000000"/>
                <w:sz w:val="18"/>
                <w:szCs w:val="18"/>
                <w:lang w:val="en-CA"/>
              </w:rPr>
              <w:t>Ljøstad and Mygland.</w:t>
            </w:r>
            <w:r w:rsidRPr="00C10663">
              <w:rPr>
                <w:lang w:val="en-CA"/>
              </w:rPr>
              <w:t xml:space="preserve"> </w:t>
            </w:r>
            <w:r w:rsidRPr="00C10663">
              <w:rPr>
                <w:color w:val="000000"/>
                <w:sz w:val="18"/>
                <w:szCs w:val="18"/>
                <w:lang w:val="en-CA"/>
              </w:rPr>
              <w:t xml:space="preserve">J Neurol (2008) 255:732–737; 22. Tjernberg, et al.  J Infect. 2011 Feb; 62(2): 149-58; 23. </w:t>
            </w:r>
            <w:r w:rsidRPr="002914A2">
              <w:rPr>
                <w:color w:val="000000"/>
                <w:sz w:val="18"/>
                <w:szCs w:val="18"/>
                <w:lang w:val="fr-CA"/>
              </w:rPr>
              <w:t xml:space="preserve">Schmidt, et al.  Neurology. 2011 Mar 22; 76(12): 1051-8; 24. Sillanpää, et al.  Scand J Infect Dis. 2013 Jul; 45(7): 526-30; 25. Bremell, et al.  BMC Neurol. 2013 Jan 7; 13: 2; 26.  Hytönen, et al. J Neuroinflammation. 2014 Jun 11; 11: 103; 27. Rupprecht, et al.  Nervenarzt. 2014 Apr; 85(4): 459-64; 28. Wutte, et al.  J Neurol Sci. 2014 Dec 15; 347(1-2): 96-103; 29. </w:t>
            </w:r>
            <w:r w:rsidRPr="00C10663">
              <w:rPr>
                <w:color w:val="000000"/>
                <w:sz w:val="18"/>
                <w:szCs w:val="18"/>
                <w:lang w:val="en-CA"/>
              </w:rPr>
              <w:t xml:space="preserve">Lindström, et al.  </w:t>
            </w:r>
            <w:r>
              <w:rPr>
                <w:color w:val="000000"/>
                <w:sz w:val="18"/>
                <w:szCs w:val="18"/>
              </w:rPr>
              <w:t xml:space="preserve">(2016). Journal of Clinical Virology, 82, S28-S29; 30. Barstad, et al. </w:t>
            </w:r>
            <w:r w:rsidRPr="00E20834">
              <w:rPr>
                <w:color w:val="000000"/>
                <w:sz w:val="18"/>
                <w:szCs w:val="18"/>
                <w:lang w:val="fr-CA"/>
              </w:rPr>
              <w:t xml:space="preserve">Pediatr Infect Dis J. 2017 Dec;36(12):e286-e292; 31. </w:t>
            </w:r>
            <w:r w:rsidRPr="002914A2">
              <w:rPr>
                <w:color w:val="000000"/>
                <w:sz w:val="18"/>
                <w:szCs w:val="18"/>
                <w:lang w:val="fr-CA"/>
              </w:rPr>
              <w:t xml:space="preserve">Gyllemark, et al. J Neuroinflammation. 2017 Feb 1;14(1):27; 32. Remy, et al. J Neuroinflammation. 2017 Aug 31;14(1):173; 33. Skogman, et al. Eur J Clin Microbiol Infect Dis. 2017 Nov;36(11):2221-2229; 34. Rupprecht, et al. Clin Microbiol Infect. 2018 Dec;24(12):1234-1240; 35. Hennington, et al. Eur J Clin Microbiol Infect Dis. 2018 Oct;37(10):1983-1991; 36. Maric, et al. Neurol Sci. 2018 Mar;39(3):471-479; 37. </w:t>
            </w:r>
            <w:r w:rsidRPr="00C10663">
              <w:rPr>
                <w:color w:val="000000"/>
                <w:sz w:val="18"/>
                <w:szCs w:val="18"/>
                <w:lang w:val="fr-CA"/>
              </w:rPr>
              <w:t xml:space="preserve">Markowicz, et al. Ticks Tick Borne Dis. 2018 Jul;9(5):1137-1142; 38. Wagner, et al. J Neurol. 2018 Jan;265(1):74-81; 39. </w:t>
            </w:r>
            <w:r>
              <w:rPr>
                <w:color w:val="000000"/>
                <w:sz w:val="18"/>
                <w:szCs w:val="18"/>
              </w:rPr>
              <w:t xml:space="preserve">Waddell, et al.  PLoS One. 2016 Dec 21; 11(12): e0168613; 40. Cook and Puri.  Int J Gen Med. 2016 Nov 18; 9: 427-440; 41. </w:t>
            </w:r>
            <w:r w:rsidRPr="00C10663">
              <w:rPr>
                <w:color w:val="000000"/>
                <w:sz w:val="18"/>
                <w:szCs w:val="18"/>
                <w:lang w:val="fr-CA"/>
              </w:rPr>
              <w:t xml:space="preserve">Leeflang, et al. </w:t>
            </w:r>
            <w:r w:rsidRPr="002914A2">
              <w:rPr>
                <w:color w:val="000000"/>
                <w:sz w:val="18"/>
                <w:szCs w:val="18"/>
                <w:lang w:val="fr-CA"/>
              </w:rPr>
              <w:t xml:space="preserve">BMC Infect Dis. 2016 Mar 25; 16: 140; 42. Pegalajar-Jurado, et al.  J Clin Microbiol. 2018 May 9. pii: JCM.01943-17; 43.  Molins, et al.  J Clin Microbiol. 2017 Jun; 55(6):1698-1706; 44. van Gorkom, et al. Eur J Clin Microbiol Infect Dis. 2017 Nov;36(11):2137-2146; 45. van Gorkom, et al. </w:t>
            </w:r>
            <w:r>
              <w:rPr>
                <w:color w:val="000000"/>
                <w:sz w:val="18"/>
                <w:szCs w:val="18"/>
              </w:rPr>
              <w:t xml:space="preserve">J Clin Microbiol. 2018 Mar 26;56(4). pii: e01695-17; 46. Dersch, et al. Ticks Tick Borne Dis. 2019 Jan;10(1):166-169; 47. Łuczaj, et al.  Lipids. 2017 Jan; 52(1):93-98. </w:t>
            </w:r>
          </w:p>
        </w:tc>
      </w:tr>
      <w:tr w:rsidR="002D58E4" w14:paraId="2CA2D68A"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164D7FD8" w14:textId="77777777" w:rsidR="002D58E4" w:rsidRDefault="00F721D4">
            <w:pPr>
              <w:jc w:val="center"/>
              <w:rPr>
                <w:sz w:val="20"/>
                <w:szCs w:val="20"/>
              </w:rPr>
            </w:pPr>
            <w:r>
              <w:rPr>
                <w:b/>
                <w:color w:val="000000"/>
                <w:sz w:val="20"/>
                <w:szCs w:val="20"/>
              </w:rPr>
              <w:t>Study and Location</w:t>
            </w:r>
          </w:p>
        </w:tc>
        <w:tc>
          <w:tcPr>
            <w:tcW w:w="900" w:type="dxa"/>
            <w:gridSpan w:val="2"/>
            <w:tcBorders>
              <w:top w:val="single" w:sz="6" w:space="0" w:color="AEAEAE"/>
              <w:left w:val="single" w:sz="6" w:space="0" w:color="AEAEAE"/>
              <w:bottom w:val="single" w:sz="6" w:space="0" w:color="AEAEAE"/>
              <w:right w:val="single" w:sz="6" w:space="0" w:color="AEAEAE"/>
            </w:tcBorders>
            <w:shd w:val="clear" w:color="auto" w:fill="D9D9D9"/>
          </w:tcPr>
          <w:p w14:paraId="362E3E29" w14:textId="77777777" w:rsidR="002D58E4" w:rsidRDefault="00F721D4">
            <w:pPr>
              <w:jc w:val="center"/>
              <w:rPr>
                <w:b/>
                <w:color w:val="000000"/>
                <w:sz w:val="20"/>
                <w:szCs w:val="20"/>
              </w:rPr>
            </w:pPr>
            <w:r>
              <w:rPr>
                <w:b/>
                <w:color w:val="000000"/>
                <w:sz w:val="20"/>
                <w:szCs w:val="20"/>
              </w:rPr>
              <w:t>Study Design</w:t>
            </w:r>
          </w:p>
        </w:tc>
        <w:tc>
          <w:tcPr>
            <w:tcW w:w="516" w:type="dxa"/>
            <w:tcBorders>
              <w:top w:val="single" w:sz="6" w:space="0" w:color="AEAEAE"/>
              <w:left w:val="single" w:sz="6" w:space="0" w:color="AEAEAE"/>
              <w:bottom w:val="single" w:sz="6" w:space="0" w:color="AEAEAE"/>
              <w:right w:val="single" w:sz="6" w:space="0" w:color="AEAEAE"/>
            </w:tcBorders>
            <w:shd w:val="clear" w:color="auto" w:fill="D9D9D9"/>
          </w:tcPr>
          <w:p w14:paraId="271389AE" w14:textId="77777777" w:rsidR="002D58E4" w:rsidRDefault="00F721D4">
            <w:pPr>
              <w:jc w:val="center"/>
              <w:rPr>
                <w:b/>
                <w:color w:val="000000"/>
                <w:sz w:val="20"/>
                <w:szCs w:val="20"/>
              </w:rPr>
            </w:pPr>
            <w:r>
              <w:rPr>
                <w:b/>
                <w:color w:val="000000"/>
                <w:sz w:val="20"/>
                <w:szCs w:val="20"/>
              </w:rPr>
              <w:t>Risk of bias*</w:t>
            </w:r>
          </w:p>
        </w:tc>
        <w:tc>
          <w:tcPr>
            <w:tcW w:w="4075" w:type="dxa"/>
            <w:gridSpan w:val="2"/>
            <w:tcBorders>
              <w:top w:val="single" w:sz="6" w:space="0" w:color="AEAEAE"/>
              <w:left w:val="single" w:sz="6" w:space="0" w:color="AEAEAE"/>
              <w:bottom w:val="single" w:sz="6" w:space="0" w:color="AEAEAE"/>
              <w:right w:val="single" w:sz="6" w:space="0" w:color="AEAEAE"/>
            </w:tcBorders>
            <w:shd w:val="clear" w:color="auto" w:fill="D9D9D9"/>
          </w:tcPr>
          <w:p w14:paraId="3395A96F" w14:textId="77777777" w:rsidR="002D58E4" w:rsidRDefault="00F721D4">
            <w:pPr>
              <w:jc w:val="center"/>
              <w:rPr>
                <w:b/>
                <w:color w:val="000000"/>
                <w:sz w:val="20"/>
                <w:szCs w:val="20"/>
              </w:rPr>
            </w:pPr>
            <w:r>
              <w:rPr>
                <w:b/>
                <w:color w:val="000000"/>
                <w:sz w:val="20"/>
                <w:szCs w:val="20"/>
              </w:rPr>
              <w:t>Population Characteristics</w:t>
            </w:r>
          </w:p>
        </w:tc>
        <w:tc>
          <w:tcPr>
            <w:tcW w:w="396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F91DD45" w14:textId="77777777" w:rsidR="002D58E4" w:rsidRDefault="00F721D4">
            <w:pPr>
              <w:jc w:val="center"/>
              <w:rPr>
                <w:sz w:val="20"/>
                <w:szCs w:val="20"/>
              </w:rPr>
            </w:pPr>
            <w:r>
              <w:rPr>
                <w:b/>
                <w:color w:val="000000"/>
                <w:sz w:val="20"/>
                <w:szCs w:val="20"/>
              </w:rPr>
              <w:t>Diagnosis Method, % Positive</w:t>
            </w:r>
          </w:p>
        </w:tc>
        <w:tc>
          <w:tcPr>
            <w:tcW w:w="3890" w:type="dxa"/>
            <w:gridSpan w:val="4"/>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69E260A7" w14:textId="77777777" w:rsidR="002D58E4" w:rsidRDefault="00F721D4">
            <w:pPr>
              <w:jc w:val="center"/>
              <w:rPr>
                <w:sz w:val="20"/>
                <w:szCs w:val="20"/>
              </w:rPr>
            </w:pPr>
            <w:r>
              <w:rPr>
                <w:b/>
                <w:color w:val="000000"/>
                <w:sz w:val="20"/>
                <w:szCs w:val="20"/>
              </w:rPr>
              <w:t>Study Conclusions</w:t>
            </w:r>
          </w:p>
        </w:tc>
      </w:tr>
      <w:tr w:rsidR="002D58E4" w14:paraId="599948CC" w14:textId="77777777" w:rsidTr="003D1C11">
        <w:trPr>
          <w:trHeight w:val="420"/>
        </w:trPr>
        <w:tc>
          <w:tcPr>
            <w:tcW w:w="14459" w:type="dxa"/>
            <w:gridSpan w:val="11"/>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7E0D26E0" w14:textId="77777777" w:rsidR="002D58E4" w:rsidRDefault="00F721D4">
            <w:pPr>
              <w:jc w:val="center"/>
              <w:rPr>
                <w:b/>
                <w:i/>
                <w:sz w:val="20"/>
                <w:szCs w:val="20"/>
              </w:rPr>
            </w:pPr>
            <w:r>
              <w:rPr>
                <w:b/>
                <w:i/>
                <w:sz w:val="20"/>
                <w:szCs w:val="20"/>
              </w:rPr>
              <w:t>Culture</w:t>
            </w:r>
          </w:p>
        </w:tc>
      </w:tr>
      <w:tr w:rsidR="002D58E4" w14:paraId="49AC947A" w14:textId="77777777" w:rsidTr="003D1C11">
        <w:trPr>
          <w:trHeight w:val="2384"/>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88AA9D3" w14:textId="77777777" w:rsidR="002D58E4" w:rsidRDefault="00F721D4">
            <w:pPr>
              <w:rPr>
                <w:sz w:val="20"/>
                <w:szCs w:val="20"/>
              </w:rPr>
            </w:pPr>
            <w:r>
              <w:rPr>
                <w:sz w:val="20"/>
                <w:szCs w:val="20"/>
              </w:rPr>
              <w:t>Karlsson, et al., 1990</w:t>
            </w:r>
          </w:p>
          <w:p w14:paraId="2AA1FD30" w14:textId="77777777" w:rsidR="002D58E4" w:rsidRDefault="002D58E4">
            <w:pPr>
              <w:rPr>
                <w:sz w:val="20"/>
                <w:szCs w:val="20"/>
              </w:rPr>
            </w:pPr>
          </w:p>
          <w:p w14:paraId="237AE5BE" w14:textId="77777777" w:rsidR="002D58E4" w:rsidRDefault="00F721D4">
            <w:pPr>
              <w:rPr>
                <w:sz w:val="20"/>
                <w:szCs w:val="20"/>
              </w:rPr>
            </w:pPr>
            <w:r>
              <w:rPr>
                <w:sz w:val="20"/>
                <w:szCs w:val="20"/>
              </w:rPr>
              <w:t>Stockholm, Sweden</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3CCC728E"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0A5384D6"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411BB1A7" w14:textId="77777777" w:rsidR="002D58E4" w:rsidRDefault="00F721D4">
            <w:pPr>
              <w:spacing w:after="120"/>
              <w:rPr>
                <w:sz w:val="20"/>
                <w:szCs w:val="20"/>
              </w:rPr>
            </w:pPr>
            <w:r>
              <w:rPr>
                <w:sz w:val="20"/>
                <w:szCs w:val="20"/>
              </w:rPr>
              <w:t>Cerebrospinal fluid (CSF) samples were obtained from 105 patients with a preliminary clinical diagnosis of Lyme borreliosis with neurological complications.</w:t>
            </w:r>
          </w:p>
          <w:p w14:paraId="5E7B1813" w14:textId="77777777" w:rsidR="002D58E4" w:rsidRDefault="00F721D4">
            <w:pPr>
              <w:spacing w:after="120"/>
              <w:rPr>
                <w:sz w:val="20"/>
                <w:szCs w:val="20"/>
              </w:rPr>
            </w:pPr>
            <w:r>
              <w:rPr>
                <w:sz w:val="20"/>
                <w:szCs w:val="20"/>
              </w:rPr>
              <w:t xml:space="preserve">Final diagnoses were established retrospectively by reviewing the records of each patient. The diagnosis of neuroborreliosis required at least two of the following criteria: (i) pleocytosis in CSF together with neurological signs and symptoms and/or general symptoms compatible with neuroborreliosis, (ii) neurological signs and symptoms or pleocytosis within 3 months after the onset of erythema migrans, (iii) positive antibody titers against </w:t>
            </w:r>
            <w:r>
              <w:rPr>
                <w:i/>
                <w:sz w:val="20"/>
                <w:szCs w:val="20"/>
              </w:rPr>
              <w:t>B. burgdorferi</w:t>
            </w:r>
            <w:r>
              <w:rPr>
                <w:sz w:val="20"/>
                <w:szCs w:val="20"/>
              </w:rPr>
              <w:t xml:space="preserve"> in serum and/or CSF. </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3578AE3" w14:textId="77777777" w:rsidR="002D58E4" w:rsidRDefault="00F721D4">
            <w:pPr>
              <w:rPr>
                <w:sz w:val="20"/>
                <w:szCs w:val="20"/>
              </w:rPr>
            </w:pPr>
            <w:r>
              <w:rPr>
                <w:sz w:val="20"/>
                <w:szCs w:val="20"/>
              </w:rPr>
              <w:t xml:space="preserve">Samples were cultivated on Kelly-modified medium, with and without rabbit serum. All cultures were incubated at 35°C and examined by dark-field microscopy every 2 weeks for 2 months. After three to four passages, the isolates were stored at -70°C. </w:t>
            </w:r>
          </w:p>
          <w:p w14:paraId="4077F537" w14:textId="77777777" w:rsidR="002D58E4" w:rsidRDefault="002D58E4">
            <w:pPr>
              <w:rPr>
                <w:sz w:val="20"/>
                <w:szCs w:val="20"/>
              </w:rPr>
            </w:pPr>
          </w:p>
          <w:p w14:paraId="55071526" w14:textId="77777777" w:rsidR="002D58E4" w:rsidRDefault="00F721D4">
            <w:pPr>
              <w:rPr>
                <w:sz w:val="20"/>
                <w:szCs w:val="20"/>
              </w:rPr>
            </w:pPr>
            <w:r>
              <w:rPr>
                <w:sz w:val="20"/>
                <w:szCs w:val="20"/>
              </w:rPr>
              <w:t>Paired serum and CSF samples of the patients from whom spirochetes were cultivated were analyzed by Western Blot. Paired serum and CSF samples from the 105 patients included in the study were screened in a routine ELISA.</w:t>
            </w:r>
          </w:p>
          <w:p w14:paraId="0BC3284D" w14:textId="77777777" w:rsidR="002D58E4" w:rsidRDefault="002D58E4">
            <w:pPr>
              <w:rPr>
                <w:sz w:val="20"/>
                <w:szCs w:val="20"/>
              </w:rPr>
            </w:pPr>
          </w:p>
          <w:p w14:paraId="58EDCF1D" w14:textId="77777777" w:rsidR="002D58E4" w:rsidRDefault="00F721D4">
            <w:pPr>
              <w:rPr>
                <w:sz w:val="20"/>
                <w:szCs w:val="20"/>
              </w:rPr>
            </w:pPr>
            <w:r>
              <w:rPr>
                <w:sz w:val="20"/>
                <w:szCs w:val="20"/>
              </w:rPr>
              <w:t>Spirochetes were cultured from CSF samples from 4 of the 36 patients (11%) with untreated neuroborreliosis.</w:t>
            </w:r>
          </w:p>
        </w:tc>
        <w:tc>
          <w:tcPr>
            <w:tcW w:w="3890" w:type="dxa"/>
            <w:gridSpan w:val="4"/>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362F6DC4" w14:textId="77777777" w:rsidR="002D58E4" w:rsidRDefault="00F721D4">
            <w:pPr>
              <w:rPr>
                <w:sz w:val="20"/>
                <w:szCs w:val="20"/>
              </w:rPr>
            </w:pPr>
            <w:r>
              <w:rPr>
                <w:sz w:val="20"/>
                <w:szCs w:val="20"/>
              </w:rPr>
              <w:t xml:space="preserve">The 4 culture-positive patients were among the 38 patients that retrospectively fulfilled criteria for neuroborreliosis. Two of the thirty-eight patients were receiving oral treatment with antibiotics at the time of lumbar puncture, and as a result, their cultures were negative. </w:t>
            </w:r>
          </w:p>
          <w:p w14:paraId="5492D710" w14:textId="77777777" w:rsidR="002D58E4" w:rsidRDefault="002D58E4">
            <w:pPr>
              <w:rPr>
                <w:sz w:val="20"/>
                <w:szCs w:val="20"/>
              </w:rPr>
            </w:pPr>
          </w:p>
          <w:p w14:paraId="20515901" w14:textId="77777777" w:rsidR="002D58E4" w:rsidRDefault="00F721D4">
            <w:pPr>
              <w:rPr>
                <w:sz w:val="20"/>
                <w:szCs w:val="20"/>
              </w:rPr>
            </w:pPr>
            <w:r>
              <w:rPr>
                <w:sz w:val="20"/>
                <w:szCs w:val="20"/>
              </w:rPr>
              <w:t xml:space="preserve">Positive IgM or IgG titers were found in both serum and CSF from 17 of 38 patients with retrospectively confirmed neuroborreliosis. Positive antibody titers were found by routine ELISA in serum from one of the four patients from whom spirochetes were cultured. Positive antibody titers in CSF were found in another two of these four patients.  </w:t>
            </w:r>
          </w:p>
          <w:p w14:paraId="6BD04D2F" w14:textId="77777777" w:rsidR="002D58E4" w:rsidRDefault="002D58E4">
            <w:pPr>
              <w:rPr>
                <w:sz w:val="20"/>
                <w:szCs w:val="20"/>
              </w:rPr>
            </w:pPr>
          </w:p>
          <w:p w14:paraId="312DEB67" w14:textId="77777777" w:rsidR="002D58E4" w:rsidRDefault="00F721D4">
            <w:pPr>
              <w:rPr>
                <w:sz w:val="20"/>
                <w:szCs w:val="20"/>
              </w:rPr>
            </w:pPr>
            <w:r>
              <w:rPr>
                <w:sz w:val="20"/>
                <w:szCs w:val="20"/>
              </w:rPr>
              <w:t>The authors concluded that isolation of spirochetes from CSF is not suitable as a routine diagnostic test. They noted that isolation of spirochetes from CSF might prove successful in clinically selected cases.</w:t>
            </w:r>
          </w:p>
        </w:tc>
      </w:tr>
      <w:tr w:rsidR="002D58E4" w14:paraId="1EE72FA9" w14:textId="77777777" w:rsidTr="003D1C11">
        <w:trPr>
          <w:trHeight w:val="683"/>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CC8DFC9" w14:textId="77777777" w:rsidR="002D58E4" w:rsidRPr="002914A2" w:rsidRDefault="00F721D4">
            <w:pPr>
              <w:rPr>
                <w:sz w:val="20"/>
                <w:szCs w:val="20"/>
                <w:lang w:val="fr-CA"/>
              </w:rPr>
            </w:pPr>
            <w:r w:rsidRPr="002914A2">
              <w:rPr>
                <w:sz w:val="20"/>
                <w:szCs w:val="20"/>
                <w:lang w:val="fr-CA"/>
              </w:rPr>
              <w:t>Cerar, et al., 2008</w:t>
            </w:r>
          </w:p>
          <w:p w14:paraId="413E2F8F" w14:textId="77777777" w:rsidR="002D58E4" w:rsidRPr="002914A2" w:rsidRDefault="002D58E4">
            <w:pPr>
              <w:rPr>
                <w:sz w:val="20"/>
                <w:szCs w:val="20"/>
                <w:lang w:val="fr-CA"/>
              </w:rPr>
            </w:pPr>
          </w:p>
          <w:p w14:paraId="09B35F70" w14:textId="77777777" w:rsidR="002D58E4" w:rsidRPr="002914A2" w:rsidRDefault="00F721D4">
            <w:pPr>
              <w:rPr>
                <w:sz w:val="20"/>
                <w:szCs w:val="20"/>
                <w:lang w:val="fr-CA"/>
              </w:rPr>
            </w:pPr>
            <w:r w:rsidRPr="002914A2">
              <w:rPr>
                <w:sz w:val="20"/>
                <w:szCs w:val="20"/>
                <w:lang w:val="fr-CA"/>
              </w:rPr>
              <w:t>Ljubljana, Slovenia</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41610109" w14:textId="77777777" w:rsidR="002D58E4" w:rsidRDefault="00F721D4">
            <w:pPr>
              <w:rPr>
                <w:sz w:val="20"/>
                <w:szCs w:val="20"/>
              </w:rPr>
            </w:pPr>
            <w:r>
              <w:rPr>
                <w:sz w:val="20"/>
                <w:szCs w:val="20"/>
              </w:rPr>
              <w:t>Case-control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41719CB2"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E953E1E" w14:textId="77777777" w:rsidR="002D58E4" w:rsidRDefault="00F721D4">
            <w:pPr>
              <w:spacing w:after="120"/>
              <w:rPr>
                <w:sz w:val="20"/>
                <w:szCs w:val="20"/>
              </w:rPr>
            </w:pPr>
            <w:r>
              <w:rPr>
                <w:sz w:val="20"/>
                <w:szCs w:val="20"/>
              </w:rPr>
              <w:t xml:space="preserve">48 adults with a working clinical diagnosis of Lyme neuroborreliosis (median duration 10 days, range 2-90), defined by erythema migrans ≤4 months before the appearance of neurological symptoms and signs, including radiculoneuritis and/or peripheral facial palsy, </w:t>
            </w:r>
            <w:r>
              <w:rPr>
                <w:sz w:val="20"/>
                <w:szCs w:val="20"/>
                <w:u w:val="single"/>
              </w:rPr>
              <w:t>and</w:t>
            </w:r>
            <w:r>
              <w:rPr>
                <w:sz w:val="20"/>
                <w:szCs w:val="20"/>
              </w:rPr>
              <w:t xml:space="preserve"> pleocytosis, were assessed.</w:t>
            </w:r>
          </w:p>
          <w:p w14:paraId="7E7CDC7C" w14:textId="77777777" w:rsidR="002D58E4" w:rsidRDefault="00F721D4">
            <w:pPr>
              <w:spacing w:after="120"/>
              <w:rPr>
                <w:sz w:val="20"/>
                <w:szCs w:val="20"/>
              </w:rPr>
            </w:pPr>
            <w:r>
              <w:rPr>
                <w:sz w:val="20"/>
                <w:szCs w:val="20"/>
              </w:rPr>
              <w:t xml:space="preserve">45 adults with a working clinical diagnosis of suspected Lyme neuroborreliosis (median duration 14 days, range 1-120), defined by erythema migrans ≤4 months before the appearance of neurological symptoms, but </w:t>
            </w:r>
            <w:r>
              <w:rPr>
                <w:sz w:val="20"/>
                <w:szCs w:val="20"/>
                <w:u w:val="single"/>
              </w:rPr>
              <w:t>without</w:t>
            </w:r>
            <w:r>
              <w:rPr>
                <w:sz w:val="20"/>
                <w:szCs w:val="20"/>
              </w:rPr>
              <w:t xml:space="preserve"> pleocytosis.</w:t>
            </w:r>
            <w:r>
              <w:t xml:space="preserve"> </w:t>
            </w:r>
          </w:p>
          <w:p w14:paraId="17238E37" w14:textId="77777777" w:rsidR="002D58E4" w:rsidRDefault="00F721D4">
            <w:pPr>
              <w:spacing w:after="120"/>
              <w:rPr>
                <w:sz w:val="20"/>
                <w:szCs w:val="20"/>
              </w:rPr>
            </w:pPr>
            <w:r>
              <w:rPr>
                <w:sz w:val="20"/>
                <w:szCs w:val="20"/>
              </w:rPr>
              <w:t>Erythema migrans was still present in 13 of 48 patients with a working clinical diagnosis of Lyme neuroborreliosis and in 40 of 45 patients with suspected Lyme neuroborreliosis.</w:t>
            </w:r>
          </w:p>
          <w:p w14:paraId="4A138F8C" w14:textId="77777777" w:rsidR="002D58E4" w:rsidRDefault="00F721D4">
            <w:pPr>
              <w:spacing w:after="120"/>
              <w:rPr>
                <w:sz w:val="20"/>
                <w:szCs w:val="20"/>
              </w:rPr>
            </w:pPr>
            <w:r>
              <w:rPr>
                <w:sz w:val="20"/>
                <w:szCs w:val="20"/>
              </w:rPr>
              <w:t xml:space="preserve">42 patients with tick-borne encephalitis (TBE) and 21 neurosurgical patients served as controls. </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B76D735" w14:textId="77777777" w:rsidR="002D58E4" w:rsidRDefault="00F721D4">
            <w:pPr>
              <w:rPr>
                <w:sz w:val="20"/>
                <w:szCs w:val="20"/>
              </w:rPr>
            </w:pPr>
            <w:r>
              <w:rPr>
                <w:sz w:val="20"/>
                <w:szCs w:val="20"/>
              </w:rPr>
              <w:t xml:space="preserve">Specimens were cultivated in modified Kelly-Pettenkofer (MKP) medium and were analyzed by nested PCR which amplified two DNA targets—the intergenic </w:t>
            </w:r>
            <w:r>
              <w:rPr>
                <w:i/>
                <w:sz w:val="20"/>
                <w:szCs w:val="20"/>
              </w:rPr>
              <w:t>rrf-rrl</w:t>
            </w:r>
            <w:r>
              <w:rPr>
                <w:sz w:val="20"/>
                <w:szCs w:val="20"/>
              </w:rPr>
              <w:t xml:space="preserve"> region and the gene </w:t>
            </w:r>
            <w:r>
              <w:rPr>
                <w:i/>
                <w:sz w:val="20"/>
                <w:szCs w:val="20"/>
              </w:rPr>
              <w:t>OspA</w:t>
            </w:r>
            <w:r>
              <w:rPr>
                <w:sz w:val="20"/>
                <w:szCs w:val="20"/>
              </w:rPr>
              <w:t xml:space="preserve"> with restriction fragment length polymorphism (RFLP) analysis.</w:t>
            </w:r>
          </w:p>
          <w:p w14:paraId="492AF4EE" w14:textId="77777777" w:rsidR="002D58E4" w:rsidRDefault="002D58E4">
            <w:pPr>
              <w:rPr>
                <w:sz w:val="20"/>
                <w:szCs w:val="20"/>
              </w:rPr>
            </w:pPr>
          </w:p>
          <w:p w14:paraId="10031EDD" w14:textId="77777777" w:rsidR="002D58E4" w:rsidRDefault="00F721D4">
            <w:pPr>
              <w:rPr>
                <w:sz w:val="20"/>
                <w:szCs w:val="20"/>
              </w:rPr>
            </w:pPr>
            <w:r>
              <w:rPr>
                <w:i/>
                <w:sz w:val="20"/>
                <w:szCs w:val="20"/>
              </w:rPr>
              <w:t>Borreliae</w:t>
            </w:r>
            <w:r>
              <w:rPr>
                <w:sz w:val="20"/>
                <w:szCs w:val="20"/>
              </w:rPr>
              <w:t xml:space="preserve"> were only isolated from 1 out of 135 blood samples by culture.</w:t>
            </w:r>
          </w:p>
          <w:p w14:paraId="62C3B3F0" w14:textId="77777777" w:rsidR="002D58E4" w:rsidRDefault="002D58E4">
            <w:pPr>
              <w:rPr>
                <w:sz w:val="20"/>
                <w:szCs w:val="20"/>
              </w:rPr>
            </w:pPr>
          </w:p>
          <w:p w14:paraId="08DAEC1C" w14:textId="77777777" w:rsidR="002D58E4" w:rsidRDefault="00F721D4">
            <w:pPr>
              <w:rPr>
                <w:sz w:val="20"/>
                <w:szCs w:val="20"/>
                <w:u w:val="single"/>
              </w:rPr>
            </w:pPr>
            <w:r>
              <w:rPr>
                <w:sz w:val="20"/>
                <w:szCs w:val="20"/>
                <w:u w:val="single"/>
              </w:rPr>
              <w:t>PCR targeting OspA (Blood):</w:t>
            </w:r>
          </w:p>
          <w:p w14:paraId="51A0B38E" w14:textId="77777777" w:rsidR="002D58E4" w:rsidRDefault="00F721D4">
            <w:pPr>
              <w:numPr>
                <w:ilvl w:val="0"/>
                <w:numId w:val="6"/>
              </w:numPr>
              <w:rPr>
                <w:sz w:val="20"/>
                <w:szCs w:val="20"/>
              </w:rPr>
            </w:pPr>
            <w:r>
              <w:rPr>
                <w:sz w:val="20"/>
                <w:szCs w:val="20"/>
              </w:rPr>
              <w:t>Working diagnosis LNB: 14.6% positive</w:t>
            </w:r>
          </w:p>
          <w:p w14:paraId="1D153012" w14:textId="77777777" w:rsidR="002D58E4" w:rsidRDefault="00F721D4">
            <w:pPr>
              <w:numPr>
                <w:ilvl w:val="0"/>
                <w:numId w:val="6"/>
              </w:numPr>
              <w:rPr>
                <w:sz w:val="20"/>
                <w:szCs w:val="20"/>
              </w:rPr>
            </w:pPr>
            <w:r>
              <w:rPr>
                <w:sz w:val="20"/>
                <w:szCs w:val="20"/>
              </w:rPr>
              <w:t>Suspected LNB: 11.1% positive</w:t>
            </w:r>
          </w:p>
          <w:p w14:paraId="50E1E214" w14:textId="77777777" w:rsidR="002D58E4" w:rsidRDefault="00F721D4">
            <w:pPr>
              <w:numPr>
                <w:ilvl w:val="0"/>
                <w:numId w:val="6"/>
              </w:numPr>
              <w:rPr>
                <w:sz w:val="20"/>
                <w:szCs w:val="20"/>
              </w:rPr>
            </w:pPr>
            <w:r>
              <w:rPr>
                <w:sz w:val="20"/>
                <w:szCs w:val="20"/>
              </w:rPr>
              <w:t>TBE: 4.8% positive</w:t>
            </w:r>
          </w:p>
          <w:p w14:paraId="04AAF44F" w14:textId="77777777" w:rsidR="002D58E4" w:rsidRDefault="002D58E4">
            <w:pPr>
              <w:rPr>
                <w:sz w:val="20"/>
                <w:szCs w:val="20"/>
              </w:rPr>
            </w:pPr>
          </w:p>
          <w:p w14:paraId="2D6B226A" w14:textId="77777777" w:rsidR="002D58E4" w:rsidRDefault="00F721D4">
            <w:pPr>
              <w:rPr>
                <w:sz w:val="20"/>
                <w:szCs w:val="20"/>
                <w:u w:val="single"/>
              </w:rPr>
            </w:pPr>
            <w:r>
              <w:rPr>
                <w:sz w:val="20"/>
                <w:szCs w:val="20"/>
                <w:u w:val="single"/>
              </w:rPr>
              <w:t>PCR targeting OspA (CSF):</w:t>
            </w:r>
          </w:p>
          <w:p w14:paraId="0213FA54" w14:textId="77777777" w:rsidR="002D58E4" w:rsidRDefault="00F721D4">
            <w:pPr>
              <w:numPr>
                <w:ilvl w:val="0"/>
                <w:numId w:val="6"/>
              </w:numPr>
              <w:rPr>
                <w:sz w:val="20"/>
                <w:szCs w:val="20"/>
              </w:rPr>
            </w:pPr>
            <w:r>
              <w:rPr>
                <w:sz w:val="20"/>
                <w:szCs w:val="20"/>
              </w:rPr>
              <w:t>Working diagnosis LNB: 20.8% positive</w:t>
            </w:r>
          </w:p>
          <w:p w14:paraId="5377165F" w14:textId="77777777" w:rsidR="002D58E4" w:rsidRDefault="00F721D4">
            <w:pPr>
              <w:numPr>
                <w:ilvl w:val="0"/>
                <w:numId w:val="6"/>
              </w:numPr>
              <w:rPr>
                <w:sz w:val="20"/>
                <w:szCs w:val="20"/>
              </w:rPr>
            </w:pPr>
            <w:r>
              <w:rPr>
                <w:sz w:val="20"/>
                <w:szCs w:val="20"/>
              </w:rPr>
              <w:t xml:space="preserve">Suspected LNB: 15.6% positive </w:t>
            </w:r>
          </w:p>
          <w:p w14:paraId="1AA21AA6" w14:textId="77777777" w:rsidR="002D58E4" w:rsidRDefault="00F721D4">
            <w:pPr>
              <w:numPr>
                <w:ilvl w:val="0"/>
                <w:numId w:val="6"/>
              </w:numPr>
              <w:rPr>
                <w:sz w:val="20"/>
                <w:szCs w:val="20"/>
              </w:rPr>
            </w:pPr>
            <w:r>
              <w:rPr>
                <w:sz w:val="20"/>
                <w:szCs w:val="20"/>
              </w:rPr>
              <w:t>TBE: 4.8% positive</w:t>
            </w:r>
          </w:p>
          <w:p w14:paraId="57E51E81" w14:textId="77777777" w:rsidR="002D58E4" w:rsidRDefault="002D58E4">
            <w:pPr>
              <w:rPr>
                <w:sz w:val="20"/>
                <w:szCs w:val="20"/>
              </w:rPr>
            </w:pPr>
          </w:p>
          <w:p w14:paraId="0BD030A7" w14:textId="77777777" w:rsidR="002D58E4" w:rsidRDefault="00F721D4">
            <w:pPr>
              <w:rPr>
                <w:sz w:val="20"/>
                <w:szCs w:val="20"/>
                <w:u w:val="single"/>
              </w:rPr>
            </w:pPr>
            <w:r>
              <w:rPr>
                <w:sz w:val="20"/>
                <w:szCs w:val="20"/>
                <w:u w:val="single"/>
              </w:rPr>
              <w:t xml:space="preserve">PCR targeting </w:t>
            </w:r>
            <w:r>
              <w:rPr>
                <w:i/>
                <w:sz w:val="20"/>
                <w:szCs w:val="20"/>
                <w:u w:val="single"/>
              </w:rPr>
              <w:t>rrf-rrl</w:t>
            </w:r>
            <w:r>
              <w:rPr>
                <w:sz w:val="20"/>
                <w:szCs w:val="20"/>
                <w:u w:val="single"/>
              </w:rPr>
              <w:t xml:space="preserve"> (Blood):</w:t>
            </w:r>
          </w:p>
          <w:p w14:paraId="4CE73ED3" w14:textId="77777777" w:rsidR="002D58E4" w:rsidRDefault="00F721D4">
            <w:pPr>
              <w:numPr>
                <w:ilvl w:val="0"/>
                <w:numId w:val="6"/>
              </w:numPr>
              <w:rPr>
                <w:sz w:val="20"/>
                <w:szCs w:val="20"/>
              </w:rPr>
            </w:pPr>
            <w:r>
              <w:rPr>
                <w:sz w:val="20"/>
                <w:szCs w:val="20"/>
              </w:rPr>
              <w:t>Working diagnosis LNB: 10.4% positive</w:t>
            </w:r>
          </w:p>
          <w:p w14:paraId="5E61FB6B" w14:textId="77777777" w:rsidR="002D58E4" w:rsidRDefault="00F721D4">
            <w:pPr>
              <w:numPr>
                <w:ilvl w:val="0"/>
                <w:numId w:val="6"/>
              </w:numPr>
              <w:rPr>
                <w:sz w:val="20"/>
                <w:szCs w:val="20"/>
              </w:rPr>
            </w:pPr>
            <w:r>
              <w:rPr>
                <w:sz w:val="20"/>
                <w:szCs w:val="20"/>
              </w:rPr>
              <w:t>Suspected LNB: 15.6% positive</w:t>
            </w:r>
          </w:p>
          <w:p w14:paraId="6FF71EBF" w14:textId="77777777" w:rsidR="002D58E4" w:rsidRDefault="00F721D4">
            <w:pPr>
              <w:numPr>
                <w:ilvl w:val="0"/>
                <w:numId w:val="6"/>
              </w:numPr>
              <w:rPr>
                <w:sz w:val="20"/>
                <w:szCs w:val="20"/>
              </w:rPr>
            </w:pPr>
            <w:r>
              <w:rPr>
                <w:sz w:val="20"/>
                <w:szCs w:val="20"/>
              </w:rPr>
              <w:t>TBE: 4.8% positive</w:t>
            </w:r>
          </w:p>
          <w:p w14:paraId="76636E49" w14:textId="77777777" w:rsidR="002D58E4" w:rsidRDefault="002D58E4">
            <w:pPr>
              <w:rPr>
                <w:sz w:val="20"/>
                <w:szCs w:val="20"/>
              </w:rPr>
            </w:pPr>
          </w:p>
          <w:p w14:paraId="5F8ACBBF" w14:textId="77777777" w:rsidR="002D58E4" w:rsidRDefault="00F721D4">
            <w:pPr>
              <w:rPr>
                <w:sz w:val="20"/>
                <w:szCs w:val="20"/>
                <w:u w:val="single"/>
              </w:rPr>
            </w:pPr>
            <w:r>
              <w:rPr>
                <w:sz w:val="20"/>
                <w:szCs w:val="20"/>
                <w:u w:val="single"/>
              </w:rPr>
              <w:t xml:space="preserve">PCR targeting </w:t>
            </w:r>
            <w:r>
              <w:rPr>
                <w:i/>
                <w:sz w:val="20"/>
                <w:szCs w:val="20"/>
                <w:u w:val="single"/>
              </w:rPr>
              <w:t>rrf-rrl</w:t>
            </w:r>
            <w:r>
              <w:rPr>
                <w:sz w:val="20"/>
                <w:szCs w:val="20"/>
                <w:u w:val="single"/>
              </w:rPr>
              <w:t xml:space="preserve"> (CSF):</w:t>
            </w:r>
          </w:p>
          <w:p w14:paraId="6AB74782" w14:textId="77777777" w:rsidR="002D58E4" w:rsidRDefault="00F721D4">
            <w:pPr>
              <w:numPr>
                <w:ilvl w:val="0"/>
                <w:numId w:val="6"/>
              </w:numPr>
              <w:rPr>
                <w:sz w:val="20"/>
                <w:szCs w:val="20"/>
              </w:rPr>
            </w:pPr>
            <w:r>
              <w:rPr>
                <w:sz w:val="20"/>
                <w:szCs w:val="20"/>
              </w:rPr>
              <w:t>Working diagnosis LNB: 20.8% positive</w:t>
            </w:r>
          </w:p>
          <w:p w14:paraId="143F405D" w14:textId="77777777" w:rsidR="002D58E4" w:rsidRDefault="00F721D4">
            <w:pPr>
              <w:numPr>
                <w:ilvl w:val="0"/>
                <w:numId w:val="6"/>
              </w:numPr>
              <w:rPr>
                <w:sz w:val="20"/>
                <w:szCs w:val="20"/>
              </w:rPr>
            </w:pPr>
            <w:r>
              <w:rPr>
                <w:sz w:val="20"/>
                <w:szCs w:val="20"/>
              </w:rPr>
              <w:t>Suspected LNB: 17.8% positive</w:t>
            </w:r>
          </w:p>
          <w:p w14:paraId="5994E61B" w14:textId="77777777" w:rsidR="002D58E4" w:rsidRDefault="00F721D4">
            <w:pPr>
              <w:numPr>
                <w:ilvl w:val="0"/>
                <w:numId w:val="6"/>
              </w:numPr>
              <w:rPr>
                <w:sz w:val="20"/>
                <w:szCs w:val="20"/>
              </w:rPr>
            </w:pPr>
            <w:r>
              <w:rPr>
                <w:sz w:val="20"/>
                <w:szCs w:val="20"/>
              </w:rPr>
              <w:t>TBE: 2.4% positive</w:t>
            </w:r>
          </w:p>
        </w:tc>
        <w:tc>
          <w:tcPr>
            <w:tcW w:w="3890" w:type="dxa"/>
            <w:gridSpan w:val="4"/>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404C8E19" w14:textId="77777777" w:rsidR="002D58E4" w:rsidRDefault="00F721D4">
            <w:pPr>
              <w:rPr>
                <w:sz w:val="20"/>
                <w:szCs w:val="20"/>
              </w:rPr>
            </w:pPr>
            <w:r>
              <w:rPr>
                <w:sz w:val="20"/>
                <w:szCs w:val="20"/>
              </w:rPr>
              <w:t xml:space="preserve">Results of the two PCR methods were concordant in 131 of 135 (97%) blood samples and in 146 of 156 (93.6%) CSF samples. PCR targeting OspA detected the presence of borrelial DNA in 14 of 135 (10.4%) blood samples and in 19 of 156 (12.2%) CSF specimens. </w:t>
            </w:r>
          </w:p>
          <w:p w14:paraId="53F42B53" w14:textId="77777777" w:rsidR="002D58E4" w:rsidRDefault="002D58E4">
            <w:pPr>
              <w:rPr>
                <w:sz w:val="20"/>
                <w:szCs w:val="20"/>
              </w:rPr>
            </w:pPr>
          </w:p>
          <w:p w14:paraId="592EEB9D" w14:textId="77777777" w:rsidR="002D58E4" w:rsidRDefault="00F721D4">
            <w:pPr>
              <w:rPr>
                <w:sz w:val="20"/>
                <w:szCs w:val="20"/>
              </w:rPr>
            </w:pPr>
            <w:r>
              <w:rPr>
                <w:sz w:val="20"/>
                <w:szCs w:val="20"/>
              </w:rPr>
              <w:t xml:space="preserve">Frequency of positive results did not significantly differ between CSF and blood. PCR targeting OspA found no borrelial DNA in the CSF samples of the 21 patients in the neurosurgical control group. </w:t>
            </w:r>
          </w:p>
          <w:p w14:paraId="7811C56A" w14:textId="77777777" w:rsidR="002D58E4" w:rsidRDefault="002D58E4">
            <w:pPr>
              <w:rPr>
                <w:sz w:val="20"/>
                <w:szCs w:val="20"/>
              </w:rPr>
            </w:pPr>
          </w:p>
          <w:p w14:paraId="5CCF7C7A" w14:textId="77777777" w:rsidR="002D58E4" w:rsidRDefault="00F721D4">
            <w:pPr>
              <w:rPr>
                <w:sz w:val="20"/>
                <w:szCs w:val="20"/>
              </w:rPr>
            </w:pPr>
            <w:r>
              <w:rPr>
                <w:sz w:val="20"/>
                <w:szCs w:val="20"/>
              </w:rPr>
              <w:t>Only half of the culture-positive CSF and blood specimens were positive with at least one of the two PCR approaches.</w:t>
            </w:r>
          </w:p>
        </w:tc>
      </w:tr>
      <w:tr w:rsidR="002D58E4" w14:paraId="42619713" w14:textId="77777777" w:rsidTr="003D1C11">
        <w:trPr>
          <w:trHeight w:val="114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61C29FB" w14:textId="77777777" w:rsidR="002D58E4" w:rsidRDefault="00F721D4">
            <w:pPr>
              <w:rPr>
                <w:sz w:val="20"/>
                <w:szCs w:val="20"/>
              </w:rPr>
            </w:pPr>
            <w:r>
              <w:rPr>
                <w:sz w:val="20"/>
                <w:szCs w:val="20"/>
              </w:rPr>
              <w:t>Nowakowski, et al., 2009</w:t>
            </w:r>
          </w:p>
          <w:p w14:paraId="218355E1" w14:textId="77777777" w:rsidR="002D58E4" w:rsidRDefault="002D58E4">
            <w:pPr>
              <w:rPr>
                <w:sz w:val="20"/>
                <w:szCs w:val="20"/>
              </w:rPr>
            </w:pPr>
          </w:p>
          <w:p w14:paraId="46826E75" w14:textId="77777777" w:rsidR="002D58E4" w:rsidRDefault="00F721D4">
            <w:pPr>
              <w:rPr>
                <w:sz w:val="20"/>
                <w:szCs w:val="20"/>
              </w:rPr>
            </w:pPr>
            <w:r>
              <w:rPr>
                <w:sz w:val="20"/>
                <w:szCs w:val="20"/>
              </w:rPr>
              <w:t>Westchester County, NY</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14D4508E"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30230717"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4AD3DD57" w14:textId="77777777" w:rsidR="002D58E4" w:rsidRDefault="00F721D4">
            <w:pPr>
              <w:rPr>
                <w:sz w:val="20"/>
                <w:szCs w:val="20"/>
              </w:rPr>
            </w:pPr>
            <w:r>
              <w:rPr>
                <w:sz w:val="20"/>
                <w:szCs w:val="20"/>
              </w:rPr>
              <w:t xml:space="preserve">26 untreated adult patients (57.7% male; mean age 49 years) with objective neurologic, cardiac, or musculoskeletal manifestations consistent with Lyme disease were enrolled. </w:t>
            </w:r>
          </w:p>
          <w:p w14:paraId="3CDF203B" w14:textId="77777777" w:rsidR="002D58E4" w:rsidRDefault="002D58E4">
            <w:pPr>
              <w:rPr>
                <w:sz w:val="20"/>
                <w:szCs w:val="20"/>
              </w:rPr>
            </w:pPr>
          </w:p>
          <w:p w14:paraId="56E4582A" w14:textId="77777777" w:rsidR="002D58E4" w:rsidRDefault="00F721D4">
            <w:pPr>
              <w:rPr>
                <w:sz w:val="20"/>
                <w:szCs w:val="20"/>
              </w:rPr>
            </w:pPr>
            <w:r>
              <w:rPr>
                <w:sz w:val="20"/>
                <w:szCs w:val="20"/>
              </w:rPr>
              <w:t>13 patients (50%) had ≥1 early neurologic manifestations of Lyme disease, including cranial nerve palsy, meningitis, or radiculopathy.</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1173035" w14:textId="77777777" w:rsidR="002D58E4" w:rsidRDefault="00F721D4">
            <w:pPr>
              <w:rPr>
                <w:sz w:val="20"/>
                <w:szCs w:val="20"/>
              </w:rPr>
            </w:pPr>
            <w:r>
              <w:rPr>
                <w:sz w:val="20"/>
                <w:szCs w:val="20"/>
              </w:rPr>
              <w:t xml:space="preserve">Plasma samples were cultured in Barbour Stoenner Kelly (BSK) media. Cultures were examined microscopically at 2, 4, and 8 weeks for the presence of spirochetes, which were confirmed as </w:t>
            </w:r>
            <w:r>
              <w:rPr>
                <w:i/>
                <w:sz w:val="20"/>
                <w:szCs w:val="20"/>
              </w:rPr>
              <w:t>B. burgdorferi</w:t>
            </w:r>
            <w:r>
              <w:rPr>
                <w:sz w:val="20"/>
                <w:szCs w:val="20"/>
              </w:rPr>
              <w:t xml:space="preserve"> by PCR evaluation.</w:t>
            </w:r>
          </w:p>
          <w:p w14:paraId="41A118C7" w14:textId="77777777" w:rsidR="002D58E4" w:rsidRDefault="002D58E4">
            <w:pPr>
              <w:rPr>
                <w:sz w:val="20"/>
                <w:szCs w:val="20"/>
              </w:rPr>
            </w:pPr>
          </w:p>
          <w:p w14:paraId="5C40549F" w14:textId="77777777" w:rsidR="002D58E4" w:rsidRDefault="00F721D4">
            <w:pPr>
              <w:rPr>
                <w:sz w:val="20"/>
                <w:szCs w:val="20"/>
              </w:rPr>
            </w:pPr>
            <w:r>
              <w:rPr>
                <w:sz w:val="20"/>
                <w:szCs w:val="20"/>
              </w:rPr>
              <w:t xml:space="preserve">Of 13 patients with neuroborreliosis, 3 (23.1%) had a blood culture positive for </w:t>
            </w:r>
            <w:r>
              <w:rPr>
                <w:i/>
                <w:sz w:val="20"/>
                <w:szCs w:val="20"/>
              </w:rPr>
              <w:t>B. burgdorferi</w:t>
            </w:r>
            <w:r>
              <w:rPr>
                <w:sz w:val="20"/>
                <w:szCs w:val="20"/>
              </w:rPr>
              <w:t xml:space="preserve">; all of these patients had multiple erythema migrans skin lesions. </w:t>
            </w:r>
          </w:p>
        </w:tc>
        <w:tc>
          <w:tcPr>
            <w:tcW w:w="3890" w:type="dxa"/>
            <w:gridSpan w:val="4"/>
            <w:tcBorders>
              <w:top w:val="single" w:sz="6" w:space="0" w:color="AEAEAE"/>
              <w:left w:val="single" w:sz="6" w:space="0" w:color="AEAEAE"/>
              <w:bottom w:val="single" w:sz="6" w:space="0" w:color="AEAEAE"/>
              <w:right w:val="single" w:sz="6" w:space="0" w:color="AEAEAE"/>
            </w:tcBorders>
            <w:tcMar>
              <w:top w:w="61" w:type="dxa"/>
              <w:left w:w="144" w:type="dxa"/>
              <w:bottom w:w="61" w:type="dxa"/>
              <w:right w:w="144" w:type="dxa"/>
            </w:tcMar>
            <w:vAlign w:val="center"/>
          </w:tcPr>
          <w:p w14:paraId="2AFB38CC" w14:textId="77777777" w:rsidR="002D58E4" w:rsidRDefault="00F721D4">
            <w:pPr>
              <w:rPr>
                <w:sz w:val="20"/>
                <w:szCs w:val="20"/>
              </w:rPr>
            </w:pPr>
            <w:r>
              <w:rPr>
                <w:sz w:val="20"/>
                <w:szCs w:val="20"/>
              </w:rPr>
              <w:t xml:space="preserve">Patients with positive blood culture results were symptomatic for a significantly shorter duration of time than were those with negative blood culture results (p=0.04). Positive blood culture results were not associated with age (p=0.87), sex (p&gt;0.99), or number of viral-like symptoms (p=0.53). </w:t>
            </w:r>
          </w:p>
          <w:p w14:paraId="02BEA635" w14:textId="77777777" w:rsidR="002D58E4" w:rsidRDefault="002D58E4">
            <w:pPr>
              <w:rPr>
                <w:sz w:val="20"/>
                <w:szCs w:val="20"/>
              </w:rPr>
            </w:pPr>
          </w:p>
          <w:p w14:paraId="66FAE64A" w14:textId="77777777" w:rsidR="002D58E4" w:rsidRDefault="00F721D4">
            <w:pPr>
              <w:rPr>
                <w:sz w:val="20"/>
                <w:szCs w:val="20"/>
              </w:rPr>
            </w:pPr>
            <w:r>
              <w:rPr>
                <w:sz w:val="20"/>
                <w:szCs w:val="20"/>
              </w:rPr>
              <w:t>The association of positive culture results with shorter symptom duration and presence of erythema migrans led the author to believe that blood culture is more likely to be positive during the early stages of infection with Lyme disease.</w:t>
            </w:r>
          </w:p>
        </w:tc>
      </w:tr>
      <w:tr w:rsidR="002D58E4" w14:paraId="24D6F548" w14:textId="77777777" w:rsidTr="003D1C11">
        <w:trPr>
          <w:trHeight w:val="6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4ED9DDA" w14:textId="77777777" w:rsidR="002D58E4" w:rsidRPr="002914A2" w:rsidRDefault="00F721D4">
            <w:pPr>
              <w:rPr>
                <w:sz w:val="20"/>
                <w:szCs w:val="20"/>
                <w:lang w:val="fr-CA"/>
              </w:rPr>
            </w:pPr>
            <w:r w:rsidRPr="002914A2">
              <w:rPr>
                <w:sz w:val="20"/>
                <w:szCs w:val="20"/>
                <w:lang w:val="fr-CA"/>
              </w:rPr>
              <w:t>Maraspin, et al., 2011</w:t>
            </w:r>
          </w:p>
          <w:p w14:paraId="1ACD87E5" w14:textId="77777777" w:rsidR="002D58E4" w:rsidRPr="002914A2" w:rsidRDefault="002D58E4">
            <w:pPr>
              <w:rPr>
                <w:sz w:val="20"/>
                <w:szCs w:val="20"/>
                <w:lang w:val="fr-CA"/>
              </w:rPr>
            </w:pPr>
          </w:p>
          <w:p w14:paraId="59E30B8B" w14:textId="77777777" w:rsidR="002D58E4" w:rsidRPr="002914A2" w:rsidRDefault="00F721D4">
            <w:pPr>
              <w:rPr>
                <w:sz w:val="20"/>
                <w:szCs w:val="20"/>
                <w:lang w:val="fr-CA"/>
              </w:rPr>
            </w:pPr>
            <w:r w:rsidRPr="002914A2">
              <w:rPr>
                <w:sz w:val="20"/>
                <w:szCs w:val="20"/>
                <w:lang w:val="fr-CA"/>
              </w:rPr>
              <w:t>Ljubljana, Slovenia</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763ECBE7"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62215926"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465E6F0" w14:textId="77777777" w:rsidR="002D58E4" w:rsidRDefault="00F721D4">
            <w:pPr>
              <w:spacing w:after="120"/>
              <w:rPr>
                <w:sz w:val="20"/>
                <w:szCs w:val="20"/>
              </w:rPr>
            </w:pPr>
            <w:r>
              <w:rPr>
                <w:sz w:val="20"/>
                <w:szCs w:val="20"/>
              </w:rPr>
              <w:t xml:space="preserve">Documentation of all patients ≥15 years of age who were diagnosed with borrelial lymphocytoma, Lyme neuroborreliosis, Lyme arthritis, or acrodermatitis chronica atrophicans (ACA) was reviewed.  </w:t>
            </w:r>
          </w:p>
          <w:p w14:paraId="445960C0" w14:textId="77777777" w:rsidR="002D58E4" w:rsidRDefault="00F721D4">
            <w:pPr>
              <w:rPr>
                <w:sz w:val="20"/>
                <w:szCs w:val="20"/>
                <w:u w:val="single"/>
              </w:rPr>
            </w:pPr>
            <w:r>
              <w:rPr>
                <w:sz w:val="20"/>
                <w:szCs w:val="20"/>
              </w:rPr>
              <w:t>176 patients were documented as having neuroborreliosis.  In order to be diagnosed with neuroborreliosis, patients were required to have CSF pleocytosis and the presence of erythema migrans or borrelial IgG antibodies in serum.</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3E17E3E" w14:textId="77777777" w:rsidR="002D58E4" w:rsidRDefault="00F721D4">
            <w:pPr>
              <w:rPr>
                <w:sz w:val="20"/>
                <w:szCs w:val="20"/>
              </w:rPr>
            </w:pPr>
            <w:r>
              <w:rPr>
                <w:sz w:val="20"/>
                <w:szCs w:val="20"/>
              </w:rPr>
              <w:t xml:space="preserve">All serum samples were cultured for presence of spirochetes using Kelly Pettenkofer medium.  Cultures were examined microscopically every week for 12 weeks for the presence of spirochetes, which were confirmed as </w:t>
            </w:r>
            <w:r>
              <w:rPr>
                <w:i/>
                <w:sz w:val="20"/>
                <w:szCs w:val="20"/>
              </w:rPr>
              <w:t>B. burgdorferi</w:t>
            </w:r>
            <w:r>
              <w:rPr>
                <w:sz w:val="20"/>
                <w:szCs w:val="20"/>
              </w:rPr>
              <w:t xml:space="preserve"> by PCR evaluation.</w:t>
            </w:r>
          </w:p>
          <w:p w14:paraId="6CB4D7DA" w14:textId="77777777" w:rsidR="002D58E4" w:rsidRDefault="002D58E4">
            <w:pPr>
              <w:rPr>
                <w:sz w:val="20"/>
                <w:szCs w:val="20"/>
              </w:rPr>
            </w:pPr>
          </w:p>
          <w:p w14:paraId="70C9C366" w14:textId="77777777" w:rsidR="002D58E4" w:rsidRDefault="00F721D4">
            <w:pPr>
              <w:rPr>
                <w:sz w:val="20"/>
                <w:szCs w:val="20"/>
              </w:rPr>
            </w:pPr>
            <w:r>
              <w:rPr>
                <w:i/>
                <w:sz w:val="20"/>
                <w:szCs w:val="20"/>
              </w:rPr>
              <w:t>B. burgdorferi</w:t>
            </w:r>
            <w:r>
              <w:rPr>
                <w:sz w:val="20"/>
                <w:szCs w:val="20"/>
              </w:rPr>
              <w:t xml:space="preserve"> was isolated from the blood in 6 of 176 (3.4%) patients with neuroborreliosis. Two of these six patients had erythema migrans at the time of blood culture.</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75A0DFA" w14:textId="77777777" w:rsidR="002D58E4" w:rsidRDefault="00F721D4">
            <w:pPr>
              <w:rPr>
                <w:sz w:val="20"/>
                <w:szCs w:val="20"/>
              </w:rPr>
            </w:pPr>
            <w:r>
              <w:rPr>
                <w:sz w:val="20"/>
                <w:szCs w:val="20"/>
              </w:rPr>
              <w:t xml:space="preserve">Overall, the authors found that in European patients with manifestations of Lyme borreliosis other than erythema migrans, the isolation rate of </w:t>
            </w:r>
            <w:r>
              <w:rPr>
                <w:i/>
                <w:sz w:val="20"/>
                <w:szCs w:val="20"/>
              </w:rPr>
              <w:t>B. burgdorferi</w:t>
            </w:r>
            <w:r>
              <w:rPr>
                <w:sz w:val="20"/>
                <w:szCs w:val="20"/>
              </w:rPr>
              <w:t xml:space="preserve"> by blood culture is low (11 of 442, or 2.5% overall). Successful culture was associated with presence of erythema migrans (36.4% vs. 13.2%, p=0.0513) and a shorter duration of symptoms (median 3.5 weeks). </w:t>
            </w:r>
          </w:p>
        </w:tc>
      </w:tr>
      <w:tr w:rsidR="002D58E4" w14:paraId="5C13654E" w14:textId="77777777" w:rsidTr="003D1C11">
        <w:trPr>
          <w:trHeight w:val="380"/>
        </w:trPr>
        <w:tc>
          <w:tcPr>
            <w:tcW w:w="14459" w:type="dxa"/>
            <w:gridSpan w:val="11"/>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658C8D3E" w14:textId="77777777" w:rsidR="002D58E4" w:rsidRDefault="00F721D4">
            <w:pPr>
              <w:jc w:val="center"/>
              <w:rPr>
                <w:b/>
                <w:i/>
                <w:sz w:val="20"/>
                <w:szCs w:val="20"/>
              </w:rPr>
            </w:pPr>
            <w:r>
              <w:rPr>
                <w:b/>
                <w:i/>
                <w:sz w:val="20"/>
                <w:szCs w:val="20"/>
              </w:rPr>
              <w:t>Polymerase Chain Reaction (PCR)</w:t>
            </w:r>
          </w:p>
        </w:tc>
      </w:tr>
      <w:tr w:rsidR="002D58E4" w14:paraId="48C50598" w14:textId="77777777" w:rsidTr="003D1C11">
        <w:trPr>
          <w:trHeight w:val="6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F223CBF" w14:textId="77777777" w:rsidR="002D58E4" w:rsidRDefault="00F721D4">
            <w:pPr>
              <w:rPr>
                <w:sz w:val="20"/>
                <w:szCs w:val="20"/>
              </w:rPr>
            </w:pPr>
            <w:r>
              <w:rPr>
                <w:sz w:val="20"/>
                <w:szCs w:val="20"/>
              </w:rPr>
              <w:t>Dumler, 2001</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0F815C4F" w14:textId="77777777" w:rsidR="002D58E4" w:rsidRDefault="00F721D4">
            <w:pPr>
              <w:rPr>
                <w:sz w:val="20"/>
                <w:szCs w:val="20"/>
              </w:rPr>
            </w:pPr>
            <w:r>
              <w:rPr>
                <w:sz w:val="20"/>
                <w:szCs w:val="20"/>
              </w:rPr>
              <w:t>Systematic Review and Meta-analysis</w:t>
            </w:r>
          </w:p>
        </w:tc>
        <w:tc>
          <w:tcPr>
            <w:tcW w:w="516" w:type="dxa"/>
            <w:tcBorders>
              <w:top w:val="single" w:sz="6" w:space="0" w:color="AEAEAE"/>
              <w:left w:val="single" w:sz="6" w:space="0" w:color="AEAEAE"/>
              <w:bottom w:val="single" w:sz="6" w:space="0" w:color="AEAEAE"/>
              <w:right w:val="single" w:sz="6" w:space="0" w:color="AEAEAE"/>
            </w:tcBorders>
            <w:vAlign w:val="center"/>
          </w:tcPr>
          <w:p w14:paraId="70BEEBFB"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676FFF9B" w14:textId="77777777" w:rsidR="002D58E4" w:rsidRDefault="00F721D4">
            <w:pPr>
              <w:rPr>
                <w:sz w:val="20"/>
                <w:szCs w:val="20"/>
              </w:rPr>
            </w:pPr>
            <w:r>
              <w:rPr>
                <w:sz w:val="20"/>
                <w:szCs w:val="20"/>
              </w:rPr>
              <w:t>Search dates unclear (Latest included article was published in 2000; published in 2001).</w:t>
            </w:r>
          </w:p>
          <w:p w14:paraId="4EADCE3A" w14:textId="77777777" w:rsidR="002D58E4" w:rsidRDefault="00F721D4">
            <w:pPr>
              <w:rPr>
                <w:sz w:val="20"/>
                <w:szCs w:val="20"/>
              </w:rPr>
            </w:pPr>
            <w:r>
              <w:rPr>
                <w:sz w:val="20"/>
                <w:szCs w:val="20"/>
              </w:rPr>
              <w:t xml:space="preserve">Included any studies evaluating published PCR assays of skin (N=8 studies), plasma or serum (N=3 studies), synovial fluid (N=7 studies), cerebrospinal fluid (CSF) (N=10 studies), or urine (N=) as a diagnostic tool for various stages of Lyme disease. </w:t>
            </w:r>
          </w:p>
          <w:p w14:paraId="7CCD56A4" w14:textId="77777777" w:rsidR="002D58E4" w:rsidRDefault="00F721D4">
            <w:pPr>
              <w:rPr>
                <w:sz w:val="20"/>
                <w:szCs w:val="20"/>
              </w:rPr>
            </w:pPr>
            <w:r>
              <w:rPr>
                <w:sz w:val="20"/>
                <w:szCs w:val="20"/>
              </w:rPr>
              <w:t xml:space="preserve">Cerebrospinal fluid analysis was specifically described in relation to disseminated infection manifesting as meningitis, radiculoneuritis, and cranial nerve palsies, as well as rarer manifestations, such as central nervous system involvement or chronic forms of the disease. </w:t>
            </w:r>
          </w:p>
          <w:p w14:paraId="6C81CE08" w14:textId="77777777" w:rsidR="002D58E4" w:rsidRDefault="002D58E4">
            <w:pPr>
              <w:rPr>
                <w:sz w:val="20"/>
                <w:szCs w:val="20"/>
              </w:rPr>
            </w:pPr>
          </w:p>
          <w:p w14:paraId="4AC9FDDE" w14:textId="77777777" w:rsidR="002D58E4" w:rsidRDefault="00F721D4">
            <w:pPr>
              <w:rPr>
                <w:sz w:val="20"/>
                <w:szCs w:val="20"/>
              </w:rPr>
            </w:pPr>
            <w:r>
              <w:rPr>
                <w:sz w:val="20"/>
                <w:szCs w:val="20"/>
              </w:rPr>
              <w:t xml:space="preserve">Details of the meta-analysis were not described. Patients in the cerebrospinal fluid analysis were divided by disease stage (“Overall”= all stages, and “Non-chronic” referring to patients experiencing more acute forms of disseminated Lyme infection related to the nervous system). </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21D1C51" w14:textId="77777777" w:rsidR="002D58E4" w:rsidRDefault="00F721D4">
            <w:pPr>
              <w:rPr>
                <w:sz w:val="20"/>
                <w:szCs w:val="20"/>
                <w:u w:val="single"/>
              </w:rPr>
            </w:pPr>
            <w:r>
              <w:rPr>
                <w:sz w:val="20"/>
                <w:szCs w:val="20"/>
                <w:u w:val="single"/>
              </w:rPr>
              <w:t>Published PCR assays for plasma or serum  overall (113 tested):</w:t>
            </w:r>
          </w:p>
          <w:p w14:paraId="71D43420" w14:textId="77777777" w:rsidR="002D58E4" w:rsidRDefault="00F721D4">
            <w:pPr>
              <w:numPr>
                <w:ilvl w:val="0"/>
                <w:numId w:val="7"/>
              </w:numPr>
              <w:rPr>
                <w:sz w:val="20"/>
                <w:szCs w:val="20"/>
              </w:rPr>
            </w:pPr>
            <w:r>
              <w:rPr>
                <w:sz w:val="20"/>
                <w:szCs w:val="20"/>
              </w:rPr>
              <w:t>Weighted mean sensitivity: 26% (median sensitivity 29%, range: 0-52%).</w:t>
            </w:r>
          </w:p>
          <w:p w14:paraId="74E0B49F" w14:textId="77777777" w:rsidR="002D58E4" w:rsidRDefault="00F721D4">
            <w:pPr>
              <w:numPr>
                <w:ilvl w:val="0"/>
                <w:numId w:val="7"/>
              </w:numPr>
              <w:rPr>
                <w:sz w:val="20"/>
                <w:szCs w:val="20"/>
              </w:rPr>
            </w:pPr>
            <w:r>
              <w:rPr>
                <w:sz w:val="20"/>
                <w:szCs w:val="20"/>
              </w:rPr>
              <w:t xml:space="preserve">Weighted mean specificity: 100%. </w:t>
            </w:r>
          </w:p>
          <w:p w14:paraId="6B7E217C" w14:textId="77777777" w:rsidR="002D58E4" w:rsidRDefault="002D58E4">
            <w:pPr>
              <w:rPr>
                <w:sz w:val="20"/>
                <w:szCs w:val="20"/>
              </w:rPr>
            </w:pPr>
          </w:p>
          <w:p w14:paraId="60D77746" w14:textId="77777777" w:rsidR="002D58E4" w:rsidRDefault="00F721D4">
            <w:pPr>
              <w:rPr>
                <w:sz w:val="20"/>
                <w:szCs w:val="20"/>
                <w:u w:val="single"/>
              </w:rPr>
            </w:pPr>
            <w:r>
              <w:rPr>
                <w:sz w:val="20"/>
                <w:szCs w:val="20"/>
                <w:u w:val="single"/>
              </w:rPr>
              <w:t>Published PCR assays for urine overall (405 tested):</w:t>
            </w:r>
          </w:p>
          <w:p w14:paraId="4507A18E" w14:textId="77777777" w:rsidR="002D58E4" w:rsidRDefault="00F721D4">
            <w:pPr>
              <w:numPr>
                <w:ilvl w:val="0"/>
                <w:numId w:val="48"/>
              </w:numPr>
              <w:rPr>
                <w:sz w:val="20"/>
                <w:szCs w:val="20"/>
              </w:rPr>
            </w:pPr>
            <w:r>
              <w:rPr>
                <w:sz w:val="20"/>
                <w:szCs w:val="20"/>
              </w:rPr>
              <w:t>Weighted mean sensitivity: 68% (median sensitivity 74%, range: 13%-100%).</w:t>
            </w:r>
          </w:p>
          <w:p w14:paraId="50CD985B" w14:textId="77777777" w:rsidR="002D58E4" w:rsidRDefault="00F721D4">
            <w:pPr>
              <w:numPr>
                <w:ilvl w:val="0"/>
                <w:numId w:val="48"/>
              </w:numPr>
              <w:rPr>
                <w:sz w:val="20"/>
                <w:szCs w:val="20"/>
              </w:rPr>
            </w:pPr>
            <w:r>
              <w:rPr>
                <w:sz w:val="20"/>
                <w:szCs w:val="20"/>
              </w:rPr>
              <w:t xml:space="preserve">Weighted mean specificity: 99%. </w:t>
            </w:r>
          </w:p>
          <w:p w14:paraId="7A5AB7BE" w14:textId="77777777" w:rsidR="002D58E4" w:rsidRDefault="002D58E4">
            <w:pPr>
              <w:rPr>
                <w:sz w:val="20"/>
                <w:szCs w:val="20"/>
              </w:rPr>
            </w:pPr>
          </w:p>
          <w:p w14:paraId="0547E851" w14:textId="77777777" w:rsidR="002D58E4" w:rsidRDefault="00F721D4">
            <w:pPr>
              <w:rPr>
                <w:sz w:val="20"/>
                <w:szCs w:val="20"/>
                <w:u w:val="single"/>
              </w:rPr>
            </w:pPr>
            <w:r>
              <w:rPr>
                <w:sz w:val="20"/>
                <w:szCs w:val="20"/>
                <w:u w:val="single"/>
              </w:rPr>
              <w:t>Published PCR assays for CSF overall (705 tested):</w:t>
            </w:r>
          </w:p>
          <w:p w14:paraId="32A81B4E" w14:textId="77777777" w:rsidR="002D58E4" w:rsidRDefault="00F721D4">
            <w:pPr>
              <w:numPr>
                <w:ilvl w:val="0"/>
                <w:numId w:val="49"/>
              </w:numPr>
              <w:rPr>
                <w:sz w:val="20"/>
                <w:szCs w:val="20"/>
              </w:rPr>
            </w:pPr>
            <w:r>
              <w:rPr>
                <w:sz w:val="20"/>
                <w:szCs w:val="20"/>
              </w:rPr>
              <w:t xml:space="preserve">Weighted mean sensitivity: 19% (median sensitivity 24%; range: 6%-91%) </w:t>
            </w:r>
          </w:p>
          <w:p w14:paraId="762C5BCB" w14:textId="77777777" w:rsidR="002D58E4" w:rsidRDefault="00F721D4">
            <w:pPr>
              <w:numPr>
                <w:ilvl w:val="0"/>
                <w:numId w:val="49"/>
              </w:numPr>
              <w:rPr>
                <w:sz w:val="20"/>
                <w:szCs w:val="20"/>
              </w:rPr>
            </w:pPr>
            <w:r>
              <w:rPr>
                <w:sz w:val="20"/>
                <w:szCs w:val="20"/>
              </w:rPr>
              <w:t>Weighted mean specificity: 100%</w:t>
            </w:r>
          </w:p>
          <w:p w14:paraId="1ECA807F" w14:textId="77777777" w:rsidR="002D58E4" w:rsidRDefault="002D58E4">
            <w:pPr>
              <w:rPr>
                <w:sz w:val="20"/>
                <w:szCs w:val="20"/>
              </w:rPr>
            </w:pPr>
          </w:p>
          <w:p w14:paraId="59B04474" w14:textId="77777777" w:rsidR="002D58E4" w:rsidRDefault="00F721D4">
            <w:pPr>
              <w:rPr>
                <w:sz w:val="20"/>
                <w:szCs w:val="20"/>
                <w:u w:val="single"/>
              </w:rPr>
            </w:pPr>
            <w:r>
              <w:rPr>
                <w:sz w:val="20"/>
                <w:szCs w:val="20"/>
                <w:u w:val="single"/>
              </w:rPr>
              <w:t xml:space="preserve">Published PCR assays for CSF for “non-chronic” patients (650 tested): </w:t>
            </w:r>
          </w:p>
          <w:p w14:paraId="5A3EF872" w14:textId="77777777" w:rsidR="002D58E4" w:rsidRDefault="00F721D4">
            <w:pPr>
              <w:numPr>
                <w:ilvl w:val="0"/>
                <w:numId w:val="49"/>
              </w:numPr>
              <w:rPr>
                <w:sz w:val="20"/>
                <w:szCs w:val="20"/>
              </w:rPr>
            </w:pPr>
            <w:r>
              <w:rPr>
                <w:sz w:val="20"/>
                <w:szCs w:val="20"/>
              </w:rPr>
              <w:t>Weighted mean sensitivity: 17% (median sensitivity 21%, range: 6%-76%).</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CCE133E" w14:textId="77777777" w:rsidR="002D58E4" w:rsidRDefault="00F721D4">
            <w:pPr>
              <w:rPr>
                <w:sz w:val="20"/>
                <w:szCs w:val="20"/>
              </w:rPr>
            </w:pPr>
            <w:r>
              <w:rPr>
                <w:sz w:val="20"/>
                <w:szCs w:val="20"/>
              </w:rPr>
              <w:t xml:space="preserve">The authors found that there is a significant lack of sensitivity for PCR detection of </w:t>
            </w:r>
            <w:r>
              <w:rPr>
                <w:i/>
                <w:sz w:val="20"/>
                <w:szCs w:val="20"/>
              </w:rPr>
              <w:t xml:space="preserve">B. burgdorferi </w:t>
            </w:r>
            <w:r>
              <w:rPr>
                <w:sz w:val="20"/>
                <w:szCs w:val="20"/>
              </w:rPr>
              <w:t xml:space="preserve">in the CSF of patients with Lyme disease, and concluded that a negative PCR result does not exclude the diagnosis of neuroborreliosis.  They state that since most patients with neurologic involvement are serologically reactive and also have specific intrathecal </w:t>
            </w:r>
            <w:r>
              <w:rPr>
                <w:i/>
                <w:sz w:val="20"/>
                <w:szCs w:val="20"/>
              </w:rPr>
              <w:t>B. burgdorferi</w:t>
            </w:r>
            <w:r>
              <w:rPr>
                <w:sz w:val="20"/>
                <w:szCs w:val="20"/>
              </w:rPr>
              <w:t xml:space="preserve"> antibody production, CSF PCR for Lyme disease should be reserved for patients with a high clinical index of suspicion for neurologic involvement early on in the disease process. </w:t>
            </w:r>
          </w:p>
        </w:tc>
      </w:tr>
      <w:tr w:rsidR="002D58E4" w14:paraId="7A84465F" w14:textId="77777777" w:rsidTr="003D1C11">
        <w:trPr>
          <w:trHeight w:val="6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9746A6A" w14:textId="77777777" w:rsidR="002D58E4" w:rsidRDefault="00F721D4">
            <w:pPr>
              <w:rPr>
                <w:sz w:val="20"/>
                <w:szCs w:val="20"/>
              </w:rPr>
            </w:pPr>
            <w:r>
              <w:rPr>
                <w:sz w:val="20"/>
                <w:szCs w:val="20"/>
              </w:rPr>
              <w:t>Avery, et al., 2005</w:t>
            </w:r>
          </w:p>
          <w:p w14:paraId="12234851" w14:textId="77777777" w:rsidR="002D58E4" w:rsidRDefault="002D58E4">
            <w:pPr>
              <w:rPr>
                <w:sz w:val="20"/>
                <w:szCs w:val="20"/>
              </w:rPr>
            </w:pPr>
          </w:p>
          <w:p w14:paraId="6E99FCCD" w14:textId="77777777" w:rsidR="002D58E4" w:rsidRDefault="00F721D4">
            <w:pPr>
              <w:rPr>
                <w:sz w:val="20"/>
                <w:szCs w:val="20"/>
              </w:rPr>
            </w:pPr>
            <w:r>
              <w:rPr>
                <w:sz w:val="20"/>
                <w:szCs w:val="20"/>
              </w:rPr>
              <w:t>Wilmington, DE</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24843937"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7F93A674"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5E65A82D" w14:textId="77777777" w:rsidR="002D58E4" w:rsidRDefault="00F721D4">
            <w:pPr>
              <w:spacing w:after="120"/>
              <w:rPr>
                <w:sz w:val="20"/>
                <w:szCs w:val="20"/>
              </w:rPr>
            </w:pPr>
            <w:r>
              <w:rPr>
                <w:sz w:val="20"/>
                <w:szCs w:val="20"/>
              </w:rPr>
              <w:t xml:space="preserve">108 pediatric patients (69.4% male; mean age 9.5 years, range 2.7 years-17.8 years) with meningitis qualified for the study. </w:t>
            </w:r>
          </w:p>
          <w:p w14:paraId="7CF19FE2" w14:textId="77777777" w:rsidR="002D58E4" w:rsidRDefault="00F721D4">
            <w:pPr>
              <w:spacing w:after="120"/>
              <w:rPr>
                <w:sz w:val="20"/>
                <w:szCs w:val="20"/>
              </w:rPr>
            </w:pPr>
            <w:r>
              <w:rPr>
                <w:sz w:val="20"/>
                <w:szCs w:val="20"/>
              </w:rPr>
              <w:t xml:space="preserve">20 patients met the criteria for Lyme meningitis (positive serology confirmed by Western Blot), and 88 were classified as having aseptic meningitis. Of 20 Lyme meningitis patients, 12 had erythema migrans and 6 had both ELISA and Western blot reactivity. </w:t>
            </w:r>
          </w:p>
          <w:p w14:paraId="5C8FA3A0" w14:textId="77777777" w:rsidR="002D58E4" w:rsidRDefault="00F721D4">
            <w:pPr>
              <w:spacing w:after="120"/>
              <w:rPr>
                <w:i/>
                <w:sz w:val="20"/>
                <w:szCs w:val="20"/>
              </w:rPr>
            </w:pPr>
            <w:r>
              <w:rPr>
                <w:i/>
                <w:sz w:val="20"/>
                <w:szCs w:val="20"/>
              </w:rPr>
              <w:t>Exclusion criteria included a past history of Lyme meningitis; evaluation for an ongoing chronic neurologic condition, traumatic lumbar puncture, or a positive CSF Gram stain for bacteria.</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D851B27" w14:textId="77777777" w:rsidR="002D58E4" w:rsidRDefault="00F721D4">
            <w:pPr>
              <w:rPr>
                <w:sz w:val="20"/>
                <w:szCs w:val="20"/>
              </w:rPr>
            </w:pPr>
            <w:r>
              <w:rPr>
                <w:sz w:val="20"/>
                <w:szCs w:val="20"/>
              </w:rPr>
              <w:t xml:space="preserve">CSF samples were assessed by a PCR (Lyme PCR) assay which amplified a </w:t>
            </w:r>
            <w:r>
              <w:rPr>
                <w:i/>
                <w:sz w:val="20"/>
                <w:szCs w:val="20"/>
              </w:rPr>
              <w:t xml:space="preserve">B. burgdorferi </w:t>
            </w:r>
            <w:r>
              <w:rPr>
                <w:sz w:val="20"/>
                <w:szCs w:val="20"/>
              </w:rPr>
              <w:t>DNA flagellin gene sequence.</w:t>
            </w:r>
          </w:p>
          <w:p w14:paraId="466F5B78" w14:textId="77777777" w:rsidR="002D58E4" w:rsidRDefault="002D58E4">
            <w:pPr>
              <w:rPr>
                <w:sz w:val="20"/>
                <w:szCs w:val="20"/>
              </w:rPr>
            </w:pPr>
          </w:p>
          <w:p w14:paraId="3914DC31" w14:textId="77777777" w:rsidR="002D58E4" w:rsidRDefault="00F721D4">
            <w:pPr>
              <w:rPr>
                <w:sz w:val="20"/>
                <w:szCs w:val="20"/>
              </w:rPr>
            </w:pPr>
            <w:r>
              <w:rPr>
                <w:sz w:val="20"/>
                <w:szCs w:val="20"/>
              </w:rPr>
              <w:t xml:space="preserve">Lyme PCR: </w:t>
            </w:r>
          </w:p>
          <w:p w14:paraId="70501638" w14:textId="77777777" w:rsidR="002D58E4" w:rsidRDefault="00F721D4">
            <w:pPr>
              <w:numPr>
                <w:ilvl w:val="0"/>
                <w:numId w:val="21"/>
              </w:numPr>
              <w:rPr>
                <w:sz w:val="20"/>
                <w:szCs w:val="20"/>
              </w:rPr>
            </w:pPr>
            <w:r>
              <w:rPr>
                <w:sz w:val="20"/>
                <w:szCs w:val="20"/>
              </w:rPr>
              <w:t>Sensitivity: 5%</w:t>
            </w:r>
          </w:p>
          <w:p w14:paraId="4B715B0E" w14:textId="77777777" w:rsidR="002D58E4" w:rsidRDefault="00F721D4">
            <w:pPr>
              <w:numPr>
                <w:ilvl w:val="0"/>
                <w:numId w:val="21"/>
              </w:numPr>
              <w:rPr>
                <w:sz w:val="20"/>
                <w:szCs w:val="20"/>
              </w:rPr>
            </w:pPr>
            <w:r>
              <w:rPr>
                <w:sz w:val="20"/>
                <w:szCs w:val="20"/>
              </w:rPr>
              <w:t>Specificity: 99%</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6BEF38A" w14:textId="77777777" w:rsidR="002D58E4" w:rsidRDefault="00F721D4">
            <w:pPr>
              <w:rPr>
                <w:sz w:val="20"/>
                <w:szCs w:val="20"/>
              </w:rPr>
            </w:pPr>
            <w:r>
              <w:rPr>
                <w:sz w:val="20"/>
                <w:szCs w:val="20"/>
              </w:rPr>
              <w:t>The Lyme meningitis patient with positive Lyme CSF-PCR had the highest CSF white blood cell count and CSF protein values compared with the other 19 Lyme meningitis patients.</w:t>
            </w:r>
          </w:p>
          <w:p w14:paraId="7691CB99" w14:textId="77777777" w:rsidR="002D58E4" w:rsidRDefault="002D58E4">
            <w:pPr>
              <w:rPr>
                <w:sz w:val="20"/>
                <w:szCs w:val="20"/>
              </w:rPr>
            </w:pPr>
          </w:p>
          <w:p w14:paraId="523C9DF3" w14:textId="77777777" w:rsidR="002D58E4" w:rsidRDefault="00F721D4">
            <w:pPr>
              <w:rPr>
                <w:sz w:val="20"/>
                <w:szCs w:val="20"/>
              </w:rPr>
            </w:pPr>
            <w:r>
              <w:rPr>
                <w:sz w:val="20"/>
                <w:szCs w:val="20"/>
              </w:rPr>
              <w:t>The authors concluded that PCR of CSF is not a helpful laboratory test in identifying Lyme meningitis or differentiating Lyme meningitis from aseptic meningitis because of its low sensitivity. Of 20 patients diagnosed with Lyme meningitis, the Lyme CSF-PCR result was a false negative in 95%, leading the authors to conclude that a negative Lyme CSF-PCR result does not exclude the diagnosis of Lyme meningitis. The authors observed a rate of positive Lyme CSF-PCR which was lower than those reported in European children with Lyme meningitis.</w:t>
            </w:r>
          </w:p>
        </w:tc>
      </w:tr>
      <w:tr w:rsidR="002D58E4" w14:paraId="731C128B"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F8C9536" w14:textId="77777777" w:rsidR="002D58E4" w:rsidRDefault="00F721D4">
            <w:pPr>
              <w:rPr>
                <w:sz w:val="20"/>
                <w:szCs w:val="20"/>
              </w:rPr>
            </w:pPr>
            <w:r>
              <w:rPr>
                <w:sz w:val="20"/>
                <w:szCs w:val="20"/>
              </w:rPr>
              <w:t>Pícha, et al., 2005</w:t>
            </w:r>
          </w:p>
          <w:p w14:paraId="0F450546" w14:textId="77777777" w:rsidR="002D58E4" w:rsidRDefault="002D58E4">
            <w:pPr>
              <w:rPr>
                <w:sz w:val="20"/>
                <w:szCs w:val="20"/>
              </w:rPr>
            </w:pPr>
          </w:p>
          <w:p w14:paraId="65E7FAEF" w14:textId="77777777" w:rsidR="002D58E4" w:rsidRDefault="00F721D4">
            <w:pPr>
              <w:rPr>
                <w:sz w:val="20"/>
                <w:szCs w:val="20"/>
              </w:rPr>
            </w:pPr>
            <w:r>
              <w:rPr>
                <w:sz w:val="20"/>
                <w:szCs w:val="20"/>
              </w:rPr>
              <w:t>Nymburk, Czech Republic</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0F929EFC"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06E9DC34"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54B16246" w14:textId="77777777" w:rsidR="002D58E4" w:rsidRDefault="00F721D4">
            <w:pPr>
              <w:spacing w:after="120"/>
            </w:pPr>
            <w:r>
              <w:rPr>
                <w:sz w:val="20"/>
                <w:szCs w:val="20"/>
              </w:rPr>
              <w:t xml:space="preserve">57 hospitalized patients (52.6% male; mean age 42 years; range 12–71 years) with active neuroborreliosis, defined as actual symptoms of nervous system disturbances </w:t>
            </w:r>
            <w:r>
              <w:rPr>
                <w:sz w:val="20"/>
                <w:szCs w:val="20"/>
                <w:u w:val="single"/>
              </w:rPr>
              <w:t>with</w:t>
            </w:r>
            <w:r>
              <w:rPr>
                <w:sz w:val="20"/>
                <w:szCs w:val="20"/>
              </w:rPr>
              <w:t xml:space="preserve"> positivity of specific antibody index in cerebrospinal fluid (CSF) or serum (N=51) </w:t>
            </w:r>
            <w:r>
              <w:rPr>
                <w:sz w:val="20"/>
                <w:szCs w:val="20"/>
                <w:u w:val="single"/>
              </w:rPr>
              <w:t>or</w:t>
            </w:r>
            <w:r>
              <w:rPr>
                <w:sz w:val="20"/>
                <w:szCs w:val="20"/>
              </w:rPr>
              <w:t xml:space="preserve"> single isolated proof of specific antibodies in CSF (N=6).</w:t>
            </w:r>
            <w:r>
              <w:t xml:space="preserve"> </w:t>
            </w:r>
          </w:p>
          <w:p w14:paraId="3413F7CA" w14:textId="77777777" w:rsidR="002D58E4" w:rsidRDefault="00F721D4">
            <w:pPr>
              <w:spacing w:after="120"/>
              <w:rPr>
                <w:sz w:val="20"/>
                <w:szCs w:val="20"/>
                <w:u w:val="single"/>
              </w:rPr>
            </w:pPr>
            <w:r>
              <w:rPr>
                <w:sz w:val="20"/>
                <w:szCs w:val="20"/>
              </w:rPr>
              <w:t>Symptom presentation included Bannwarth’s syndrome (N=29), acute meningoencephalitis (N=5), subacute encephalitis (N=3), meningitis (N=6), multiplex neuritis (N=9), and facial palsy (N=5). Symptoms were assessed as mild in 25 patients (43.8%), and moderate in 17 patients (29.8%). Eleven patients (19.2%) were classified as more severe and five patients had extensive neurological findings.</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D15CA7C" w14:textId="77777777" w:rsidR="002D58E4" w:rsidRDefault="00F721D4">
            <w:pPr>
              <w:rPr>
                <w:sz w:val="20"/>
                <w:szCs w:val="20"/>
              </w:rPr>
            </w:pPr>
            <w:r>
              <w:rPr>
                <w:sz w:val="20"/>
                <w:szCs w:val="20"/>
              </w:rPr>
              <w:t xml:space="preserve">Nested PCR targeting </w:t>
            </w:r>
            <w:r>
              <w:rPr>
                <w:i/>
                <w:sz w:val="20"/>
                <w:szCs w:val="20"/>
              </w:rPr>
              <w:t xml:space="preserve">B. burgdorferi </w:t>
            </w:r>
            <w:r>
              <w:rPr>
                <w:sz w:val="20"/>
                <w:szCs w:val="20"/>
              </w:rPr>
              <w:t>flagellin, 16SrDNA, and OspC genes was used for the detection of specific DNA in plasma, CSF and urine.</w:t>
            </w:r>
          </w:p>
          <w:p w14:paraId="4805E98A" w14:textId="77777777" w:rsidR="002D58E4" w:rsidRDefault="002D58E4">
            <w:pPr>
              <w:rPr>
                <w:sz w:val="20"/>
                <w:szCs w:val="20"/>
              </w:rPr>
            </w:pPr>
          </w:p>
          <w:p w14:paraId="25DD1B97" w14:textId="77777777" w:rsidR="002D58E4" w:rsidRDefault="00F721D4">
            <w:pPr>
              <w:rPr>
                <w:sz w:val="20"/>
                <w:szCs w:val="20"/>
                <w:u w:val="single"/>
              </w:rPr>
            </w:pPr>
            <w:r>
              <w:rPr>
                <w:sz w:val="20"/>
                <w:szCs w:val="20"/>
                <w:u w:val="single"/>
              </w:rPr>
              <w:t xml:space="preserve">Before treatment: </w:t>
            </w:r>
          </w:p>
          <w:p w14:paraId="2E783C22" w14:textId="77777777" w:rsidR="002D58E4" w:rsidRDefault="00F721D4">
            <w:pPr>
              <w:numPr>
                <w:ilvl w:val="0"/>
                <w:numId w:val="50"/>
              </w:numPr>
              <w:rPr>
                <w:sz w:val="20"/>
                <w:szCs w:val="20"/>
              </w:rPr>
            </w:pPr>
            <w:r>
              <w:rPr>
                <w:sz w:val="20"/>
                <w:szCs w:val="20"/>
              </w:rPr>
              <w:t xml:space="preserve">All specimens: Sensitivity= 63.1% </w:t>
            </w:r>
          </w:p>
          <w:p w14:paraId="55A7BABE" w14:textId="77777777" w:rsidR="002D58E4" w:rsidRDefault="00F721D4">
            <w:pPr>
              <w:numPr>
                <w:ilvl w:val="0"/>
                <w:numId w:val="50"/>
              </w:numPr>
              <w:rPr>
                <w:sz w:val="20"/>
                <w:szCs w:val="20"/>
              </w:rPr>
            </w:pPr>
            <w:r>
              <w:rPr>
                <w:sz w:val="20"/>
                <w:szCs w:val="20"/>
              </w:rPr>
              <w:t>Urine: Sensitivity= 49.1%</w:t>
            </w:r>
          </w:p>
          <w:p w14:paraId="1EB3F56D" w14:textId="77777777" w:rsidR="002D58E4" w:rsidRDefault="00F721D4">
            <w:pPr>
              <w:numPr>
                <w:ilvl w:val="0"/>
                <w:numId w:val="50"/>
              </w:numPr>
              <w:rPr>
                <w:sz w:val="20"/>
                <w:szCs w:val="20"/>
              </w:rPr>
            </w:pPr>
            <w:r>
              <w:rPr>
                <w:sz w:val="20"/>
                <w:szCs w:val="20"/>
              </w:rPr>
              <w:t>CSF: Sensitivity= 35%</w:t>
            </w:r>
          </w:p>
          <w:p w14:paraId="78DB075F" w14:textId="77777777" w:rsidR="002D58E4" w:rsidRDefault="00F721D4">
            <w:pPr>
              <w:numPr>
                <w:ilvl w:val="0"/>
                <w:numId w:val="50"/>
              </w:numPr>
              <w:rPr>
                <w:sz w:val="20"/>
                <w:szCs w:val="20"/>
              </w:rPr>
            </w:pPr>
            <w:r>
              <w:rPr>
                <w:sz w:val="20"/>
                <w:szCs w:val="20"/>
              </w:rPr>
              <w:t>Plasma: Sensitivity= 28%</w:t>
            </w:r>
          </w:p>
          <w:p w14:paraId="05B6D13C" w14:textId="77777777" w:rsidR="002D58E4" w:rsidRDefault="002D58E4">
            <w:pPr>
              <w:rPr>
                <w:sz w:val="20"/>
                <w:szCs w:val="20"/>
              </w:rPr>
            </w:pPr>
          </w:p>
          <w:p w14:paraId="518598E1" w14:textId="77777777" w:rsidR="002D58E4" w:rsidRDefault="00F721D4">
            <w:pPr>
              <w:rPr>
                <w:sz w:val="20"/>
                <w:szCs w:val="20"/>
                <w:u w:val="single"/>
              </w:rPr>
            </w:pPr>
            <w:r>
              <w:rPr>
                <w:sz w:val="20"/>
                <w:szCs w:val="20"/>
                <w:u w:val="single"/>
              </w:rPr>
              <w:t xml:space="preserve">After treatment: </w:t>
            </w:r>
          </w:p>
          <w:p w14:paraId="0D46BE6B" w14:textId="77777777" w:rsidR="002D58E4" w:rsidRDefault="00F721D4">
            <w:pPr>
              <w:numPr>
                <w:ilvl w:val="0"/>
                <w:numId w:val="14"/>
              </w:numPr>
              <w:rPr>
                <w:sz w:val="20"/>
                <w:szCs w:val="20"/>
              </w:rPr>
            </w:pPr>
            <w:r>
              <w:rPr>
                <w:sz w:val="20"/>
                <w:szCs w:val="20"/>
              </w:rPr>
              <w:t>Urine (immediately post-treatment): 30% positive</w:t>
            </w:r>
          </w:p>
          <w:p w14:paraId="6E03B7B4" w14:textId="77777777" w:rsidR="002D58E4" w:rsidRDefault="00F721D4">
            <w:pPr>
              <w:numPr>
                <w:ilvl w:val="0"/>
                <w:numId w:val="14"/>
              </w:numPr>
              <w:rPr>
                <w:sz w:val="20"/>
                <w:szCs w:val="20"/>
              </w:rPr>
            </w:pPr>
            <w:r>
              <w:rPr>
                <w:sz w:val="20"/>
                <w:szCs w:val="20"/>
              </w:rPr>
              <w:t>Urine (3 months post-treatment): 14% positive</w:t>
            </w:r>
          </w:p>
          <w:p w14:paraId="1FAB745F" w14:textId="77777777" w:rsidR="002D58E4" w:rsidRDefault="00F721D4">
            <w:pPr>
              <w:numPr>
                <w:ilvl w:val="0"/>
                <w:numId w:val="14"/>
              </w:numPr>
              <w:rPr>
                <w:sz w:val="20"/>
                <w:szCs w:val="20"/>
              </w:rPr>
            </w:pPr>
            <w:r>
              <w:rPr>
                <w:sz w:val="20"/>
                <w:szCs w:val="20"/>
              </w:rPr>
              <w:t>Urine (6 months post-treatment): 1.8% positive</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F9C1D48" w14:textId="77777777" w:rsidR="002D58E4" w:rsidRDefault="00F721D4">
            <w:pPr>
              <w:rPr>
                <w:sz w:val="20"/>
                <w:szCs w:val="20"/>
              </w:rPr>
            </w:pPr>
            <w:r>
              <w:rPr>
                <w:sz w:val="20"/>
                <w:szCs w:val="20"/>
              </w:rPr>
              <w:t>The authors concluded that the highest sensitivity of PCR was achieved in the acute period of neuroborreliosis in three body fluids comparing with CSF antibody synthesis.</w:t>
            </w:r>
          </w:p>
        </w:tc>
      </w:tr>
      <w:tr w:rsidR="002D58E4" w14:paraId="31F06139" w14:textId="77777777" w:rsidTr="003D1C11">
        <w:trPr>
          <w:trHeight w:val="6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70051F7" w14:textId="77777777" w:rsidR="002D58E4" w:rsidRDefault="00F721D4">
            <w:pPr>
              <w:rPr>
                <w:sz w:val="20"/>
                <w:szCs w:val="20"/>
              </w:rPr>
            </w:pPr>
            <w:r>
              <w:rPr>
                <w:sz w:val="20"/>
                <w:szCs w:val="20"/>
              </w:rPr>
              <w:t>Babady, et al., 2008</w:t>
            </w:r>
          </w:p>
          <w:p w14:paraId="025520C3" w14:textId="77777777" w:rsidR="002D58E4" w:rsidRDefault="002D58E4">
            <w:pPr>
              <w:rPr>
                <w:sz w:val="20"/>
                <w:szCs w:val="20"/>
              </w:rPr>
            </w:pPr>
          </w:p>
          <w:p w14:paraId="16D69CE1" w14:textId="77777777" w:rsidR="002D58E4" w:rsidRDefault="00F721D4">
            <w:pPr>
              <w:rPr>
                <w:sz w:val="20"/>
                <w:szCs w:val="20"/>
              </w:rPr>
            </w:pPr>
            <w:r>
              <w:rPr>
                <w:sz w:val="20"/>
                <w:szCs w:val="20"/>
              </w:rPr>
              <w:t>Rochester, MN</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424D1485"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22190650"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513F64B" w14:textId="77777777" w:rsidR="002D58E4" w:rsidRDefault="00F721D4">
            <w:pPr>
              <w:rPr>
                <w:sz w:val="20"/>
                <w:szCs w:val="20"/>
              </w:rPr>
            </w:pPr>
            <w:r>
              <w:rPr>
                <w:sz w:val="20"/>
                <w:szCs w:val="20"/>
              </w:rPr>
              <w:t xml:space="preserve">23,777 cerebrospinal fluid (N=15,939), blood (N=5,703), synovial fluid (N=1,976), tissue (N=92), and other sample sources (N=67) were tested by a reference laboratory. </w:t>
            </w:r>
          </w:p>
          <w:p w14:paraId="59DC5CCF" w14:textId="77777777" w:rsidR="002D58E4" w:rsidRDefault="002D58E4">
            <w:pPr>
              <w:rPr>
                <w:sz w:val="20"/>
                <w:szCs w:val="20"/>
              </w:rPr>
            </w:pPr>
          </w:p>
          <w:p w14:paraId="75E14890" w14:textId="77777777" w:rsidR="002D58E4" w:rsidRDefault="00F721D4">
            <w:pPr>
              <w:rPr>
                <w:sz w:val="20"/>
                <w:szCs w:val="20"/>
              </w:rPr>
            </w:pPr>
            <w:r>
              <w:rPr>
                <w:sz w:val="20"/>
                <w:szCs w:val="20"/>
              </w:rPr>
              <w:t>For assay validation, results of the real-time PCR assay were compared with those obtained by conventional PCR using blood, cerebrospinal fluid, synovial fluid, and tissue.</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EA9B492" w14:textId="77777777" w:rsidR="002D58E4" w:rsidRDefault="00F721D4">
            <w:pPr>
              <w:rPr>
                <w:sz w:val="20"/>
                <w:szCs w:val="20"/>
              </w:rPr>
            </w:pPr>
            <w:r>
              <w:rPr>
                <w:sz w:val="20"/>
                <w:szCs w:val="20"/>
              </w:rPr>
              <w:t>Samples were tested by a real-time PCR</w:t>
            </w:r>
            <w:r>
              <w:t xml:space="preserve"> </w:t>
            </w:r>
            <w:r>
              <w:rPr>
                <w:sz w:val="20"/>
                <w:szCs w:val="20"/>
              </w:rPr>
              <w:t xml:space="preserve">encoding for the borrelial plasminogen binding protein. </w:t>
            </w:r>
          </w:p>
          <w:p w14:paraId="2F813369" w14:textId="77777777" w:rsidR="002D58E4" w:rsidRDefault="002D58E4">
            <w:pPr>
              <w:rPr>
                <w:sz w:val="20"/>
                <w:szCs w:val="20"/>
              </w:rPr>
            </w:pPr>
          </w:p>
          <w:p w14:paraId="0A9E0BFA" w14:textId="77777777" w:rsidR="002D58E4" w:rsidRDefault="00F721D4">
            <w:pPr>
              <w:rPr>
                <w:sz w:val="20"/>
                <w:szCs w:val="20"/>
              </w:rPr>
            </w:pPr>
            <w:r>
              <w:rPr>
                <w:sz w:val="20"/>
                <w:szCs w:val="20"/>
                <w:u w:val="single"/>
              </w:rPr>
              <w:t>Synovial fluid:</w:t>
            </w:r>
            <w:r>
              <w:rPr>
                <w:sz w:val="20"/>
                <w:szCs w:val="20"/>
              </w:rPr>
              <w:t xml:space="preserve"> 6.4% positive (127 of 1,976) </w:t>
            </w:r>
          </w:p>
          <w:p w14:paraId="6C3E3E93" w14:textId="77777777" w:rsidR="002D58E4" w:rsidRDefault="002D58E4">
            <w:pPr>
              <w:rPr>
                <w:sz w:val="20"/>
                <w:szCs w:val="20"/>
              </w:rPr>
            </w:pPr>
          </w:p>
          <w:p w14:paraId="2AF3758E" w14:textId="77777777" w:rsidR="002D58E4" w:rsidRDefault="00F721D4">
            <w:pPr>
              <w:rPr>
                <w:sz w:val="20"/>
                <w:szCs w:val="20"/>
              </w:rPr>
            </w:pPr>
            <w:r>
              <w:rPr>
                <w:sz w:val="20"/>
                <w:szCs w:val="20"/>
                <w:u w:val="single"/>
              </w:rPr>
              <w:t>Tissue:</w:t>
            </w:r>
            <w:r>
              <w:rPr>
                <w:sz w:val="20"/>
                <w:szCs w:val="20"/>
              </w:rPr>
              <w:t xml:space="preserve"> 6.5% positive (6 of 92) </w:t>
            </w:r>
          </w:p>
          <w:p w14:paraId="58F18EA5" w14:textId="77777777" w:rsidR="002D58E4" w:rsidRDefault="002D58E4">
            <w:pPr>
              <w:rPr>
                <w:sz w:val="20"/>
                <w:szCs w:val="20"/>
              </w:rPr>
            </w:pPr>
          </w:p>
          <w:p w14:paraId="45FA2369" w14:textId="77777777" w:rsidR="002D58E4" w:rsidRDefault="00F721D4">
            <w:pPr>
              <w:rPr>
                <w:sz w:val="20"/>
                <w:szCs w:val="20"/>
              </w:rPr>
            </w:pPr>
            <w:r>
              <w:rPr>
                <w:sz w:val="20"/>
                <w:szCs w:val="20"/>
                <w:u w:val="single"/>
              </w:rPr>
              <w:t>Blood</w:t>
            </w:r>
            <w:r>
              <w:rPr>
                <w:sz w:val="20"/>
                <w:szCs w:val="20"/>
              </w:rPr>
              <w:t xml:space="preserve">: 0.1% positive (6 of 5,703) </w:t>
            </w:r>
          </w:p>
          <w:p w14:paraId="282D5A53" w14:textId="77777777" w:rsidR="002D58E4" w:rsidRDefault="002D58E4">
            <w:pPr>
              <w:rPr>
                <w:sz w:val="20"/>
                <w:szCs w:val="20"/>
              </w:rPr>
            </w:pPr>
          </w:p>
          <w:p w14:paraId="6EEEDA32" w14:textId="77777777" w:rsidR="002D58E4" w:rsidRDefault="00F721D4">
            <w:pPr>
              <w:rPr>
                <w:sz w:val="20"/>
                <w:szCs w:val="20"/>
              </w:rPr>
            </w:pPr>
            <w:r>
              <w:rPr>
                <w:sz w:val="20"/>
                <w:szCs w:val="20"/>
                <w:u w:val="single"/>
              </w:rPr>
              <w:t>Cerebrospinal fluid:</w:t>
            </w:r>
            <w:r>
              <w:rPr>
                <w:sz w:val="20"/>
                <w:szCs w:val="20"/>
              </w:rPr>
              <w:t xml:space="preserve"> 0.09% (14 of 15,939)</w:t>
            </w:r>
          </w:p>
          <w:p w14:paraId="5C35AB45" w14:textId="77777777" w:rsidR="002D58E4" w:rsidRDefault="002D58E4">
            <w:pPr>
              <w:rPr>
                <w:sz w:val="20"/>
                <w:szCs w:val="20"/>
              </w:rPr>
            </w:pPr>
          </w:p>
          <w:p w14:paraId="11F860B1" w14:textId="77777777" w:rsidR="002D58E4" w:rsidRDefault="00F721D4">
            <w:pPr>
              <w:rPr>
                <w:sz w:val="20"/>
                <w:szCs w:val="20"/>
              </w:rPr>
            </w:pPr>
            <w:r>
              <w:rPr>
                <w:sz w:val="20"/>
                <w:szCs w:val="20"/>
              </w:rPr>
              <w:t>Among patients with a positive PCR in synovial fluid or tissue, 8 also had blood or CSF submitted for testing by PCR with negative results.</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0A22BFD" w14:textId="77777777" w:rsidR="002D58E4" w:rsidRDefault="00F721D4">
            <w:pPr>
              <w:rPr>
                <w:sz w:val="20"/>
                <w:szCs w:val="20"/>
              </w:rPr>
            </w:pPr>
            <w:r>
              <w:rPr>
                <w:sz w:val="20"/>
                <w:szCs w:val="20"/>
              </w:rPr>
              <w:t xml:space="preserve">Though cerebrospinal fluid and blood are most frequently submitted for Lyme PCR, they demonstrate the lowest positivity rates. Detection of </w:t>
            </w:r>
            <w:r>
              <w:rPr>
                <w:i/>
                <w:sz w:val="20"/>
                <w:szCs w:val="20"/>
              </w:rPr>
              <w:t>B. burgdorferi</w:t>
            </w:r>
            <w:r>
              <w:rPr>
                <w:sz w:val="20"/>
                <w:szCs w:val="20"/>
              </w:rPr>
              <w:t xml:space="preserve"> was highest in synovial fluid (6.4%) and tissue (6.5%), even though these specimen types making up a small percentage (8.3% and 0.4%, respectively) of the total number of specimens submitted for testing by PCR. </w:t>
            </w:r>
          </w:p>
          <w:p w14:paraId="687E3989" w14:textId="77777777" w:rsidR="002D58E4" w:rsidRDefault="002D58E4">
            <w:pPr>
              <w:rPr>
                <w:sz w:val="20"/>
                <w:szCs w:val="20"/>
              </w:rPr>
            </w:pPr>
          </w:p>
          <w:p w14:paraId="4D72388D" w14:textId="77777777" w:rsidR="002D58E4" w:rsidRDefault="00F721D4">
            <w:pPr>
              <w:rPr>
                <w:sz w:val="20"/>
                <w:szCs w:val="20"/>
              </w:rPr>
            </w:pPr>
            <w:r>
              <w:rPr>
                <w:sz w:val="20"/>
                <w:szCs w:val="20"/>
              </w:rPr>
              <w:t>The authors note that their data are in agreement with results reported in previous studies using either real-time or conventional PCR, which have shown a low positivity rate for blood and cerebrospinal fluid, even in patients with known Lyme disease. The authors state that blood submitted for Lyme PCR is rarely useful and recommend synovial fluid PCR in the context of a positive serologic test.</w:t>
            </w:r>
          </w:p>
        </w:tc>
      </w:tr>
      <w:tr w:rsidR="002D58E4" w14:paraId="17312BAF" w14:textId="77777777" w:rsidTr="003D1C11">
        <w:trPr>
          <w:trHeight w:val="6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DCEA60A" w14:textId="77777777" w:rsidR="002D58E4" w:rsidRDefault="00F721D4">
            <w:pPr>
              <w:rPr>
                <w:sz w:val="20"/>
                <w:szCs w:val="20"/>
              </w:rPr>
            </w:pPr>
            <w:r>
              <w:rPr>
                <w:sz w:val="20"/>
                <w:szCs w:val="20"/>
              </w:rPr>
              <w:t>Maes, et al., 2017</w:t>
            </w:r>
          </w:p>
          <w:p w14:paraId="2BC4C1C6" w14:textId="77777777" w:rsidR="002D58E4" w:rsidRDefault="002D58E4">
            <w:pPr>
              <w:rPr>
                <w:sz w:val="20"/>
                <w:szCs w:val="20"/>
              </w:rPr>
            </w:pPr>
          </w:p>
          <w:p w14:paraId="364A9163" w14:textId="77777777" w:rsidR="002D58E4" w:rsidRDefault="00F721D4">
            <w:pPr>
              <w:rPr>
                <w:sz w:val="20"/>
                <w:szCs w:val="20"/>
              </w:rPr>
            </w:pPr>
            <w:r>
              <w:rPr>
                <w:sz w:val="20"/>
                <w:szCs w:val="20"/>
              </w:rPr>
              <w:t>Diepenbeck, Belgium</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65B84F3D"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6AC4D3EA"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1C02A269" w14:textId="77777777" w:rsidR="002D58E4" w:rsidRDefault="00F721D4">
            <w:pPr>
              <w:rPr>
                <w:sz w:val="20"/>
                <w:szCs w:val="20"/>
              </w:rPr>
            </w:pPr>
            <w:r>
              <w:rPr>
                <w:sz w:val="20"/>
                <w:szCs w:val="20"/>
              </w:rPr>
              <w:t xml:space="preserve">103 cerebrospinal fluid samples of patients with clinical suspicion of neuroborreliosis (classic triad of peripheral paresis, lymphocytic CSF pleocytosis, and radiculitis) were analyzed retrospectively. </w:t>
            </w:r>
          </w:p>
          <w:p w14:paraId="2C1D46ED" w14:textId="77777777" w:rsidR="002D58E4" w:rsidRDefault="002D58E4">
            <w:pPr>
              <w:rPr>
                <w:sz w:val="20"/>
                <w:szCs w:val="20"/>
              </w:rPr>
            </w:pPr>
          </w:p>
          <w:p w14:paraId="7A36AF16" w14:textId="77777777" w:rsidR="002D58E4" w:rsidRDefault="00F721D4">
            <w:pPr>
              <w:rPr>
                <w:sz w:val="20"/>
                <w:szCs w:val="20"/>
              </w:rPr>
            </w:pPr>
            <w:r>
              <w:rPr>
                <w:sz w:val="20"/>
                <w:szCs w:val="20"/>
              </w:rPr>
              <w:t>“The age range of the patients was 5–91 years (average 47). Intrathecal antibody production was found for 16 % of the patients, meaning that the patients in this study have a possible Lyme neuroborreliosis.”</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EE7D9A7" w14:textId="77777777" w:rsidR="002D58E4" w:rsidRDefault="00F721D4">
            <w:pPr>
              <w:rPr>
                <w:sz w:val="20"/>
                <w:szCs w:val="20"/>
              </w:rPr>
            </w:pPr>
            <w:r>
              <w:rPr>
                <w:sz w:val="20"/>
                <w:szCs w:val="20"/>
              </w:rPr>
              <w:t xml:space="preserve">The O-DiaBorburg kit (DIA) targeting ospA, </w:t>
            </w:r>
            <w:r>
              <w:rPr>
                <w:i/>
                <w:sz w:val="20"/>
                <w:szCs w:val="20"/>
              </w:rPr>
              <w:t>Borrelia burgdorferi</w:t>
            </w:r>
            <w:r>
              <w:rPr>
                <w:sz w:val="20"/>
                <w:szCs w:val="20"/>
              </w:rPr>
              <w:t xml:space="preserve"> PCR kit–ISEX (GENE) targeting the 16S rDNA gene, and the </w:t>
            </w:r>
            <w:r>
              <w:rPr>
                <w:i/>
                <w:sz w:val="20"/>
                <w:szCs w:val="20"/>
              </w:rPr>
              <w:t xml:space="preserve">Borrelia burgdorferi </w:t>
            </w:r>
            <w:r>
              <w:rPr>
                <w:sz w:val="20"/>
                <w:szCs w:val="20"/>
              </w:rPr>
              <w:t>sensu lato Real-TM PCR (SAC) also targeting the 16S rDNA gene were selected for validation.</w:t>
            </w:r>
          </w:p>
          <w:p w14:paraId="3F959C7B" w14:textId="77777777" w:rsidR="002D58E4" w:rsidRDefault="002D58E4">
            <w:pPr>
              <w:rPr>
                <w:sz w:val="20"/>
                <w:szCs w:val="20"/>
              </w:rPr>
            </w:pPr>
          </w:p>
          <w:p w14:paraId="69A0F917" w14:textId="77777777" w:rsidR="002D58E4" w:rsidRDefault="00F721D4">
            <w:pPr>
              <w:rPr>
                <w:sz w:val="20"/>
                <w:szCs w:val="20"/>
              </w:rPr>
            </w:pPr>
            <w:r>
              <w:rPr>
                <w:sz w:val="20"/>
                <w:szCs w:val="20"/>
              </w:rPr>
              <w:t xml:space="preserve">The analytical sensitivity was evaluated for </w:t>
            </w:r>
            <w:r>
              <w:rPr>
                <w:i/>
                <w:sz w:val="20"/>
                <w:szCs w:val="20"/>
              </w:rPr>
              <w:t>B. afzelii</w:t>
            </w:r>
            <w:r>
              <w:rPr>
                <w:sz w:val="20"/>
                <w:szCs w:val="20"/>
              </w:rPr>
              <w:t xml:space="preserve">, </w:t>
            </w:r>
            <w:r>
              <w:rPr>
                <w:i/>
                <w:sz w:val="20"/>
                <w:szCs w:val="20"/>
              </w:rPr>
              <w:t>B. garinii</w:t>
            </w:r>
            <w:r>
              <w:rPr>
                <w:sz w:val="20"/>
                <w:szCs w:val="20"/>
              </w:rPr>
              <w:t xml:space="preserve">, and </w:t>
            </w:r>
            <w:r>
              <w:rPr>
                <w:i/>
                <w:sz w:val="20"/>
                <w:szCs w:val="20"/>
              </w:rPr>
              <w:t>B. burgdorferi sensu stricto</w:t>
            </w:r>
            <w:r>
              <w:rPr>
                <w:sz w:val="20"/>
                <w:szCs w:val="20"/>
              </w:rPr>
              <w:t>. The LOD</w:t>
            </w:r>
            <w:r>
              <w:rPr>
                <w:sz w:val="20"/>
                <w:szCs w:val="20"/>
                <w:vertAlign w:val="subscript"/>
              </w:rPr>
              <w:t>95</w:t>
            </w:r>
            <w:r>
              <w:rPr>
                <w:sz w:val="20"/>
                <w:szCs w:val="20"/>
              </w:rPr>
              <w:t xml:space="preserve"> is defined as the lowest detectable DNA concentration with a 95 % chance of a positive result. The study aimed at defining an LOD95 at least as sensitive as described in the kit insert of the assay which was 532 copies/ml, 500 copies/ml, and 20,000 copies/ml for the GENE, SAC, and DIA kit respectively. The specificity was evaluated by analyzing organisms that are genetically related to </w:t>
            </w:r>
            <w:r>
              <w:rPr>
                <w:i/>
                <w:sz w:val="20"/>
                <w:szCs w:val="20"/>
              </w:rPr>
              <w:t>Borrelia</w:t>
            </w:r>
            <w:r>
              <w:rPr>
                <w:sz w:val="20"/>
                <w:szCs w:val="20"/>
              </w:rPr>
              <w:t xml:space="preserve"> spp. (</w:t>
            </w:r>
            <w:r>
              <w:rPr>
                <w:i/>
                <w:sz w:val="20"/>
                <w:szCs w:val="20"/>
              </w:rPr>
              <w:t>B. duttonii</w:t>
            </w:r>
            <w:r>
              <w:rPr>
                <w:sz w:val="20"/>
                <w:szCs w:val="20"/>
              </w:rPr>
              <w:t xml:space="preserve">, </w:t>
            </w:r>
            <w:r>
              <w:rPr>
                <w:i/>
                <w:sz w:val="20"/>
                <w:szCs w:val="20"/>
              </w:rPr>
              <w:t>B.miyamotoi</w:t>
            </w:r>
            <w:r>
              <w:rPr>
                <w:sz w:val="20"/>
                <w:szCs w:val="20"/>
              </w:rPr>
              <w:t xml:space="preserve">, </w:t>
            </w:r>
            <w:r>
              <w:rPr>
                <w:i/>
                <w:sz w:val="20"/>
                <w:szCs w:val="20"/>
              </w:rPr>
              <w:t>B. japonica</w:t>
            </w:r>
            <w:r>
              <w:rPr>
                <w:sz w:val="20"/>
                <w:szCs w:val="20"/>
              </w:rPr>
              <w:t xml:space="preserve">, </w:t>
            </w:r>
            <w:r>
              <w:rPr>
                <w:i/>
                <w:sz w:val="20"/>
                <w:szCs w:val="20"/>
              </w:rPr>
              <w:t>B. hermsii</w:t>
            </w:r>
            <w:r>
              <w:rPr>
                <w:sz w:val="20"/>
                <w:szCs w:val="20"/>
              </w:rPr>
              <w:t xml:space="preserve">, </w:t>
            </w:r>
            <w:r>
              <w:rPr>
                <w:i/>
                <w:sz w:val="20"/>
                <w:szCs w:val="20"/>
              </w:rPr>
              <w:t>Treponema phagedenis</w:t>
            </w:r>
            <w:r>
              <w:rPr>
                <w:sz w:val="20"/>
                <w:szCs w:val="20"/>
              </w:rPr>
              <w:t xml:space="preserve">, </w:t>
            </w:r>
            <w:r>
              <w:rPr>
                <w:i/>
                <w:sz w:val="20"/>
                <w:szCs w:val="20"/>
              </w:rPr>
              <w:t>T. pallidum</w:t>
            </w:r>
            <w:r>
              <w:rPr>
                <w:sz w:val="20"/>
                <w:szCs w:val="20"/>
              </w:rPr>
              <w:t xml:space="preserve">, </w:t>
            </w:r>
            <w:r>
              <w:rPr>
                <w:i/>
                <w:sz w:val="20"/>
                <w:szCs w:val="20"/>
              </w:rPr>
              <w:t>Leptospira spp.</w:t>
            </w:r>
            <w:r>
              <w:rPr>
                <w:sz w:val="20"/>
                <w:szCs w:val="20"/>
              </w:rPr>
              <w:t>) and other pathogens present in CSF that cause similar symptoms.</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F80E276" w14:textId="77777777" w:rsidR="002D58E4" w:rsidRDefault="00F721D4">
            <w:pPr>
              <w:rPr>
                <w:sz w:val="20"/>
                <w:szCs w:val="20"/>
              </w:rPr>
            </w:pPr>
            <w:r>
              <w:rPr>
                <w:sz w:val="20"/>
                <w:szCs w:val="20"/>
              </w:rPr>
              <w:t xml:space="preserve">“LOD95 experiments showed that the GENE kit was the most sensitive real-time PCR when it was performed on RGQ. Although the exact LOD95 was not determined for the SAC and DIA kits for some </w:t>
            </w:r>
            <w:r>
              <w:rPr>
                <w:i/>
                <w:sz w:val="20"/>
                <w:szCs w:val="20"/>
              </w:rPr>
              <w:t>Borrelia</w:t>
            </w:r>
            <w:r>
              <w:rPr>
                <w:sz w:val="20"/>
                <w:szCs w:val="20"/>
              </w:rPr>
              <w:t xml:space="preserve"> strains, it was seen that the obtained LOD95 results of the SAC and DIA kits on LC480 were already higher than the obtained LOD95 values for these kits on RGQ.”</w:t>
            </w:r>
          </w:p>
          <w:p w14:paraId="6E7CB36A" w14:textId="77777777" w:rsidR="002D58E4" w:rsidRDefault="002D58E4">
            <w:pPr>
              <w:rPr>
                <w:sz w:val="20"/>
                <w:szCs w:val="20"/>
              </w:rPr>
            </w:pPr>
          </w:p>
          <w:p w14:paraId="40FBCE96" w14:textId="77777777" w:rsidR="002D58E4" w:rsidRDefault="00F721D4">
            <w:pPr>
              <w:rPr>
                <w:sz w:val="20"/>
                <w:szCs w:val="20"/>
              </w:rPr>
            </w:pPr>
            <w:r>
              <w:rPr>
                <w:sz w:val="20"/>
                <w:szCs w:val="20"/>
              </w:rPr>
              <w:t xml:space="preserve">No cross-reactivity was found for genetically related organisms or other pathogens. Both the GENE and SAC kit were able to detect </w:t>
            </w:r>
            <w:r>
              <w:rPr>
                <w:i/>
                <w:sz w:val="20"/>
                <w:szCs w:val="20"/>
              </w:rPr>
              <w:t>B. valaisiana</w:t>
            </w:r>
            <w:r>
              <w:rPr>
                <w:sz w:val="20"/>
                <w:szCs w:val="20"/>
              </w:rPr>
              <w:t xml:space="preserve">, </w:t>
            </w:r>
            <w:r>
              <w:rPr>
                <w:i/>
                <w:sz w:val="20"/>
                <w:szCs w:val="20"/>
              </w:rPr>
              <w:t>B. bavariensis</w:t>
            </w:r>
            <w:r>
              <w:rPr>
                <w:sz w:val="20"/>
                <w:szCs w:val="20"/>
              </w:rPr>
              <w:t xml:space="preserve">, </w:t>
            </w:r>
            <w:r>
              <w:rPr>
                <w:i/>
                <w:sz w:val="20"/>
                <w:szCs w:val="20"/>
              </w:rPr>
              <w:t>B. spielmanii</w:t>
            </w:r>
            <w:r>
              <w:rPr>
                <w:sz w:val="20"/>
                <w:szCs w:val="20"/>
              </w:rPr>
              <w:t xml:space="preserve">, and </w:t>
            </w:r>
            <w:r>
              <w:rPr>
                <w:i/>
                <w:sz w:val="20"/>
                <w:szCs w:val="20"/>
              </w:rPr>
              <w:t>B. lusitaniae</w:t>
            </w:r>
            <w:r>
              <w:rPr>
                <w:sz w:val="20"/>
                <w:szCs w:val="20"/>
              </w:rPr>
              <w:t xml:space="preserve">. The DIA kit failed to detect </w:t>
            </w:r>
            <w:r>
              <w:rPr>
                <w:i/>
                <w:sz w:val="20"/>
                <w:szCs w:val="20"/>
              </w:rPr>
              <w:t>B. lusitaniae</w:t>
            </w:r>
          </w:p>
        </w:tc>
      </w:tr>
      <w:tr w:rsidR="002D58E4" w14:paraId="444C1777" w14:textId="77777777" w:rsidTr="003D1C11">
        <w:trPr>
          <w:trHeight w:val="6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4658E39" w14:textId="77777777" w:rsidR="002D58E4" w:rsidRDefault="00F721D4">
            <w:pPr>
              <w:rPr>
                <w:sz w:val="20"/>
                <w:szCs w:val="20"/>
              </w:rPr>
            </w:pPr>
            <w:r>
              <w:rPr>
                <w:sz w:val="20"/>
                <w:szCs w:val="20"/>
              </w:rPr>
              <w:t>Barstad, et al., 2018</w:t>
            </w:r>
          </w:p>
          <w:p w14:paraId="570DFCA5" w14:textId="77777777" w:rsidR="002D58E4" w:rsidRDefault="002D58E4">
            <w:pPr>
              <w:rPr>
                <w:sz w:val="20"/>
                <w:szCs w:val="20"/>
              </w:rPr>
            </w:pPr>
          </w:p>
          <w:p w14:paraId="4EA21AE9" w14:textId="77777777" w:rsidR="002D58E4" w:rsidRDefault="00F721D4">
            <w:pPr>
              <w:rPr>
                <w:sz w:val="20"/>
                <w:szCs w:val="20"/>
              </w:rPr>
            </w:pPr>
            <w:r>
              <w:rPr>
                <w:sz w:val="20"/>
                <w:szCs w:val="20"/>
              </w:rPr>
              <w:t>Southwest Norway</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3BEF35BC"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62ED4603"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43A3BD54" w14:textId="77777777" w:rsidR="002D58E4" w:rsidRDefault="00F721D4">
            <w:pPr>
              <w:rPr>
                <w:sz w:val="20"/>
                <w:szCs w:val="20"/>
              </w:rPr>
            </w:pPr>
            <w:r>
              <w:rPr>
                <w:sz w:val="20"/>
                <w:szCs w:val="20"/>
              </w:rPr>
              <w:t>Children aged 3 months to 18 years with symptoms suggestive of LNB who were admitted to the pediatric departments of five hospitals from autumn 2011 to spring 2014 were eligible.</w:t>
            </w:r>
            <w:r>
              <w:t xml:space="preserve"> </w:t>
            </w:r>
            <w:r>
              <w:rPr>
                <w:sz w:val="20"/>
                <w:szCs w:val="20"/>
              </w:rPr>
              <w:t>Children who had been given antibiotics prior to admission were excluded.</w:t>
            </w:r>
            <w:r>
              <w:t xml:space="preserve"> C</w:t>
            </w:r>
            <w:r>
              <w:rPr>
                <w:sz w:val="20"/>
                <w:szCs w:val="20"/>
              </w:rPr>
              <w:t>hildren with confirmed and probable LNB were included as LNB patients, and children with non-Lyme aseptic meningitis (NLAM) and negative controls were included as non-LNB controls.</w:t>
            </w:r>
          </w:p>
          <w:p w14:paraId="7BA309FE" w14:textId="77777777" w:rsidR="002D58E4" w:rsidRDefault="002D58E4">
            <w:pPr>
              <w:rPr>
                <w:sz w:val="20"/>
                <w:szCs w:val="20"/>
              </w:rPr>
            </w:pPr>
          </w:p>
          <w:p w14:paraId="38C3443E" w14:textId="77777777" w:rsidR="002D58E4" w:rsidRDefault="00F721D4">
            <w:pPr>
              <w:rPr>
                <w:sz w:val="20"/>
                <w:szCs w:val="20"/>
              </w:rPr>
            </w:pPr>
            <w:r>
              <w:rPr>
                <w:sz w:val="20"/>
                <w:szCs w:val="20"/>
              </w:rPr>
              <w:t>CSF samples of 117 children were analyzed by PCR. 76 were diagnosed as LNB patients (58 confirmed and 18 probable), 13 were diagnosed with possible LNB conditions, and 28 as non-LNB controls (12 with NLAM and 16 negative controls).</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61DD8D0" w14:textId="77777777" w:rsidR="002D58E4" w:rsidRDefault="00F721D4">
            <w:pPr>
              <w:rPr>
                <w:sz w:val="20"/>
                <w:szCs w:val="20"/>
              </w:rPr>
            </w:pPr>
            <w:r>
              <w:rPr>
                <w:sz w:val="20"/>
                <w:szCs w:val="20"/>
              </w:rPr>
              <w:t xml:space="preserve">DNA samples were tested using two independent real-time assays targeting the OspA and 16S rRNA genes to detect </w:t>
            </w:r>
            <w:r>
              <w:rPr>
                <w:i/>
                <w:sz w:val="20"/>
                <w:szCs w:val="20"/>
              </w:rPr>
              <w:t xml:space="preserve">B. burgdorferi. </w:t>
            </w:r>
            <w:r>
              <w:rPr>
                <w:sz w:val="20"/>
                <w:szCs w:val="20"/>
              </w:rPr>
              <w:t xml:space="preserve">Samples were considered positive for </w:t>
            </w:r>
            <w:r>
              <w:rPr>
                <w:i/>
                <w:sz w:val="20"/>
                <w:szCs w:val="20"/>
              </w:rPr>
              <w:t>B. burgdorferi</w:t>
            </w:r>
            <w:r>
              <w:rPr>
                <w:sz w:val="20"/>
                <w:szCs w:val="20"/>
              </w:rPr>
              <w:t xml:space="preserve"> DNA if both assays gave positive results after one or two runs, or if more than one replicate in one assay was positive after two runs.</w:t>
            </w:r>
          </w:p>
          <w:p w14:paraId="321378AF" w14:textId="77777777" w:rsidR="002D58E4" w:rsidRDefault="002D58E4">
            <w:pPr>
              <w:rPr>
                <w:sz w:val="20"/>
                <w:szCs w:val="20"/>
              </w:rPr>
            </w:pPr>
          </w:p>
          <w:p w14:paraId="3009923D" w14:textId="77777777" w:rsidR="002D58E4" w:rsidRDefault="00F721D4">
            <w:pPr>
              <w:numPr>
                <w:ilvl w:val="0"/>
                <w:numId w:val="21"/>
              </w:numPr>
              <w:rPr>
                <w:sz w:val="20"/>
                <w:szCs w:val="20"/>
              </w:rPr>
            </w:pPr>
            <w:r>
              <w:rPr>
                <w:sz w:val="20"/>
                <w:szCs w:val="20"/>
              </w:rPr>
              <w:t>Sensitivity: 45%</w:t>
            </w:r>
          </w:p>
          <w:p w14:paraId="7A3BFEA1" w14:textId="77777777" w:rsidR="002D58E4" w:rsidRDefault="00F721D4">
            <w:pPr>
              <w:numPr>
                <w:ilvl w:val="0"/>
                <w:numId w:val="21"/>
              </w:numPr>
              <w:rPr>
                <w:sz w:val="20"/>
                <w:szCs w:val="20"/>
              </w:rPr>
            </w:pPr>
            <w:r>
              <w:rPr>
                <w:sz w:val="20"/>
                <w:szCs w:val="20"/>
              </w:rPr>
              <w:t>Specificity: 100%</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AA469D6" w14:textId="77777777" w:rsidR="002D58E4" w:rsidRDefault="00F721D4">
            <w:pPr>
              <w:rPr>
                <w:sz w:val="20"/>
                <w:szCs w:val="20"/>
              </w:rPr>
            </w:pPr>
            <w:r>
              <w:rPr>
                <w:sz w:val="20"/>
                <w:szCs w:val="20"/>
              </w:rPr>
              <w:t xml:space="preserve">In this study, </w:t>
            </w:r>
            <w:r>
              <w:rPr>
                <w:i/>
                <w:sz w:val="20"/>
                <w:szCs w:val="20"/>
              </w:rPr>
              <w:t>B. burgdorferi</w:t>
            </w:r>
            <w:r>
              <w:rPr>
                <w:sz w:val="20"/>
                <w:szCs w:val="20"/>
              </w:rPr>
              <w:t xml:space="preserve"> DNA was detected in the CSF of 46% of children diagnosed with LNB, which is a higher proportion than previously reported in most studies of children and adults. </w:t>
            </w:r>
            <w:r>
              <w:rPr>
                <w:i/>
                <w:sz w:val="20"/>
                <w:szCs w:val="20"/>
              </w:rPr>
              <w:t>B. garinii</w:t>
            </w:r>
            <w:r>
              <w:rPr>
                <w:sz w:val="20"/>
                <w:szCs w:val="20"/>
              </w:rPr>
              <w:t xml:space="preserve"> was the predominant genotype associated with LNB in children in southwest Norway.</w:t>
            </w:r>
          </w:p>
          <w:p w14:paraId="407D209E" w14:textId="77777777" w:rsidR="002D58E4" w:rsidRDefault="002D58E4">
            <w:pPr>
              <w:rPr>
                <w:sz w:val="20"/>
                <w:szCs w:val="20"/>
              </w:rPr>
            </w:pPr>
          </w:p>
          <w:p w14:paraId="1B591A21" w14:textId="77777777" w:rsidR="002D58E4" w:rsidRDefault="00F721D4">
            <w:pPr>
              <w:rPr>
                <w:sz w:val="20"/>
                <w:szCs w:val="20"/>
              </w:rPr>
            </w:pPr>
            <w:r>
              <w:rPr>
                <w:sz w:val="20"/>
                <w:szCs w:val="20"/>
              </w:rPr>
              <w:t>This study supports the use of</w:t>
            </w:r>
            <w:r>
              <w:rPr>
                <w:i/>
                <w:sz w:val="20"/>
                <w:szCs w:val="20"/>
              </w:rPr>
              <w:t xml:space="preserve"> </w:t>
            </w:r>
            <w:r>
              <w:rPr>
                <w:sz w:val="20"/>
                <w:szCs w:val="20"/>
              </w:rPr>
              <w:t>PCR as a supplemental diagnostic tool for children with suspected LNB, particularly in the early phase, when the antibody index is negative and the diagnosis is inconclusive.</w:t>
            </w:r>
          </w:p>
        </w:tc>
      </w:tr>
      <w:tr w:rsidR="002D58E4" w14:paraId="77AED44E" w14:textId="77777777" w:rsidTr="003D1C11">
        <w:trPr>
          <w:trHeight w:val="320"/>
        </w:trPr>
        <w:tc>
          <w:tcPr>
            <w:tcW w:w="14459" w:type="dxa"/>
            <w:gridSpan w:val="11"/>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362D01E7" w14:textId="77777777" w:rsidR="002D58E4" w:rsidRDefault="00F721D4">
            <w:pPr>
              <w:jc w:val="center"/>
              <w:rPr>
                <w:b/>
                <w:i/>
                <w:sz w:val="20"/>
                <w:szCs w:val="20"/>
              </w:rPr>
            </w:pPr>
            <w:r>
              <w:rPr>
                <w:b/>
                <w:i/>
                <w:sz w:val="20"/>
                <w:szCs w:val="20"/>
              </w:rPr>
              <w:t>Antibody Index and CSF Analysis</w:t>
            </w:r>
          </w:p>
        </w:tc>
      </w:tr>
      <w:tr w:rsidR="002D58E4" w14:paraId="6F6B486F"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913A8EE" w14:textId="77777777" w:rsidR="002D58E4" w:rsidRDefault="00F721D4">
            <w:pPr>
              <w:rPr>
                <w:sz w:val="20"/>
                <w:szCs w:val="20"/>
              </w:rPr>
            </w:pPr>
            <w:r>
              <w:rPr>
                <w:sz w:val="20"/>
                <w:szCs w:val="20"/>
              </w:rPr>
              <w:t>Halperin, et al., 1989</w:t>
            </w:r>
          </w:p>
          <w:p w14:paraId="524457D9" w14:textId="77777777" w:rsidR="002D58E4" w:rsidRDefault="002D58E4">
            <w:pPr>
              <w:rPr>
                <w:sz w:val="20"/>
                <w:szCs w:val="20"/>
              </w:rPr>
            </w:pPr>
          </w:p>
          <w:p w14:paraId="22EB122D" w14:textId="77777777" w:rsidR="002D58E4" w:rsidRDefault="002D58E4">
            <w:pPr>
              <w:rPr>
                <w:sz w:val="20"/>
                <w:szCs w:val="20"/>
              </w:rPr>
            </w:pPr>
          </w:p>
          <w:p w14:paraId="2F2502DE" w14:textId="77777777" w:rsidR="002D58E4" w:rsidRDefault="00F721D4">
            <w:pPr>
              <w:rPr>
                <w:sz w:val="20"/>
                <w:szCs w:val="20"/>
              </w:rPr>
            </w:pPr>
            <w:r>
              <w:rPr>
                <w:sz w:val="20"/>
                <w:szCs w:val="20"/>
              </w:rPr>
              <w:t>Stony Brook, NY</w:t>
            </w:r>
          </w:p>
          <w:p w14:paraId="39EBD32B" w14:textId="77777777" w:rsidR="002D58E4" w:rsidRDefault="002D58E4">
            <w:pPr>
              <w:rPr>
                <w:sz w:val="20"/>
                <w:szCs w:val="20"/>
              </w:rPr>
            </w:pP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2710EE44"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4F9171C8"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19C6DFA6" w14:textId="77777777" w:rsidR="002D58E4" w:rsidRDefault="00F721D4">
            <w:pPr>
              <w:rPr>
                <w:sz w:val="20"/>
                <w:szCs w:val="20"/>
              </w:rPr>
            </w:pPr>
            <w:r>
              <w:rPr>
                <w:sz w:val="20"/>
                <w:szCs w:val="20"/>
              </w:rPr>
              <w:t xml:space="preserve">85 patients with serological evidence of </w:t>
            </w:r>
            <w:r>
              <w:rPr>
                <w:i/>
                <w:sz w:val="20"/>
                <w:szCs w:val="20"/>
              </w:rPr>
              <w:t xml:space="preserve">B. burgdorferi </w:t>
            </w:r>
            <w:r>
              <w:rPr>
                <w:sz w:val="20"/>
                <w:szCs w:val="20"/>
              </w:rPr>
              <w:t>infection presenting with central nervous system manifestations.</w:t>
            </w:r>
          </w:p>
          <w:p w14:paraId="7D7E9C8C" w14:textId="77777777" w:rsidR="002D58E4" w:rsidRDefault="002D58E4">
            <w:pPr>
              <w:rPr>
                <w:sz w:val="20"/>
                <w:szCs w:val="20"/>
              </w:rPr>
            </w:pPr>
          </w:p>
          <w:p w14:paraId="7D489E5E" w14:textId="77777777" w:rsidR="002D58E4" w:rsidRDefault="00F721D4">
            <w:pPr>
              <w:rPr>
                <w:sz w:val="20"/>
                <w:szCs w:val="20"/>
              </w:rPr>
            </w:pPr>
            <w:r>
              <w:rPr>
                <w:sz w:val="20"/>
                <w:szCs w:val="20"/>
              </w:rPr>
              <w:t xml:space="preserve">Diagnosis was based on 1) history of well-documented erythema migrans or evidence of immunoreactivity against </w:t>
            </w:r>
            <w:r>
              <w:rPr>
                <w:i/>
                <w:sz w:val="20"/>
                <w:szCs w:val="20"/>
              </w:rPr>
              <w:t>B. burgdorferi</w:t>
            </w:r>
            <w:r>
              <w:rPr>
                <w:sz w:val="20"/>
                <w:szCs w:val="20"/>
              </w:rPr>
              <w:t>, using either (a) a specific ELISA or (b) a specific lymphocyte proliferation assay; and (2) prominent nervous system abnormalities.</w:t>
            </w:r>
          </w:p>
          <w:p w14:paraId="65F0718F" w14:textId="77777777" w:rsidR="002D58E4" w:rsidRDefault="002D58E4">
            <w:pPr>
              <w:rPr>
                <w:sz w:val="20"/>
                <w:szCs w:val="20"/>
              </w:rPr>
            </w:pPr>
          </w:p>
          <w:p w14:paraId="54416D10" w14:textId="77777777" w:rsidR="002D58E4" w:rsidRDefault="00F721D4">
            <w:pPr>
              <w:rPr>
                <w:sz w:val="20"/>
                <w:szCs w:val="20"/>
              </w:rPr>
            </w:pPr>
            <w:r>
              <w:rPr>
                <w:b/>
                <w:sz w:val="20"/>
                <w:szCs w:val="20"/>
              </w:rPr>
              <w:t>Group I:</w:t>
            </w:r>
            <w:r>
              <w:rPr>
                <w:sz w:val="20"/>
                <w:szCs w:val="20"/>
              </w:rPr>
              <w:t xml:space="preserve"> Patients who described subjective difficulties with memory and cognition, and who had demonstrable cognitive or memory deficits; </w:t>
            </w:r>
            <w:r>
              <w:rPr>
                <w:b/>
                <w:sz w:val="20"/>
                <w:szCs w:val="20"/>
              </w:rPr>
              <w:t>Group II</w:t>
            </w:r>
            <w:r>
              <w:rPr>
                <w:sz w:val="20"/>
                <w:szCs w:val="20"/>
              </w:rPr>
              <w:t xml:space="preserve">: Patients with typical relapsing-remitting MS; </w:t>
            </w:r>
            <w:r>
              <w:rPr>
                <w:b/>
                <w:sz w:val="20"/>
                <w:szCs w:val="20"/>
              </w:rPr>
              <w:t>Group III</w:t>
            </w:r>
            <w:r>
              <w:rPr>
                <w:sz w:val="20"/>
                <w:szCs w:val="20"/>
              </w:rPr>
              <w:t xml:space="preserve">: Patients with an acute, monophasic illness affecting the CNS, apparently caused by </w:t>
            </w:r>
            <w:r>
              <w:rPr>
                <w:i/>
                <w:sz w:val="20"/>
                <w:szCs w:val="20"/>
              </w:rPr>
              <w:t>B burgdorferi</w:t>
            </w:r>
            <w:r>
              <w:rPr>
                <w:sz w:val="20"/>
                <w:szCs w:val="20"/>
              </w:rPr>
              <w:t xml:space="preserve"> infection (Lyme meningitis- N=2, optic neuropathy- N=2, focal brainstem lesion- N=1); </w:t>
            </w:r>
            <w:r>
              <w:rPr>
                <w:b/>
                <w:sz w:val="20"/>
                <w:szCs w:val="20"/>
              </w:rPr>
              <w:t>Group IV</w:t>
            </w:r>
            <w:r>
              <w:rPr>
                <w:sz w:val="20"/>
                <w:szCs w:val="20"/>
              </w:rPr>
              <w:t xml:space="preserve">: Patients with peripheral nervous system dysfunction; </w:t>
            </w:r>
            <w:r>
              <w:rPr>
                <w:b/>
                <w:sz w:val="20"/>
                <w:szCs w:val="20"/>
              </w:rPr>
              <w:t>Group V</w:t>
            </w:r>
            <w:r>
              <w:rPr>
                <w:sz w:val="20"/>
                <w:szCs w:val="20"/>
              </w:rPr>
              <w:t>: These patients did not appear clinically to have CNS disease, but had had lumbar punctures because of (a) peripheral immunoreactivity against</w:t>
            </w:r>
            <w:r>
              <w:rPr>
                <w:i/>
                <w:sz w:val="20"/>
                <w:szCs w:val="20"/>
              </w:rPr>
              <w:t xml:space="preserve"> B burgdorferi</w:t>
            </w:r>
            <w:r>
              <w:rPr>
                <w:sz w:val="20"/>
                <w:szCs w:val="20"/>
              </w:rPr>
              <w:t xml:space="preserve">, and (b) a concern that they might have </w:t>
            </w:r>
            <w:r>
              <w:rPr>
                <w:i/>
                <w:sz w:val="20"/>
                <w:szCs w:val="20"/>
              </w:rPr>
              <w:t>B burgdorferi</w:t>
            </w:r>
            <w:r>
              <w:rPr>
                <w:sz w:val="20"/>
                <w:szCs w:val="20"/>
              </w:rPr>
              <w:t xml:space="preserve"> infection involving the CNS. Three had psychiatric disorders</w:t>
            </w:r>
          </w:p>
          <w:p w14:paraId="6D01F127" w14:textId="77777777" w:rsidR="002D58E4" w:rsidRDefault="00F721D4">
            <w:pPr>
              <w:rPr>
                <w:sz w:val="20"/>
                <w:szCs w:val="20"/>
              </w:rPr>
            </w:pPr>
            <w:r>
              <w:rPr>
                <w:sz w:val="20"/>
                <w:szCs w:val="20"/>
              </w:rPr>
              <w:t xml:space="preserve">(2 with recurrent depression, 1 with a diagnosis of schizoaffective disorder), 1 had severe, persistent headaches, 1 had vitritis, and 1 had an acute, transient confusional state; </w:t>
            </w:r>
            <w:r>
              <w:rPr>
                <w:b/>
                <w:sz w:val="20"/>
                <w:szCs w:val="20"/>
              </w:rPr>
              <w:t>Group VI</w:t>
            </w:r>
            <w:r>
              <w:rPr>
                <w:sz w:val="20"/>
                <w:szCs w:val="20"/>
              </w:rPr>
              <w:t>: Patients who met the same criteria as those in group I, but did not undergo lumbar puncture or brain MRI.</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E8D460C" w14:textId="77777777" w:rsidR="002D58E4" w:rsidRDefault="002D58E4">
            <w:pPr>
              <w:rPr>
                <w:b/>
                <w:sz w:val="20"/>
                <w:szCs w:val="20"/>
              </w:rPr>
            </w:pPr>
          </w:p>
          <w:p w14:paraId="0CC53552" w14:textId="77777777" w:rsidR="002D58E4" w:rsidRDefault="002D58E4">
            <w:pPr>
              <w:rPr>
                <w:b/>
                <w:sz w:val="20"/>
                <w:szCs w:val="20"/>
              </w:rPr>
            </w:pPr>
          </w:p>
          <w:p w14:paraId="049B411E" w14:textId="77777777" w:rsidR="002D58E4" w:rsidRDefault="00F721D4">
            <w:pPr>
              <w:rPr>
                <w:sz w:val="20"/>
                <w:szCs w:val="20"/>
              </w:rPr>
            </w:pPr>
            <w:r>
              <w:rPr>
                <w:b/>
                <w:sz w:val="20"/>
                <w:szCs w:val="20"/>
              </w:rPr>
              <w:t>Group I:</w:t>
            </w:r>
            <w:r>
              <w:rPr>
                <w:sz w:val="20"/>
                <w:szCs w:val="20"/>
              </w:rPr>
              <w:t xml:space="preserve"> </w:t>
            </w:r>
            <w:r>
              <w:t>“</w:t>
            </w:r>
            <w:r>
              <w:rPr>
                <w:sz w:val="20"/>
                <w:szCs w:val="20"/>
              </w:rPr>
              <w:t>In 10 of the 13 patients in whom CSF was studied, the CSF Lyme antibody index was greater than 1.0, indicating intrathecal synthesis of anti-</w:t>
            </w:r>
            <w:r>
              <w:rPr>
                <w:i/>
                <w:sz w:val="20"/>
                <w:szCs w:val="20"/>
              </w:rPr>
              <w:t>B burgdorferi</w:t>
            </w:r>
            <w:r>
              <w:rPr>
                <w:sz w:val="20"/>
                <w:szCs w:val="20"/>
              </w:rPr>
              <w:t xml:space="preserve"> antibody”</w:t>
            </w:r>
          </w:p>
          <w:p w14:paraId="531DC376" w14:textId="77777777" w:rsidR="002D58E4" w:rsidRDefault="002D58E4">
            <w:pPr>
              <w:rPr>
                <w:sz w:val="20"/>
                <w:szCs w:val="20"/>
              </w:rPr>
            </w:pPr>
          </w:p>
          <w:p w14:paraId="37E05C1C" w14:textId="77777777" w:rsidR="002D58E4" w:rsidRDefault="00F721D4">
            <w:pPr>
              <w:rPr>
                <w:sz w:val="20"/>
                <w:szCs w:val="20"/>
              </w:rPr>
            </w:pPr>
            <w:r>
              <w:rPr>
                <w:b/>
                <w:sz w:val="20"/>
                <w:szCs w:val="20"/>
              </w:rPr>
              <w:t>Group II:</w:t>
            </w:r>
            <w:r>
              <w:rPr>
                <w:sz w:val="20"/>
                <w:szCs w:val="20"/>
              </w:rPr>
              <w:t xml:space="preserve"> </w:t>
            </w:r>
            <w:r>
              <w:t>“</w:t>
            </w:r>
            <w:r>
              <w:rPr>
                <w:sz w:val="20"/>
                <w:szCs w:val="20"/>
              </w:rPr>
              <w:t>The CSF Lyme antibody index was consistently less than 1.0 (range, 0.19 to 0.73; mean, 0.39) in all 5 patients in whom this was measured. The 6th patient declined a lumbar puncture.”</w:t>
            </w:r>
          </w:p>
          <w:p w14:paraId="353A7AA2" w14:textId="77777777" w:rsidR="002D58E4" w:rsidRDefault="002D58E4">
            <w:pPr>
              <w:rPr>
                <w:sz w:val="20"/>
                <w:szCs w:val="20"/>
              </w:rPr>
            </w:pPr>
          </w:p>
          <w:p w14:paraId="1F7F783D" w14:textId="77777777" w:rsidR="002D58E4" w:rsidRDefault="00F721D4">
            <w:pPr>
              <w:rPr>
                <w:sz w:val="20"/>
                <w:szCs w:val="20"/>
              </w:rPr>
            </w:pPr>
            <w:r>
              <w:rPr>
                <w:b/>
                <w:sz w:val="20"/>
                <w:szCs w:val="20"/>
              </w:rPr>
              <w:t xml:space="preserve">Group III: </w:t>
            </w:r>
            <w:r>
              <w:t>“</w:t>
            </w:r>
            <w:r>
              <w:rPr>
                <w:sz w:val="20"/>
                <w:szCs w:val="20"/>
              </w:rPr>
              <w:t>Anti-</w:t>
            </w:r>
            <w:r>
              <w:rPr>
                <w:i/>
                <w:sz w:val="20"/>
                <w:szCs w:val="20"/>
              </w:rPr>
              <w:t>B burgdorferi</w:t>
            </w:r>
            <w:r>
              <w:rPr>
                <w:sz w:val="20"/>
                <w:szCs w:val="20"/>
              </w:rPr>
              <w:t xml:space="preserve"> antibody was elevated in the serum of 2 of the 5…</w:t>
            </w:r>
            <w:r>
              <w:t xml:space="preserve"> </w:t>
            </w:r>
            <w:r>
              <w:rPr>
                <w:sz w:val="20"/>
                <w:szCs w:val="20"/>
              </w:rPr>
              <w:t>One of this lacked evidence of antibody synthesis in the CSF, but this may have been artifactual.”</w:t>
            </w:r>
          </w:p>
          <w:p w14:paraId="78347866" w14:textId="77777777" w:rsidR="002D58E4" w:rsidRDefault="002D58E4">
            <w:pPr>
              <w:rPr>
                <w:sz w:val="20"/>
                <w:szCs w:val="20"/>
              </w:rPr>
            </w:pPr>
          </w:p>
          <w:p w14:paraId="0FFBE2C2" w14:textId="77777777" w:rsidR="002D58E4" w:rsidRDefault="00F721D4">
            <w:pPr>
              <w:rPr>
                <w:sz w:val="20"/>
                <w:szCs w:val="20"/>
              </w:rPr>
            </w:pPr>
            <w:r>
              <w:rPr>
                <w:b/>
                <w:sz w:val="20"/>
                <w:szCs w:val="20"/>
              </w:rPr>
              <w:t xml:space="preserve">Group IV: </w:t>
            </w:r>
            <w:r>
              <w:t>“</w:t>
            </w:r>
            <w:r>
              <w:rPr>
                <w:sz w:val="20"/>
                <w:szCs w:val="20"/>
              </w:rPr>
              <w:t>Only 2 patients had elevated CSF Lyme antibody indices. Both had moderately severe chronic polyneuropathy.”</w:t>
            </w:r>
          </w:p>
          <w:p w14:paraId="4D36F023" w14:textId="77777777" w:rsidR="002D58E4" w:rsidRDefault="002D58E4">
            <w:pPr>
              <w:rPr>
                <w:sz w:val="20"/>
                <w:szCs w:val="20"/>
              </w:rPr>
            </w:pPr>
          </w:p>
          <w:p w14:paraId="4FA74961" w14:textId="77777777" w:rsidR="002D58E4" w:rsidRDefault="00F721D4">
            <w:pPr>
              <w:rPr>
                <w:sz w:val="20"/>
                <w:szCs w:val="20"/>
              </w:rPr>
            </w:pPr>
            <w:r>
              <w:rPr>
                <w:b/>
                <w:sz w:val="20"/>
                <w:szCs w:val="20"/>
              </w:rPr>
              <w:t xml:space="preserve">Group V: </w:t>
            </w:r>
            <w:r>
              <w:rPr>
                <w:sz w:val="20"/>
                <w:szCs w:val="20"/>
              </w:rPr>
              <w:t xml:space="preserve">Only one patient presented with a Lyme antibody index greater than 1. </w:t>
            </w:r>
          </w:p>
          <w:p w14:paraId="5FB6DFD5" w14:textId="77777777" w:rsidR="002D58E4" w:rsidRDefault="002D58E4">
            <w:pPr>
              <w:rPr>
                <w:sz w:val="20"/>
                <w:szCs w:val="20"/>
              </w:rPr>
            </w:pPr>
          </w:p>
          <w:p w14:paraId="05B5E72B" w14:textId="77777777" w:rsidR="002D58E4" w:rsidRDefault="00F721D4">
            <w:pPr>
              <w:rPr>
                <w:b/>
                <w:sz w:val="20"/>
                <w:szCs w:val="20"/>
              </w:rPr>
            </w:pPr>
            <w:r>
              <w:rPr>
                <w:b/>
                <w:sz w:val="20"/>
                <w:szCs w:val="20"/>
              </w:rPr>
              <w:t xml:space="preserve">Group VI: </w:t>
            </w:r>
            <w:r>
              <w:rPr>
                <w:sz w:val="20"/>
                <w:szCs w:val="20"/>
              </w:rPr>
              <w:t>These patients did not undergo lumbar puncture</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E72089B" w14:textId="77777777" w:rsidR="002D58E4" w:rsidRDefault="00F721D4">
            <w:pPr>
              <w:rPr>
                <w:sz w:val="20"/>
                <w:szCs w:val="20"/>
              </w:rPr>
            </w:pPr>
            <w:r>
              <w:rPr>
                <w:sz w:val="20"/>
                <w:szCs w:val="20"/>
              </w:rPr>
              <w:t xml:space="preserve">“Several previous studies suggested that active CNS Lyme borreliosis is frequently associated with evidence of intrathecal synthesis of anti- </w:t>
            </w:r>
            <w:r>
              <w:rPr>
                <w:i/>
                <w:sz w:val="20"/>
                <w:szCs w:val="20"/>
              </w:rPr>
              <w:t>B burgdorferi</w:t>
            </w:r>
            <w:r>
              <w:rPr>
                <w:sz w:val="20"/>
                <w:szCs w:val="20"/>
              </w:rPr>
              <w:t xml:space="preserve"> antibody. In our study, 10 of the 13 patients with encephalopathy and one-half the patients with focal CNS disease had evidence of intrathecal synthesis of specific antibody. In contrast, this was observed in only 2 of 24 with peripheral or cranial neuropathies. (Interestingly, 3 patients with radicular pain did not have evidence of intrathecal synthesis of specific antibody. This observation, in conjunction with published pathologic studies demonstrating striking abnormalities in biopsied sural nerves in patients with Lyme radiculitis, suggests that this “radiculitis” may actually be a manifestation of a more widespread neuropathy, and may not necessarily involve nerve root inflammation.) High CSF concentrations of specific antibody in patients with encephalopathy suggest that CSF anti-</w:t>
            </w:r>
            <w:r>
              <w:rPr>
                <w:i/>
                <w:sz w:val="20"/>
                <w:szCs w:val="20"/>
              </w:rPr>
              <w:t>B burgdorferi</w:t>
            </w:r>
            <w:r>
              <w:rPr>
                <w:sz w:val="20"/>
                <w:szCs w:val="20"/>
              </w:rPr>
              <w:t xml:space="preserve"> antibody concentration is a useful indicator of CNS involvement.</w:t>
            </w:r>
            <w:r>
              <w:t xml:space="preserve"> </w:t>
            </w:r>
            <w:r>
              <w:rPr>
                <w:sz w:val="20"/>
                <w:szCs w:val="20"/>
              </w:rPr>
              <w:t>Moreover, it provides considerable support to the hypothesis that the cognitive difficulties described by our patients reflect active CNS disease. This type of CSF abnormality could be due either to a chronic, active</w:t>
            </w:r>
          </w:p>
          <w:p w14:paraId="67C0EDAF" w14:textId="77777777" w:rsidR="002D58E4" w:rsidRDefault="00F721D4">
            <w:pPr>
              <w:rPr>
                <w:sz w:val="20"/>
                <w:szCs w:val="20"/>
              </w:rPr>
            </w:pPr>
            <w:r>
              <w:rPr>
                <w:sz w:val="20"/>
                <w:szCs w:val="20"/>
              </w:rPr>
              <w:t>CNS infection or to an abnormality of the immune response.”</w:t>
            </w:r>
          </w:p>
        </w:tc>
      </w:tr>
      <w:tr w:rsidR="002D58E4" w14:paraId="2E99501B"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1C6BFD1" w14:textId="77777777" w:rsidR="002D58E4" w:rsidRDefault="00F721D4">
            <w:pPr>
              <w:rPr>
                <w:sz w:val="20"/>
                <w:szCs w:val="20"/>
              </w:rPr>
            </w:pPr>
            <w:r>
              <w:rPr>
                <w:sz w:val="20"/>
                <w:szCs w:val="20"/>
              </w:rPr>
              <w:t>Steere, et al., 1990</w:t>
            </w:r>
          </w:p>
          <w:p w14:paraId="40B96135" w14:textId="77777777" w:rsidR="002D58E4" w:rsidRDefault="002D58E4">
            <w:pPr>
              <w:rPr>
                <w:sz w:val="20"/>
                <w:szCs w:val="20"/>
              </w:rPr>
            </w:pPr>
          </w:p>
          <w:p w14:paraId="22D31582" w14:textId="77777777" w:rsidR="002D58E4" w:rsidRDefault="00F721D4">
            <w:pPr>
              <w:rPr>
                <w:sz w:val="20"/>
                <w:szCs w:val="20"/>
              </w:rPr>
            </w:pPr>
            <w:r>
              <w:rPr>
                <w:sz w:val="20"/>
                <w:szCs w:val="20"/>
              </w:rPr>
              <w:t>Boston, MA and Cologne, Germany</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16ECF23F"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1B162272"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B3434CC" w14:textId="77777777" w:rsidR="002D58E4" w:rsidRDefault="00F721D4">
            <w:pPr>
              <w:rPr>
                <w:sz w:val="20"/>
                <w:szCs w:val="20"/>
              </w:rPr>
            </w:pPr>
            <w:r>
              <w:rPr>
                <w:sz w:val="20"/>
                <w:szCs w:val="20"/>
              </w:rPr>
              <w:t xml:space="preserve">37 U.S. patients were evaluated for early or late neurologic abnormalities. 13 patients had early Lyme neuroborreliosis, defined as neurologic symptoms occurring within weeks or months of illness accompanied by a positive antibody response to </w:t>
            </w:r>
            <w:r>
              <w:rPr>
                <w:i/>
                <w:sz w:val="20"/>
                <w:szCs w:val="20"/>
              </w:rPr>
              <w:t>B. burgdorferi</w:t>
            </w:r>
            <w:r>
              <w:rPr>
                <w:sz w:val="20"/>
                <w:szCs w:val="20"/>
              </w:rPr>
              <w:t xml:space="preserve"> in serum or cerebrospinal fluid (CSF). These patients had meningitis, sometimes accompanied by cranial or peripheral neuropathy. </w:t>
            </w:r>
          </w:p>
          <w:p w14:paraId="5CDA5797" w14:textId="77777777" w:rsidR="002D58E4" w:rsidRDefault="002D58E4">
            <w:pPr>
              <w:rPr>
                <w:sz w:val="20"/>
                <w:szCs w:val="20"/>
              </w:rPr>
            </w:pPr>
          </w:p>
          <w:p w14:paraId="3F5F21C2" w14:textId="77777777" w:rsidR="002D58E4" w:rsidRDefault="00F721D4">
            <w:pPr>
              <w:rPr>
                <w:sz w:val="20"/>
                <w:szCs w:val="20"/>
              </w:rPr>
            </w:pPr>
            <w:r>
              <w:rPr>
                <w:sz w:val="20"/>
                <w:szCs w:val="20"/>
              </w:rPr>
              <w:t xml:space="preserve">18 U.S. patients had symptoms suggestive of late neuroborreliosis, defined as neurologic symptoms occurring ≥1 year after disease onset accompanied by a positive antibody response to </w:t>
            </w:r>
            <w:r>
              <w:rPr>
                <w:i/>
                <w:sz w:val="20"/>
                <w:szCs w:val="20"/>
              </w:rPr>
              <w:t>B. burgdorferi</w:t>
            </w:r>
            <w:r>
              <w:rPr>
                <w:sz w:val="20"/>
                <w:szCs w:val="20"/>
              </w:rPr>
              <w:t xml:space="preserve"> in serum or CSF. Of these, 12 had central nervous system (CNS) syndromes with subtle cognitive impairment, headache, seizures, unilateral hearing loss, or somnolence; 6 of them also had peripheral nervous system abnormalities.</w:t>
            </w:r>
          </w:p>
          <w:p w14:paraId="3F9EEA84" w14:textId="77777777" w:rsidR="002D58E4" w:rsidRDefault="002D58E4">
            <w:pPr>
              <w:rPr>
                <w:sz w:val="20"/>
                <w:szCs w:val="20"/>
              </w:rPr>
            </w:pPr>
          </w:p>
          <w:p w14:paraId="4E979807" w14:textId="77777777" w:rsidR="002D58E4" w:rsidRDefault="00F721D4">
            <w:pPr>
              <w:rPr>
                <w:sz w:val="20"/>
                <w:szCs w:val="20"/>
              </w:rPr>
            </w:pPr>
            <w:r>
              <w:rPr>
                <w:sz w:val="20"/>
                <w:szCs w:val="20"/>
              </w:rPr>
              <w:t xml:space="preserve">Serum and CSF samples were also collected from 30 West German patients with early (N=20) or late (N=10) neuroborreliosis. </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8B028B9" w14:textId="77777777" w:rsidR="002D58E4" w:rsidRDefault="00F721D4">
            <w:pPr>
              <w:rPr>
                <w:sz w:val="20"/>
                <w:szCs w:val="20"/>
              </w:rPr>
            </w:pPr>
            <w:r>
              <w:rPr>
                <w:sz w:val="20"/>
                <w:szCs w:val="20"/>
              </w:rPr>
              <w:t>Routine laboratory determinations done on blood and CSF included white blood cell count, total protein, glucose, albumin, and total IgG. From these data, the CSF IgG index was calculated according to the following formula: (CSF IgG x serum albumin)/(CSF albumin x serum IgG).</w:t>
            </w:r>
          </w:p>
          <w:p w14:paraId="0917156E" w14:textId="77777777" w:rsidR="002D58E4" w:rsidRDefault="002D58E4">
            <w:pPr>
              <w:rPr>
                <w:sz w:val="20"/>
                <w:szCs w:val="20"/>
              </w:rPr>
            </w:pPr>
          </w:p>
          <w:p w14:paraId="559DD6BB" w14:textId="77777777" w:rsidR="002D58E4" w:rsidRDefault="00F721D4">
            <w:pPr>
              <w:numPr>
                <w:ilvl w:val="0"/>
                <w:numId w:val="15"/>
              </w:numPr>
              <w:rPr>
                <w:sz w:val="20"/>
                <w:szCs w:val="20"/>
              </w:rPr>
            </w:pPr>
            <w:r>
              <w:rPr>
                <w:sz w:val="20"/>
                <w:szCs w:val="20"/>
              </w:rPr>
              <w:t>92% of patients from the U.S. with Lyme meningitis were found to have intrathecal antibody production</w:t>
            </w:r>
            <w:r>
              <w:t xml:space="preserve"> by </w:t>
            </w:r>
            <w:r>
              <w:rPr>
                <w:sz w:val="20"/>
                <w:szCs w:val="20"/>
              </w:rPr>
              <w:t>Antibody capture EIA</w:t>
            </w:r>
          </w:p>
          <w:p w14:paraId="23439F7F" w14:textId="77777777" w:rsidR="002D58E4" w:rsidRDefault="00F721D4">
            <w:pPr>
              <w:numPr>
                <w:ilvl w:val="0"/>
                <w:numId w:val="15"/>
              </w:numPr>
              <w:rPr>
                <w:sz w:val="20"/>
                <w:szCs w:val="20"/>
              </w:rPr>
            </w:pPr>
            <w:r>
              <w:rPr>
                <w:sz w:val="20"/>
                <w:szCs w:val="20"/>
              </w:rPr>
              <w:t xml:space="preserve"> 42% of patients with late central nervous system manifestations of Lyme disease had local production of IgG or IgA spirochetal antibody</w:t>
            </w:r>
          </w:p>
          <w:p w14:paraId="744AA3A0" w14:textId="77777777" w:rsidR="002D58E4" w:rsidRDefault="00F721D4">
            <w:pPr>
              <w:numPr>
                <w:ilvl w:val="0"/>
                <w:numId w:val="15"/>
              </w:numPr>
              <w:rPr>
                <w:sz w:val="20"/>
                <w:szCs w:val="20"/>
              </w:rPr>
            </w:pPr>
            <w:r>
              <w:rPr>
                <w:sz w:val="20"/>
                <w:szCs w:val="20"/>
              </w:rPr>
              <w:t>CSF abnormalities could not be demonstrated in 6 patients with late peripheral nervous system manifestations.</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E741ED1" w14:textId="77777777" w:rsidR="002D58E4" w:rsidRDefault="00F721D4">
            <w:pPr>
              <w:rPr>
                <w:sz w:val="20"/>
                <w:szCs w:val="20"/>
              </w:rPr>
            </w:pPr>
            <w:r>
              <w:rPr>
                <w:sz w:val="20"/>
                <w:szCs w:val="20"/>
              </w:rPr>
              <w:t xml:space="preserve">30 European patients with neuroborreliosis had significantly higher CSF serum antibody ratios in both early and late disease stages. </w:t>
            </w:r>
          </w:p>
          <w:p w14:paraId="77CF3521" w14:textId="77777777" w:rsidR="002D58E4" w:rsidRDefault="002D58E4">
            <w:pPr>
              <w:rPr>
                <w:sz w:val="20"/>
                <w:szCs w:val="20"/>
              </w:rPr>
            </w:pPr>
          </w:p>
          <w:p w14:paraId="633620E8" w14:textId="77777777" w:rsidR="002D58E4" w:rsidRDefault="00F721D4">
            <w:pPr>
              <w:rPr>
                <w:sz w:val="20"/>
                <w:szCs w:val="20"/>
              </w:rPr>
            </w:pPr>
            <w:r>
              <w:rPr>
                <w:sz w:val="20"/>
                <w:szCs w:val="20"/>
              </w:rPr>
              <w:t>The authors concluded that intrathecal antibody determinations are the most specific diagnostic test currently available for Lyme neuroborreliosis, but local antibody production in CSF is an inconsistent finding in American patients with late neurologic manifestations.</w:t>
            </w:r>
          </w:p>
        </w:tc>
      </w:tr>
      <w:tr w:rsidR="002D58E4" w14:paraId="75BFFF66"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AA2DDE5" w14:textId="77777777" w:rsidR="002D58E4" w:rsidRDefault="00F721D4">
            <w:pPr>
              <w:rPr>
                <w:sz w:val="20"/>
                <w:szCs w:val="20"/>
              </w:rPr>
            </w:pPr>
            <w:r>
              <w:rPr>
                <w:sz w:val="20"/>
                <w:szCs w:val="20"/>
              </w:rPr>
              <w:t>Halperin, et al., 1991</w:t>
            </w:r>
          </w:p>
          <w:p w14:paraId="65277BF9" w14:textId="77777777" w:rsidR="002D58E4" w:rsidRDefault="002D58E4">
            <w:pPr>
              <w:rPr>
                <w:sz w:val="20"/>
                <w:szCs w:val="20"/>
              </w:rPr>
            </w:pPr>
          </w:p>
          <w:p w14:paraId="36CBDADF" w14:textId="77777777" w:rsidR="002D58E4" w:rsidRDefault="00F721D4">
            <w:pPr>
              <w:rPr>
                <w:sz w:val="20"/>
                <w:szCs w:val="20"/>
              </w:rPr>
            </w:pPr>
            <w:r>
              <w:rPr>
                <w:sz w:val="20"/>
                <w:szCs w:val="20"/>
              </w:rPr>
              <w:t>Stony Brook, NY</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45986791"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02C9F541"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18D26E58" w14:textId="77777777" w:rsidR="002D58E4" w:rsidRDefault="00F721D4">
            <w:pPr>
              <w:spacing w:after="120"/>
              <w:rPr>
                <w:sz w:val="20"/>
                <w:szCs w:val="20"/>
              </w:rPr>
            </w:pPr>
            <w:r>
              <w:rPr>
                <w:sz w:val="20"/>
                <w:szCs w:val="20"/>
              </w:rPr>
              <w:t xml:space="preserve">103 Lyme patients from hyper-endemic areas in the northeast United States with clinical evidence of central nervous system (CNS) dysfunction and definite immunologic evidence of exposure to </w:t>
            </w:r>
            <w:r>
              <w:rPr>
                <w:i/>
                <w:sz w:val="20"/>
                <w:szCs w:val="20"/>
              </w:rPr>
              <w:t>B. burgdorferi</w:t>
            </w:r>
            <w:r>
              <w:rPr>
                <w:sz w:val="20"/>
                <w:szCs w:val="20"/>
              </w:rPr>
              <w:t xml:space="preserve"> (based on presence of antibody in serum or CSF, or peripheral blood T-cell responsiveness to </w:t>
            </w:r>
            <w:r>
              <w:rPr>
                <w:i/>
                <w:sz w:val="20"/>
                <w:szCs w:val="20"/>
              </w:rPr>
              <w:t>B. burgdorferi</w:t>
            </w:r>
            <w:r>
              <w:rPr>
                <w:sz w:val="20"/>
                <w:szCs w:val="20"/>
              </w:rPr>
              <w:t xml:space="preserve">). Patients presented with the following CNS abnormalities: Meningitis (N= 15, mean age: 37.2, 93% seropositive); Encephalitis (N= 35, mean age: 42.3, 69% seropositive); Multiple Sclerosis (MS) (N= 12, mean age: 41, 50% seropositive); Encephalopathy (N= 41, mean age: 43.7, 80% seropositive). </w:t>
            </w:r>
          </w:p>
          <w:p w14:paraId="5BDFF47F" w14:textId="77777777" w:rsidR="002D58E4" w:rsidRDefault="00F721D4">
            <w:pPr>
              <w:spacing w:after="120"/>
              <w:rPr>
                <w:sz w:val="20"/>
                <w:szCs w:val="20"/>
              </w:rPr>
            </w:pPr>
            <w:r>
              <w:rPr>
                <w:sz w:val="20"/>
                <w:szCs w:val="20"/>
              </w:rPr>
              <w:t>Samples were also taken from 73 non-Lyme controls, including 21 patients with relapsing-remitting MS and 52 with other disorders, including intracranial tumors, CNS lupus, cerebral sarcoidosis, spinal stenosis, inflammatory demyelinating polyneuropathies, and headaches.</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9B38467" w14:textId="77777777" w:rsidR="002D58E4" w:rsidRDefault="00F721D4">
            <w:pPr>
              <w:rPr>
                <w:sz w:val="20"/>
                <w:szCs w:val="20"/>
              </w:rPr>
            </w:pPr>
            <w:r>
              <w:rPr>
                <w:sz w:val="20"/>
                <w:szCs w:val="20"/>
              </w:rPr>
              <w:t>Out of 94 paired serum-CSF specimens, “Lyme antibody index was less than 1.0 in 63, between 1.0 and 6.0 (the usual diagnostic range) in 26, and above 6.0 in five.”</w:t>
            </w:r>
          </w:p>
          <w:p w14:paraId="36EB3C35" w14:textId="77777777" w:rsidR="002D58E4" w:rsidRDefault="002D58E4">
            <w:pPr>
              <w:rPr>
                <w:sz w:val="20"/>
                <w:szCs w:val="20"/>
              </w:rPr>
            </w:pPr>
          </w:p>
          <w:p w14:paraId="7971A075" w14:textId="77777777" w:rsidR="002D58E4" w:rsidRDefault="00F721D4">
            <w:pPr>
              <w:rPr>
                <w:sz w:val="20"/>
                <w:szCs w:val="20"/>
              </w:rPr>
            </w:pPr>
            <w:r>
              <w:rPr>
                <w:sz w:val="20"/>
                <w:szCs w:val="20"/>
              </w:rPr>
              <w:t xml:space="preserve">“…using a cutoff value of 1.3, the sensitivity of the method is 53%, the specificity 100%, and the overall accuracy 87%.” </w:t>
            </w:r>
          </w:p>
          <w:p w14:paraId="1725953A" w14:textId="77777777" w:rsidR="002D58E4" w:rsidRDefault="002D58E4">
            <w:pPr>
              <w:rPr>
                <w:sz w:val="20"/>
                <w:szCs w:val="20"/>
              </w:rPr>
            </w:pPr>
          </w:p>
          <w:p w14:paraId="17DA9B21" w14:textId="77777777" w:rsidR="002D58E4" w:rsidRDefault="00F721D4">
            <w:pPr>
              <w:rPr>
                <w:sz w:val="20"/>
                <w:szCs w:val="20"/>
              </w:rPr>
            </w:pPr>
            <w:r>
              <w:rPr>
                <w:sz w:val="20"/>
                <w:szCs w:val="20"/>
              </w:rPr>
              <w:t>“If, instead, a negative cutoff of 0.9 is used, the sensitivity improves to 87%, the specificity decreases only to 93%, and the overall accuracy improves slightly to 91%.”</w:t>
            </w:r>
          </w:p>
          <w:p w14:paraId="387DF849" w14:textId="77777777" w:rsidR="002D58E4" w:rsidRDefault="002D58E4">
            <w:pPr>
              <w:rPr>
                <w:sz w:val="20"/>
                <w:szCs w:val="20"/>
              </w:rPr>
            </w:pPr>
          </w:p>
          <w:p w14:paraId="53AAE44E" w14:textId="77777777" w:rsidR="002D58E4" w:rsidRDefault="00F721D4">
            <w:pPr>
              <w:rPr>
                <w:sz w:val="20"/>
                <w:szCs w:val="20"/>
              </w:rPr>
            </w:pPr>
            <w:r>
              <w:rPr>
                <w:sz w:val="20"/>
                <w:szCs w:val="20"/>
              </w:rPr>
              <w:t>“Since this lower cutoff improves overall accuracy and sensitivity, with a minimal loss of specificity, we have adopted this value as indicative of CNS infection, recognizing that occasionally CNS infection may be over-diagnosed in patients with indices in the range 0.9 to 1.3.”</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E0571BB" w14:textId="77777777" w:rsidR="002D58E4" w:rsidRDefault="00F721D4">
            <w:pPr>
              <w:rPr>
                <w:sz w:val="20"/>
                <w:szCs w:val="20"/>
              </w:rPr>
            </w:pPr>
            <w:r>
              <w:rPr>
                <w:sz w:val="20"/>
                <w:szCs w:val="20"/>
              </w:rPr>
              <w:t xml:space="preserve">“Application of this method permits the identification of a rare </w:t>
            </w:r>
            <w:r>
              <w:rPr>
                <w:i/>
                <w:sz w:val="20"/>
                <w:szCs w:val="20"/>
              </w:rPr>
              <w:t>B burgdorferi</w:t>
            </w:r>
            <w:r>
              <w:rPr>
                <w:sz w:val="20"/>
                <w:szCs w:val="20"/>
              </w:rPr>
              <w:t>-associated multifocal encephalitis (brain infection) and its differentiation from a milder encephalopathy, or confusional state; the latter may not require CNS bacterial invasion. The encephalitis involves white matter more often than gray; severity varies widely. Of six patients with this antibiotic-responsive encephalitis, five were positive for HLA DQw3(DQw7).”</w:t>
            </w:r>
          </w:p>
          <w:p w14:paraId="11E8F445" w14:textId="77777777" w:rsidR="002D58E4" w:rsidRDefault="002D58E4">
            <w:pPr>
              <w:rPr>
                <w:sz w:val="20"/>
                <w:szCs w:val="20"/>
              </w:rPr>
            </w:pPr>
          </w:p>
          <w:p w14:paraId="30EFACAC" w14:textId="77777777" w:rsidR="002D58E4" w:rsidRDefault="00F721D4">
            <w:pPr>
              <w:rPr>
                <w:sz w:val="20"/>
                <w:szCs w:val="20"/>
              </w:rPr>
            </w:pPr>
            <w:r>
              <w:rPr>
                <w:sz w:val="20"/>
                <w:szCs w:val="20"/>
              </w:rPr>
              <w:t>The authors “conclude that (1) measurement of intrathecal antibody production is a reliable indicator of CNS infection, (2) North American neuroborreliosis includes the same spectrum of neurologic dysfunction as described in Europe, and (3) HLA typing may be useful in furthering our understanding of severe CNS involvement.”</w:t>
            </w:r>
          </w:p>
        </w:tc>
      </w:tr>
      <w:tr w:rsidR="002D58E4" w14:paraId="5ED25F68"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1B5DFBE" w14:textId="77777777" w:rsidR="002D58E4" w:rsidRDefault="00F721D4">
            <w:pPr>
              <w:rPr>
                <w:sz w:val="20"/>
                <w:szCs w:val="20"/>
              </w:rPr>
            </w:pPr>
            <w:r>
              <w:rPr>
                <w:sz w:val="20"/>
                <w:szCs w:val="20"/>
              </w:rPr>
              <w:t>Tumani, et al., 1995</w:t>
            </w:r>
          </w:p>
          <w:p w14:paraId="19556740" w14:textId="77777777" w:rsidR="002D58E4" w:rsidRDefault="002D58E4">
            <w:pPr>
              <w:rPr>
                <w:sz w:val="20"/>
                <w:szCs w:val="20"/>
              </w:rPr>
            </w:pPr>
          </w:p>
          <w:p w14:paraId="7C66B2F3" w14:textId="77777777" w:rsidR="002D58E4" w:rsidRDefault="00F721D4">
            <w:pPr>
              <w:rPr>
                <w:sz w:val="20"/>
                <w:szCs w:val="20"/>
              </w:rPr>
            </w:pPr>
            <w:r>
              <w:rPr>
                <w:sz w:val="20"/>
                <w:szCs w:val="20"/>
              </w:rPr>
              <w:t>Göttingen, Germany</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0AEC1708"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1E3C4009"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0871609B" w14:textId="77777777" w:rsidR="002D58E4" w:rsidRDefault="00F721D4">
            <w:pPr>
              <w:spacing w:after="120"/>
              <w:rPr>
                <w:sz w:val="20"/>
                <w:szCs w:val="20"/>
              </w:rPr>
            </w:pPr>
            <w:r>
              <w:rPr>
                <w:sz w:val="20"/>
                <w:szCs w:val="20"/>
              </w:rPr>
              <w:t>24 patients with acute neuroborreliosis were included. Presentations included peripheral facial nerve paresis, myalgia, radiculopathy, headache, back pain, fatigue, abducens nerve paresis, and polyneuroradiculitis. 25% of patients with neuroborreliosis recalled a tick bite.</w:t>
            </w:r>
          </w:p>
          <w:p w14:paraId="0093CACB" w14:textId="77777777" w:rsidR="002D58E4" w:rsidRDefault="00F721D4">
            <w:pPr>
              <w:spacing w:after="120"/>
              <w:rPr>
                <w:sz w:val="20"/>
                <w:szCs w:val="20"/>
              </w:rPr>
            </w:pPr>
            <w:r>
              <w:rPr>
                <w:sz w:val="20"/>
                <w:szCs w:val="20"/>
              </w:rPr>
              <w:t>45 “disease controls” (relevant differential diagnosis of neuroborreliosis), consisting of patients with bacterial (N=4) and viral (N=4) infections of the central nervous system, multiple sclerosis (N=71), idiopathic facial nerve paresis (N=81), nucleus pulposus prolapse (N=4), neurosyphilis, diabetic or virus-induced radiculopathy, tuberculous meningitis, and polyneuropathy of various etiologies were included.</w:t>
            </w:r>
          </w:p>
          <w:p w14:paraId="40D76EDD" w14:textId="77777777" w:rsidR="002D58E4" w:rsidRDefault="00F721D4">
            <w:pPr>
              <w:rPr>
                <w:sz w:val="20"/>
                <w:szCs w:val="20"/>
              </w:rPr>
            </w:pPr>
            <w:r>
              <w:rPr>
                <w:sz w:val="20"/>
                <w:szCs w:val="20"/>
              </w:rPr>
              <w:t>28 “normal controls” (patients without inflammatory signs in the cerebrospinal fluid [CSF] and with intact blood-CSF barrier function) were also analyzed.</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3C4F911" w14:textId="77777777" w:rsidR="002D58E4" w:rsidRDefault="00F721D4">
            <w:pPr>
              <w:rPr>
                <w:sz w:val="20"/>
                <w:szCs w:val="20"/>
              </w:rPr>
            </w:pPr>
            <w:r>
              <w:rPr>
                <w:sz w:val="20"/>
                <w:szCs w:val="20"/>
              </w:rPr>
              <w:t xml:space="preserve">CSF and serum samples were analyzed for presence of antibodies against </w:t>
            </w:r>
            <w:r>
              <w:rPr>
                <w:i/>
                <w:sz w:val="20"/>
                <w:szCs w:val="20"/>
              </w:rPr>
              <w:t xml:space="preserve">B. burgdorferi </w:t>
            </w:r>
            <w:r>
              <w:rPr>
                <w:sz w:val="20"/>
                <w:szCs w:val="20"/>
              </w:rPr>
              <w:t xml:space="preserve">by a modified ELISA. The antibody concentration ratio, or antibody index (AI) was calculated as (Concentration of antibody CSF/Concentration of antibody serum). </w:t>
            </w:r>
          </w:p>
          <w:p w14:paraId="5693CBE1" w14:textId="77777777" w:rsidR="002D58E4" w:rsidRDefault="002D58E4">
            <w:pPr>
              <w:rPr>
                <w:sz w:val="20"/>
                <w:szCs w:val="20"/>
              </w:rPr>
            </w:pPr>
          </w:p>
          <w:p w14:paraId="7F01543F" w14:textId="77777777" w:rsidR="002D58E4" w:rsidRDefault="00F721D4">
            <w:pPr>
              <w:rPr>
                <w:sz w:val="20"/>
                <w:szCs w:val="20"/>
                <w:u w:val="single"/>
              </w:rPr>
            </w:pPr>
            <w:r>
              <w:rPr>
                <w:sz w:val="20"/>
                <w:szCs w:val="20"/>
                <w:u w:val="single"/>
              </w:rPr>
              <w:t xml:space="preserve">IgM antibody index (pathologic value &gt; 1.4): </w:t>
            </w:r>
          </w:p>
          <w:p w14:paraId="7109E919" w14:textId="77777777" w:rsidR="002D58E4" w:rsidRDefault="00F721D4">
            <w:pPr>
              <w:numPr>
                <w:ilvl w:val="0"/>
                <w:numId w:val="16"/>
              </w:numPr>
              <w:rPr>
                <w:sz w:val="20"/>
                <w:szCs w:val="20"/>
              </w:rPr>
            </w:pPr>
            <w:r>
              <w:rPr>
                <w:sz w:val="20"/>
                <w:szCs w:val="20"/>
              </w:rPr>
              <w:t>Sensitivity: 79%</w:t>
            </w:r>
          </w:p>
          <w:p w14:paraId="244059CC" w14:textId="77777777" w:rsidR="002D58E4" w:rsidRDefault="00F721D4">
            <w:pPr>
              <w:numPr>
                <w:ilvl w:val="0"/>
                <w:numId w:val="16"/>
              </w:numPr>
              <w:rPr>
                <w:sz w:val="20"/>
                <w:szCs w:val="20"/>
              </w:rPr>
            </w:pPr>
            <w:r>
              <w:rPr>
                <w:sz w:val="20"/>
                <w:szCs w:val="20"/>
              </w:rPr>
              <w:t>Specificity: 96%</w:t>
            </w:r>
          </w:p>
          <w:p w14:paraId="53C1A85F" w14:textId="77777777" w:rsidR="002D58E4" w:rsidRDefault="002D58E4">
            <w:pPr>
              <w:rPr>
                <w:sz w:val="20"/>
                <w:szCs w:val="20"/>
              </w:rPr>
            </w:pPr>
          </w:p>
          <w:p w14:paraId="4765265E" w14:textId="77777777" w:rsidR="002D58E4" w:rsidRDefault="00F721D4">
            <w:pPr>
              <w:rPr>
                <w:sz w:val="20"/>
                <w:szCs w:val="20"/>
                <w:u w:val="single"/>
              </w:rPr>
            </w:pPr>
            <w:r>
              <w:rPr>
                <w:sz w:val="20"/>
                <w:szCs w:val="20"/>
                <w:u w:val="single"/>
              </w:rPr>
              <w:t xml:space="preserve">IgG antibody index (pathologic value &gt; 1.4): </w:t>
            </w:r>
          </w:p>
          <w:p w14:paraId="0E7DC688" w14:textId="77777777" w:rsidR="002D58E4" w:rsidRDefault="00F721D4">
            <w:pPr>
              <w:numPr>
                <w:ilvl w:val="0"/>
                <w:numId w:val="16"/>
              </w:numPr>
              <w:rPr>
                <w:sz w:val="20"/>
                <w:szCs w:val="20"/>
              </w:rPr>
            </w:pPr>
            <w:r>
              <w:rPr>
                <w:sz w:val="20"/>
                <w:szCs w:val="20"/>
              </w:rPr>
              <w:t>Sensitivity: 63%</w:t>
            </w:r>
          </w:p>
          <w:p w14:paraId="0A3615D8" w14:textId="77777777" w:rsidR="002D58E4" w:rsidRDefault="00F721D4">
            <w:pPr>
              <w:numPr>
                <w:ilvl w:val="0"/>
                <w:numId w:val="16"/>
              </w:numPr>
              <w:rPr>
                <w:sz w:val="20"/>
                <w:szCs w:val="20"/>
              </w:rPr>
            </w:pPr>
            <w:r>
              <w:rPr>
                <w:sz w:val="20"/>
                <w:szCs w:val="20"/>
              </w:rPr>
              <w:t>Specificity: 89%</w:t>
            </w:r>
          </w:p>
          <w:p w14:paraId="57F0A90E" w14:textId="77777777" w:rsidR="002D58E4" w:rsidRDefault="002D58E4">
            <w:pPr>
              <w:rPr>
                <w:sz w:val="20"/>
                <w:szCs w:val="20"/>
              </w:rPr>
            </w:pPr>
          </w:p>
          <w:p w14:paraId="469250A8" w14:textId="77777777" w:rsidR="002D58E4" w:rsidRDefault="00F721D4">
            <w:pPr>
              <w:rPr>
                <w:sz w:val="20"/>
                <w:szCs w:val="20"/>
                <w:u w:val="single"/>
              </w:rPr>
            </w:pPr>
            <w:r>
              <w:rPr>
                <w:sz w:val="20"/>
                <w:szCs w:val="20"/>
                <w:u w:val="single"/>
              </w:rPr>
              <w:t>Both antibody Index and CSF diagnostic markers:</w:t>
            </w:r>
          </w:p>
          <w:p w14:paraId="762D1D50" w14:textId="77777777" w:rsidR="002D58E4" w:rsidRDefault="00F721D4">
            <w:pPr>
              <w:numPr>
                <w:ilvl w:val="0"/>
                <w:numId w:val="16"/>
              </w:numPr>
              <w:rPr>
                <w:sz w:val="20"/>
                <w:szCs w:val="20"/>
              </w:rPr>
            </w:pPr>
            <w:r>
              <w:rPr>
                <w:sz w:val="20"/>
                <w:szCs w:val="20"/>
              </w:rPr>
              <w:t>Sensitivity: 80%</w:t>
            </w:r>
          </w:p>
          <w:p w14:paraId="3BCA6F90" w14:textId="77777777" w:rsidR="002D58E4" w:rsidRDefault="00F721D4">
            <w:pPr>
              <w:numPr>
                <w:ilvl w:val="0"/>
                <w:numId w:val="16"/>
              </w:numPr>
              <w:rPr>
                <w:sz w:val="20"/>
                <w:szCs w:val="20"/>
              </w:rPr>
            </w:pPr>
            <w:r>
              <w:rPr>
                <w:sz w:val="20"/>
                <w:szCs w:val="20"/>
              </w:rPr>
              <w:t>Specificity: 98%</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026B78F" w14:textId="77777777" w:rsidR="002D58E4" w:rsidRDefault="00F721D4">
            <w:pPr>
              <w:rPr>
                <w:sz w:val="20"/>
                <w:szCs w:val="20"/>
              </w:rPr>
            </w:pPr>
            <w:r>
              <w:rPr>
                <w:sz w:val="20"/>
                <w:szCs w:val="20"/>
              </w:rPr>
              <w:t>“Combined evidence of an elevated CSF cell count, IgM-class dominance in both the cellular and intrathecal humoral immune response, and blood-CSF barrier dysfunction yielded 70% diagnostic sensitivity and 98% diagnostic specificity for detection of neuroborreliosis.”</w:t>
            </w:r>
          </w:p>
          <w:p w14:paraId="485CD765" w14:textId="77777777" w:rsidR="002D58E4" w:rsidRDefault="002D58E4">
            <w:pPr>
              <w:rPr>
                <w:sz w:val="20"/>
                <w:szCs w:val="20"/>
              </w:rPr>
            </w:pPr>
          </w:p>
          <w:p w14:paraId="2CC00D7E" w14:textId="77777777" w:rsidR="002D58E4" w:rsidRDefault="00F721D4">
            <w:pPr>
              <w:rPr>
                <w:sz w:val="20"/>
                <w:szCs w:val="20"/>
              </w:rPr>
            </w:pPr>
            <w:r>
              <w:rPr>
                <w:sz w:val="20"/>
                <w:szCs w:val="20"/>
              </w:rPr>
              <w:t xml:space="preserve">The authors concluded, after analysis of CSF variables over a disease course, that acute versus past disease could be discriminated by a combination of basic CSF variables and </w:t>
            </w:r>
            <w:r>
              <w:rPr>
                <w:i/>
                <w:sz w:val="20"/>
                <w:szCs w:val="20"/>
              </w:rPr>
              <w:t>B. burgdorferi</w:t>
            </w:r>
            <w:r>
              <w:rPr>
                <w:sz w:val="20"/>
                <w:szCs w:val="20"/>
              </w:rPr>
              <w:t xml:space="preserve"> antibody index. </w:t>
            </w:r>
          </w:p>
        </w:tc>
      </w:tr>
      <w:tr w:rsidR="002D58E4" w14:paraId="18E51C05"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7A3014E" w14:textId="77777777" w:rsidR="002D58E4" w:rsidRPr="002914A2" w:rsidRDefault="00F721D4">
            <w:pPr>
              <w:rPr>
                <w:sz w:val="20"/>
                <w:szCs w:val="20"/>
                <w:lang w:val="fr-CA"/>
              </w:rPr>
            </w:pPr>
            <w:r w:rsidRPr="002914A2">
              <w:rPr>
                <w:sz w:val="20"/>
                <w:szCs w:val="20"/>
                <w:lang w:val="fr-CA"/>
              </w:rPr>
              <w:t>Maraspin, et al., 2002</w:t>
            </w:r>
          </w:p>
          <w:p w14:paraId="5375F616" w14:textId="77777777" w:rsidR="002D58E4" w:rsidRPr="002914A2" w:rsidRDefault="002D58E4">
            <w:pPr>
              <w:rPr>
                <w:sz w:val="20"/>
                <w:szCs w:val="20"/>
                <w:lang w:val="fr-CA"/>
              </w:rPr>
            </w:pPr>
          </w:p>
          <w:p w14:paraId="6F6E8148" w14:textId="77777777" w:rsidR="002D58E4" w:rsidRPr="002914A2" w:rsidRDefault="00F721D4">
            <w:pPr>
              <w:rPr>
                <w:sz w:val="20"/>
                <w:szCs w:val="20"/>
                <w:lang w:val="fr-CA"/>
              </w:rPr>
            </w:pPr>
            <w:r w:rsidRPr="002914A2">
              <w:rPr>
                <w:sz w:val="20"/>
                <w:szCs w:val="20"/>
                <w:lang w:val="fr-CA"/>
              </w:rPr>
              <w:t>Ljubljana, Slovenia</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7D629872"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4A7F3FD4"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0EC08FF2" w14:textId="77777777" w:rsidR="002D58E4" w:rsidRDefault="00F721D4">
            <w:pPr>
              <w:spacing w:after="120"/>
              <w:rPr>
                <w:sz w:val="20"/>
                <w:szCs w:val="20"/>
              </w:rPr>
            </w:pPr>
            <w:r>
              <w:rPr>
                <w:sz w:val="20"/>
                <w:szCs w:val="20"/>
              </w:rPr>
              <w:t xml:space="preserve">200 adult patients with multiple erythema migrans </w:t>
            </w:r>
            <w:r>
              <w:t xml:space="preserve">  (</w:t>
            </w:r>
            <w:r>
              <w:rPr>
                <w:sz w:val="20"/>
                <w:szCs w:val="20"/>
              </w:rPr>
              <w:t xml:space="preserve">median number of lesions: 3, range: 2-60) who received lumbar puncture were assessed. </w:t>
            </w:r>
          </w:p>
          <w:p w14:paraId="0C5EE7EC" w14:textId="77777777" w:rsidR="002D58E4" w:rsidRDefault="00F721D4">
            <w:pPr>
              <w:spacing w:after="120"/>
              <w:rPr>
                <w:sz w:val="20"/>
                <w:szCs w:val="20"/>
              </w:rPr>
            </w:pPr>
            <w:r>
              <w:rPr>
                <w:sz w:val="20"/>
                <w:szCs w:val="20"/>
              </w:rPr>
              <w:t>Sixty-three (31.5%) patients had no associated symptoms. 137 (68.5%) patients (including two with arthritis, six with radicular pain, a patient with facial palsy, another patient with foot palsy and a patient with transitory diplopia) reported local and/or constitutional symptoms.</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FF3F445" w14:textId="77777777" w:rsidR="002D58E4" w:rsidRDefault="00F721D4">
            <w:pPr>
              <w:rPr>
                <w:sz w:val="20"/>
                <w:szCs w:val="20"/>
              </w:rPr>
            </w:pPr>
            <w:r>
              <w:rPr>
                <w:sz w:val="20"/>
                <w:szCs w:val="20"/>
              </w:rPr>
              <w:t xml:space="preserve">Patients had routine blood and cerebrospinal fluid (CSF) tests performed, and borrelial antibody titers in CSF and blood were determined In the majority of these patients. </w:t>
            </w:r>
          </w:p>
          <w:p w14:paraId="3CEEC300" w14:textId="77777777" w:rsidR="002D58E4" w:rsidRDefault="002D58E4">
            <w:pPr>
              <w:rPr>
                <w:sz w:val="20"/>
                <w:szCs w:val="20"/>
              </w:rPr>
            </w:pPr>
          </w:p>
          <w:p w14:paraId="2EBB98DD" w14:textId="77777777" w:rsidR="002D58E4" w:rsidRDefault="00F721D4">
            <w:pPr>
              <w:rPr>
                <w:sz w:val="20"/>
                <w:szCs w:val="20"/>
              </w:rPr>
            </w:pPr>
            <w:r>
              <w:rPr>
                <w:sz w:val="20"/>
                <w:szCs w:val="20"/>
              </w:rPr>
              <w:t xml:space="preserve">Skin, blood, and CSF specimens were cultured in MKP medium for the presence of </w:t>
            </w:r>
            <w:r>
              <w:rPr>
                <w:i/>
                <w:sz w:val="20"/>
                <w:szCs w:val="20"/>
              </w:rPr>
              <w:t>Borrelia</w:t>
            </w:r>
            <w:r>
              <w:rPr>
                <w:sz w:val="20"/>
                <w:szCs w:val="20"/>
              </w:rPr>
              <w:t>.</w:t>
            </w:r>
          </w:p>
          <w:p w14:paraId="6DE42329" w14:textId="77777777" w:rsidR="002D58E4" w:rsidRDefault="002D58E4">
            <w:pPr>
              <w:rPr>
                <w:sz w:val="20"/>
                <w:szCs w:val="20"/>
              </w:rPr>
            </w:pPr>
          </w:p>
          <w:p w14:paraId="6425C3AB" w14:textId="77777777" w:rsidR="002D58E4" w:rsidRDefault="00F721D4">
            <w:pPr>
              <w:rPr>
                <w:sz w:val="20"/>
                <w:szCs w:val="20"/>
              </w:rPr>
            </w:pPr>
            <w:r>
              <w:rPr>
                <w:sz w:val="20"/>
                <w:szCs w:val="20"/>
              </w:rPr>
              <w:t xml:space="preserve">Intrathecal borrelial antibody production was demonstrated in 8 (4%) patients (three of whom had elevated CSF cell counts) and </w:t>
            </w:r>
            <w:r>
              <w:rPr>
                <w:i/>
                <w:sz w:val="20"/>
                <w:szCs w:val="20"/>
              </w:rPr>
              <w:t>B. burgdorferi</w:t>
            </w:r>
            <w:r>
              <w:rPr>
                <w:sz w:val="20"/>
                <w:szCs w:val="20"/>
              </w:rPr>
              <w:t xml:space="preserve"> was isolated from skin lesions, blood, and CSF in 77 of 191 (40.3%), 3 of 154 (1.95%), and 2 of 200 (1%) patients, respectively.  </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7D066FE" w14:textId="77777777" w:rsidR="002D58E4" w:rsidRDefault="00F721D4">
            <w:pPr>
              <w:rPr>
                <w:sz w:val="20"/>
                <w:szCs w:val="20"/>
              </w:rPr>
            </w:pPr>
            <w:r>
              <w:rPr>
                <w:sz w:val="20"/>
                <w:szCs w:val="20"/>
              </w:rPr>
              <w:t xml:space="preserve">CSF examination revealed abnormal results in 62 of 200 (31%) patients: lymphocytic pleocytosis was found in 15 (7.5%) patients (six were clinically without systemic symptoms, six had mild systemic symptoms, and three reported radicular pains), and elevated CSF protein concentration was present in 52 (26%) patients (nine of whom also had elevated CSF cell counts). </w:t>
            </w:r>
          </w:p>
          <w:p w14:paraId="310BD905" w14:textId="77777777" w:rsidR="002D58E4" w:rsidRDefault="002D58E4">
            <w:pPr>
              <w:rPr>
                <w:sz w:val="20"/>
                <w:szCs w:val="20"/>
              </w:rPr>
            </w:pPr>
          </w:p>
          <w:p w14:paraId="2E9157E1" w14:textId="77777777" w:rsidR="002D58E4" w:rsidRDefault="00F721D4">
            <w:pPr>
              <w:rPr>
                <w:sz w:val="20"/>
                <w:szCs w:val="20"/>
              </w:rPr>
            </w:pPr>
            <w:r>
              <w:rPr>
                <w:sz w:val="20"/>
                <w:szCs w:val="20"/>
              </w:rPr>
              <w:t>The authors found that abnormal CSF findings were not rare in patients with multiple erythema migrans and may be present without clinical signs of central nervous system involvement.</w:t>
            </w:r>
          </w:p>
        </w:tc>
      </w:tr>
      <w:tr w:rsidR="002D58E4" w14:paraId="1C31261E"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870B805" w14:textId="77777777" w:rsidR="002D58E4" w:rsidRDefault="00F721D4">
            <w:pPr>
              <w:rPr>
                <w:sz w:val="20"/>
                <w:szCs w:val="20"/>
              </w:rPr>
            </w:pPr>
            <w:r>
              <w:rPr>
                <w:sz w:val="20"/>
                <w:szCs w:val="20"/>
              </w:rPr>
              <w:t>Pícha , et al., 2000</w:t>
            </w:r>
          </w:p>
          <w:p w14:paraId="0750673F" w14:textId="77777777" w:rsidR="002D58E4" w:rsidRDefault="002D58E4">
            <w:pPr>
              <w:rPr>
                <w:sz w:val="20"/>
                <w:szCs w:val="20"/>
              </w:rPr>
            </w:pPr>
          </w:p>
          <w:p w14:paraId="32957DAE" w14:textId="77777777" w:rsidR="002D58E4" w:rsidRDefault="00F721D4">
            <w:pPr>
              <w:rPr>
                <w:sz w:val="20"/>
                <w:szCs w:val="20"/>
              </w:rPr>
            </w:pPr>
            <w:r>
              <w:rPr>
                <w:sz w:val="20"/>
                <w:szCs w:val="20"/>
              </w:rPr>
              <w:t>Prague, Czech Republic</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2C0352FB" w14:textId="77777777" w:rsidR="002D58E4" w:rsidRDefault="00F721D4">
            <w:pPr>
              <w:rPr>
                <w:sz w:val="20"/>
                <w:szCs w:val="20"/>
              </w:rPr>
            </w:pPr>
            <w:r>
              <w:rPr>
                <w:sz w:val="20"/>
                <w:szCs w:val="20"/>
              </w:rPr>
              <w:t>Prospective cohort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169327B3"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2666C091" w14:textId="77777777" w:rsidR="002D58E4" w:rsidRDefault="00F721D4">
            <w:pPr>
              <w:spacing w:after="120"/>
              <w:rPr>
                <w:sz w:val="20"/>
                <w:szCs w:val="20"/>
              </w:rPr>
            </w:pPr>
            <w:r>
              <w:rPr>
                <w:sz w:val="20"/>
                <w:szCs w:val="20"/>
              </w:rPr>
              <w:t xml:space="preserve">88 patients with symptoms of neurological involvement and the presence of anti-borrelial IgM or IgG antibodies in the cerebrospinal fluid (CSF), as detected by enzyme immunoassay (EIA) were included. Diagnoses included acute meningoencephalitis, meningoradiculitis, encephaloradiculitis, radiculomyelitis, meningitis, and polyneuritis. </w:t>
            </w:r>
          </w:p>
          <w:p w14:paraId="4EF6398A" w14:textId="77777777" w:rsidR="002D58E4" w:rsidRDefault="00F721D4">
            <w:pPr>
              <w:rPr>
                <w:sz w:val="20"/>
                <w:szCs w:val="20"/>
              </w:rPr>
            </w:pPr>
            <w:r>
              <w:rPr>
                <w:sz w:val="20"/>
                <w:szCs w:val="20"/>
              </w:rPr>
              <w:t>Thirty-four patients had erythema migrans lesions, 21 were positive for neuroborreliosis by PCR, and 9 were positive by immune-electron microscopy using monoclonal antibodies.</w:t>
            </w:r>
          </w:p>
          <w:p w14:paraId="570A4C2E" w14:textId="77777777" w:rsidR="002D58E4" w:rsidRDefault="002D58E4">
            <w:pPr>
              <w:rPr>
                <w:sz w:val="20"/>
                <w:szCs w:val="20"/>
              </w:rPr>
            </w:pPr>
          </w:p>
          <w:p w14:paraId="411973E0" w14:textId="77777777" w:rsidR="002D58E4" w:rsidRDefault="00F721D4">
            <w:pPr>
              <w:rPr>
                <w:sz w:val="20"/>
                <w:szCs w:val="20"/>
              </w:rPr>
            </w:pPr>
            <w:r>
              <w:rPr>
                <w:sz w:val="20"/>
                <w:szCs w:val="20"/>
              </w:rPr>
              <w:t>In patients whose CSF and serum samples were IgG positive (N=74), the antibody index (AI) was calculated but the IgM AI was not.</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87F3930" w14:textId="77777777" w:rsidR="002D58E4" w:rsidRDefault="00F721D4">
            <w:pPr>
              <w:rPr>
                <w:sz w:val="20"/>
                <w:szCs w:val="20"/>
              </w:rPr>
            </w:pPr>
            <w:r>
              <w:rPr>
                <w:sz w:val="20"/>
                <w:szCs w:val="20"/>
              </w:rPr>
              <w:t>Antigen-nonspecific oligoclonal IgG (OIgG) was examined in all patients.</w:t>
            </w:r>
          </w:p>
          <w:p w14:paraId="13C18DA1" w14:textId="77777777" w:rsidR="002D58E4" w:rsidRDefault="002D58E4">
            <w:pPr>
              <w:rPr>
                <w:sz w:val="20"/>
                <w:szCs w:val="20"/>
              </w:rPr>
            </w:pPr>
          </w:p>
          <w:p w14:paraId="03630CE5" w14:textId="77777777" w:rsidR="002D58E4" w:rsidRDefault="00F721D4">
            <w:pPr>
              <w:rPr>
                <w:sz w:val="20"/>
                <w:szCs w:val="20"/>
              </w:rPr>
            </w:pPr>
            <w:r>
              <w:rPr>
                <w:sz w:val="20"/>
                <w:szCs w:val="20"/>
              </w:rPr>
              <w:t>The functional status of the blood-brain barrier was examined in all patients by establishing an albumin-globulin quotient. The antibody index was calculated according to the Reiber and Lange method: AI= (Concentration of IgG antibody CSF/IgG fraction in CSF originating only from blood); normal reference range= 0.7-1.3; antibody synthesis indicated by values ≥1.5.</w:t>
            </w:r>
          </w:p>
          <w:p w14:paraId="09F25189" w14:textId="77777777" w:rsidR="002D58E4" w:rsidRDefault="002D58E4">
            <w:pPr>
              <w:rPr>
                <w:sz w:val="20"/>
                <w:szCs w:val="20"/>
              </w:rPr>
            </w:pPr>
          </w:p>
          <w:p w14:paraId="302EABEB" w14:textId="77777777" w:rsidR="002D58E4" w:rsidRDefault="00F721D4">
            <w:pPr>
              <w:rPr>
                <w:sz w:val="20"/>
                <w:szCs w:val="20"/>
              </w:rPr>
            </w:pPr>
            <w:r>
              <w:rPr>
                <w:sz w:val="20"/>
                <w:szCs w:val="20"/>
                <w:u w:val="single"/>
              </w:rPr>
              <w:t>Antibody index (N=72):</w:t>
            </w:r>
            <w:r>
              <w:rPr>
                <w:sz w:val="20"/>
                <w:szCs w:val="20"/>
              </w:rPr>
              <w:t xml:space="preserve"> 54.1% positive</w:t>
            </w:r>
          </w:p>
          <w:p w14:paraId="0986243A" w14:textId="77777777" w:rsidR="002D58E4" w:rsidRDefault="002D58E4">
            <w:pPr>
              <w:rPr>
                <w:sz w:val="20"/>
                <w:szCs w:val="20"/>
              </w:rPr>
            </w:pPr>
          </w:p>
          <w:p w14:paraId="7A286DFA" w14:textId="77777777" w:rsidR="002D58E4" w:rsidRDefault="00F721D4">
            <w:pPr>
              <w:rPr>
                <w:sz w:val="20"/>
                <w:szCs w:val="20"/>
              </w:rPr>
            </w:pPr>
            <w:r>
              <w:rPr>
                <w:sz w:val="20"/>
                <w:szCs w:val="20"/>
              </w:rPr>
              <w:t xml:space="preserve">Antigen nonspecific OIgG was detected in 33 (44.6%) patients and </w:t>
            </w:r>
            <w:r>
              <w:rPr>
                <w:i/>
                <w:sz w:val="20"/>
                <w:szCs w:val="20"/>
              </w:rPr>
              <w:t>B. burgdorferi</w:t>
            </w:r>
            <w:r>
              <w:rPr>
                <w:sz w:val="20"/>
                <w:szCs w:val="20"/>
              </w:rPr>
              <w:t xml:space="preserve">-specific OIgG was found in 31 (41.9%). </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C1016C3" w14:textId="77777777" w:rsidR="002D58E4" w:rsidRDefault="00F721D4">
            <w:pPr>
              <w:rPr>
                <w:sz w:val="20"/>
                <w:szCs w:val="20"/>
              </w:rPr>
            </w:pPr>
            <w:r>
              <w:rPr>
                <w:sz w:val="20"/>
                <w:szCs w:val="20"/>
              </w:rPr>
              <w:t xml:space="preserve">The frequency of specific OIgG positivity increased from 32.1% in patients with meningoencephalitis to 46.6% and 58.3% in patients with encephaloradiculitis and meningoradiculitis, respectively. </w:t>
            </w:r>
          </w:p>
          <w:p w14:paraId="10463C4A" w14:textId="77777777" w:rsidR="002D58E4" w:rsidRDefault="002D58E4">
            <w:pPr>
              <w:rPr>
                <w:sz w:val="20"/>
                <w:szCs w:val="20"/>
              </w:rPr>
            </w:pPr>
          </w:p>
          <w:p w14:paraId="7183A9B0" w14:textId="77777777" w:rsidR="002D58E4" w:rsidRDefault="00F721D4">
            <w:pPr>
              <w:rPr>
                <w:sz w:val="20"/>
                <w:szCs w:val="20"/>
              </w:rPr>
            </w:pPr>
            <w:r>
              <w:rPr>
                <w:sz w:val="20"/>
                <w:szCs w:val="20"/>
              </w:rPr>
              <w:t xml:space="preserve">By using both the calculation of AI and the detection of specific OIgG, verification of the diagnosis of neuroborreliosis was possible in this study for more than 50% of patients with CSF positivity for anti-borrelial antibodies. </w:t>
            </w:r>
          </w:p>
          <w:p w14:paraId="6311B7BA" w14:textId="77777777" w:rsidR="002D58E4" w:rsidRDefault="002D58E4">
            <w:pPr>
              <w:rPr>
                <w:sz w:val="20"/>
                <w:szCs w:val="20"/>
              </w:rPr>
            </w:pPr>
          </w:p>
          <w:p w14:paraId="39C23EE6" w14:textId="77777777" w:rsidR="002D58E4" w:rsidRDefault="00F721D4">
            <w:pPr>
              <w:rPr>
                <w:sz w:val="20"/>
                <w:szCs w:val="20"/>
              </w:rPr>
            </w:pPr>
            <w:r>
              <w:rPr>
                <w:sz w:val="20"/>
                <w:szCs w:val="20"/>
              </w:rPr>
              <w:t>The authors concluded that calculation of antibody index is helpful in distinguishing non-spirochetal central nervous system inflammation from neuroborreliosis, particularly in regions with a high prevalence of seropositivity for anti-borrelial antibodies.</w:t>
            </w:r>
          </w:p>
          <w:p w14:paraId="6BF3DFB5" w14:textId="77777777" w:rsidR="002D58E4" w:rsidRDefault="002D58E4">
            <w:pPr>
              <w:rPr>
                <w:sz w:val="20"/>
                <w:szCs w:val="20"/>
              </w:rPr>
            </w:pPr>
          </w:p>
          <w:p w14:paraId="05DA2103" w14:textId="77777777" w:rsidR="002D58E4" w:rsidRDefault="002D58E4">
            <w:pPr>
              <w:rPr>
                <w:sz w:val="20"/>
                <w:szCs w:val="20"/>
              </w:rPr>
            </w:pPr>
          </w:p>
        </w:tc>
      </w:tr>
      <w:tr w:rsidR="002D58E4" w14:paraId="5319840D"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48FFEF4" w14:textId="77777777" w:rsidR="002D58E4" w:rsidRPr="002914A2" w:rsidRDefault="00F721D4">
            <w:pPr>
              <w:rPr>
                <w:sz w:val="20"/>
                <w:szCs w:val="20"/>
                <w:lang w:val="fr-CA"/>
              </w:rPr>
            </w:pPr>
            <w:r w:rsidRPr="002914A2">
              <w:rPr>
                <w:sz w:val="20"/>
                <w:szCs w:val="20"/>
                <w:lang w:val="fr-CA"/>
              </w:rPr>
              <w:t>Tuerlinckx, et al., 2003</w:t>
            </w:r>
          </w:p>
          <w:p w14:paraId="43349701" w14:textId="77777777" w:rsidR="002D58E4" w:rsidRPr="002914A2" w:rsidRDefault="002D58E4">
            <w:pPr>
              <w:rPr>
                <w:sz w:val="20"/>
                <w:szCs w:val="20"/>
                <w:lang w:val="fr-CA"/>
              </w:rPr>
            </w:pPr>
          </w:p>
          <w:p w14:paraId="5391DC53" w14:textId="77777777" w:rsidR="002D58E4" w:rsidRPr="002914A2" w:rsidRDefault="00F721D4">
            <w:pPr>
              <w:rPr>
                <w:sz w:val="20"/>
                <w:szCs w:val="20"/>
                <w:lang w:val="fr-CA"/>
              </w:rPr>
            </w:pPr>
            <w:r w:rsidRPr="002914A2">
              <w:rPr>
                <w:sz w:val="20"/>
                <w:szCs w:val="20"/>
                <w:lang w:val="fr-CA"/>
              </w:rPr>
              <w:t>Yvoir, Belgium</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1DBE49A0"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281B4110"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89BD6A8" w14:textId="77777777" w:rsidR="002D58E4" w:rsidRDefault="00F721D4">
            <w:r>
              <w:rPr>
                <w:sz w:val="20"/>
                <w:szCs w:val="20"/>
              </w:rPr>
              <w:t xml:space="preserve">Patients with Lyme meningitis (N=6; 100% female; median age 9.3 years, range 3-13.3 years), both isolated and associated with peripheral facial palsy, and patients with aseptic meningitis (N=7; 100% female; median age 5.9, range 1.7-13 years) were enrolled. </w:t>
            </w:r>
            <w:r>
              <w:t xml:space="preserve"> </w:t>
            </w:r>
          </w:p>
          <w:p w14:paraId="4D86CEAF" w14:textId="77777777" w:rsidR="002D58E4" w:rsidRDefault="002D58E4"/>
          <w:p w14:paraId="47B3FFBE" w14:textId="77777777" w:rsidR="002D58E4" w:rsidRDefault="00F721D4">
            <w:pPr>
              <w:rPr>
                <w:sz w:val="20"/>
                <w:szCs w:val="20"/>
              </w:rPr>
            </w:pPr>
            <w:r>
              <w:rPr>
                <w:sz w:val="20"/>
                <w:szCs w:val="20"/>
              </w:rPr>
              <w:t xml:space="preserve">Diagnosis with Lyme meningitis required recent onset of compatible neurological symptoms and cerebrospinal fluid (CSF) pleocytosis with positive Lyme serology (serum and CSF). Patients without intrathecal antibodies were included if they had specific IgM antibodies against </w:t>
            </w:r>
            <w:r>
              <w:rPr>
                <w:i/>
                <w:sz w:val="20"/>
                <w:szCs w:val="20"/>
              </w:rPr>
              <w:t>B. burgdoferi</w:t>
            </w:r>
            <w:r>
              <w:rPr>
                <w:sz w:val="20"/>
                <w:szCs w:val="20"/>
              </w:rPr>
              <w:t xml:space="preserve"> by immunoblot. Diagnosis with aseptic meningitis required pleocytosis in the CSF without any bacterial growth on culture of CSF and with negative serologic tests for </w:t>
            </w:r>
            <w:r>
              <w:rPr>
                <w:i/>
                <w:sz w:val="20"/>
                <w:szCs w:val="20"/>
              </w:rPr>
              <w:t>B. burgdorferi</w:t>
            </w:r>
            <w:r>
              <w:rPr>
                <w:sz w:val="20"/>
                <w:szCs w:val="20"/>
              </w:rPr>
              <w:t xml:space="preserve">. </w:t>
            </w:r>
          </w:p>
          <w:p w14:paraId="5F66F2A4" w14:textId="77777777" w:rsidR="002D58E4" w:rsidRDefault="002D58E4">
            <w:pPr>
              <w:rPr>
                <w:sz w:val="20"/>
                <w:szCs w:val="20"/>
              </w:rPr>
            </w:pPr>
          </w:p>
          <w:p w14:paraId="0B775686" w14:textId="77777777" w:rsidR="002D58E4" w:rsidRDefault="00F721D4">
            <w:pPr>
              <w:rPr>
                <w:i/>
                <w:sz w:val="20"/>
                <w:szCs w:val="20"/>
              </w:rPr>
            </w:pPr>
            <w:r>
              <w:rPr>
                <w:i/>
                <w:sz w:val="20"/>
                <w:szCs w:val="20"/>
              </w:rPr>
              <w:t xml:space="preserve">Exclusion criteria included antibiotic treatment prior to lumbar puncture. </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C3EF717" w14:textId="77777777" w:rsidR="002D58E4" w:rsidRDefault="00F721D4">
            <w:pPr>
              <w:rPr>
                <w:sz w:val="20"/>
                <w:szCs w:val="20"/>
              </w:rPr>
            </w:pPr>
            <w:r>
              <w:rPr>
                <w:sz w:val="20"/>
                <w:szCs w:val="20"/>
              </w:rPr>
              <w:t>The laboratory workup included white blood cell (WBC) count and differentiation, C-reactive protein (CRP) determination, cerebrospinal</w:t>
            </w:r>
            <w:r>
              <w:t xml:space="preserve"> </w:t>
            </w:r>
            <w:r>
              <w:rPr>
                <w:sz w:val="20"/>
                <w:szCs w:val="20"/>
              </w:rPr>
              <w:t xml:space="preserve">fluid (CSF) findings (WBC count, differentiation, protein dosage), and serological tests for antibodies to </w:t>
            </w:r>
            <w:r>
              <w:rPr>
                <w:i/>
                <w:sz w:val="20"/>
                <w:szCs w:val="20"/>
              </w:rPr>
              <w:t xml:space="preserve">B. burgdorferi </w:t>
            </w:r>
            <w:r>
              <w:rPr>
                <w:sz w:val="20"/>
                <w:szCs w:val="20"/>
              </w:rPr>
              <w:t>in simultaneous serum and CSF samples. Normal CSF cell count was &lt;10*10</w:t>
            </w:r>
            <w:r>
              <w:rPr>
                <w:sz w:val="20"/>
                <w:szCs w:val="20"/>
                <w:vertAlign w:val="superscript"/>
              </w:rPr>
              <w:t>6</w:t>
            </w:r>
            <w:r>
              <w:rPr>
                <w:sz w:val="20"/>
                <w:szCs w:val="20"/>
              </w:rPr>
              <w:t xml:space="preserve"> cells/l and protein level below 0.4 g/l. IgG and IgM antibodies to </w:t>
            </w:r>
            <w:r>
              <w:rPr>
                <w:i/>
                <w:sz w:val="20"/>
                <w:szCs w:val="20"/>
              </w:rPr>
              <w:t>B. burgdorferi</w:t>
            </w:r>
            <w:r>
              <w:rPr>
                <w:sz w:val="20"/>
                <w:szCs w:val="20"/>
              </w:rPr>
              <w:t xml:space="preserve"> were detected by ELISA.</w:t>
            </w:r>
          </w:p>
          <w:p w14:paraId="169A3833" w14:textId="77777777" w:rsidR="002D58E4" w:rsidRDefault="002D58E4">
            <w:pPr>
              <w:rPr>
                <w:sz w:val="20"/>
                <w:szCs w:val="20"/>
              </w:rPr>
            </w:pPr>
          </w:p>
          <w:p w14:paraId="356AC655" w14:textId="77777777" w:rsidR="002D58E4" w:rsidRDefault="00F721D4">
            <w:pPr>
              <w:rPr>
                <w:sz w:val="20"/>
                <w:szCs w:val="20"/>
              </w:rPr>
            </w:pPr>
            <w:r>
              <w:rPr>
                <w:sz w:val="20"/>
                <w:szCs w:val="20"/>
              </w:rPr>
              <w:t xml:space="preserve">All patients had CSF pleocytosis. The mean cell count was not statistically different between patients with Lyme meningitis and aseptic meningitis, but the neutrophilic component was significantly lower in patients with Lyme disease (mean 3.86%) compared with the aseptic meningitis group (mean 56%). Patients with isolated Lyme meningitis had higher protein levels (mean 1.12 g/l) compared with aseptic meningitis patients (mean 0.39 g/l) (p=0.003). </w:t>
            </w:r>
          </w:p>
          <w:p w14:paraId="5C47817F" w14:textId="77777777" w:rsidR="002D58E4" w:rsidRDefault="002D58E4">
            <w:pPr>
              <w:rPr>
                <w:sz w:val="20"/>
                <w:szCs w:val="20"/>
              </w:rPr>
            </w:pP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E3FBE14" w14:textId="77777777" w:rsidR="002D58E4" w:rsidRDefault="00F721D4">
            <w:pPr>
              <w:rPr>
                <w:sz w:val="20"/>
                <w:szCs w:val="20"/>
              </w:rPr>
            </w:pPr>
            <w:r>
              <w:rPr>
                <w:i/>
                <w:sz w:val="20"/>
                <w:szCs w:val="20"/>
              </w:rPr>
              <w:t>B. burgdorferi</w:t>
            </w:r>
            <w:r>
              <w:rPr>
                <w:sz w:val="20"/>
                <w:szCs w:val="20"/>
              </w:rPr>
              <w:t xml:space="preserve"> DNA was only detected by PCR in one CSF sample.</w:t>
            </w:r>
          </w:p>
          <w:p w14:paraId="2E6BD00C" w14:textId="77777777" w:rsidR="002D58E4" w:rsidRDefault="002D58E4">
            <w:pPr>
              <w:rPr>
                <w:sz w:val="20"/>
                <w:szCs w:val="20"/>
              </w:rPr>
            </w:pPr>
          </w:p>
          <w:p w14:paraId="79191A79" w14:textId="77777777" w:rsidR="002D58E4" w:rsidRDefault="00F721D4">
            <w:pPr>
              <w:rPr>
                <w:sz w:val="20"/>
                <w:szCs w:val="20"/>
              </w:rPr>
            </w:pPr>
            <w:r>
              <w:rPr>
                <w:sz w:val="20"/>
                <w:szCs w:val="20"/>
              </w:rPr>
              <w:t>The authors suggest that some clinical data and laboratory findings may help the physician to diagnose aseptic or Lyme meningitis prior to completion of serologic testing. They note that Lyme meningitis should be suspected in cases of meningitis with very low CSF neutrophilic counts and high protein levels associated with prolonged duration of symptoms, low grade fever, and absence of pronounced signs of meningitis.</w:t>
            </w:r>
          </w:p>
        </w:tc>
      </w:tr>
      <w:tr w:rsidR="002D58E4" w14:paraId="3C30BCC5"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4EBB660" w14:textId="77777777" w:rsidR="002D58E4" w:rsidRPr="002914A2" w:rsidRDefault="00F721D4">
            <w:pPr>
              <w:rPr>
                <w:sz w:val="20"/>
                <w:szCs w:val="20"/>
                <w:lang w:val="fr-CA"/>
              </w:rPr>
            </w:pPr>
            <w:r w:rsidRPr="002914A2">
              <w:rPr>
                <w:sz w:val="20"/>
                <w:szCs w:val="20"/>
                <w:lang w:val="fr-CA"/>
              </w:rPr>
              <w:t>Blanc, et al., 2007</w:t>
            </w:r>
          </w:p>
          <w:p w14:paraId="31C03793" w14:textId="77777777" w:rsidR="002D58E4" w:rsidRPr="002914A2" w:rsidRDefault="002D58E4">
            <w:pPr>
              <w:rPr>
                <w:sz w:val="20"/>
                <w:szCs w:val="20"/>
                <w:lang w:val="fr-CA"/>
              </w:rPr>
            </w:pPr>
          </w:p>
          <w:p w14:paraId="3620CCCF" w14:textId="77777777" w:rsidR="002D58E4" w:rsidRPr="002914A2" w:rsidRDefault="00F721D4">
            <w:pPr>
              <w:rPr>
                <w:sz w:val="20"/>
                <w:szCs w:val="20"/>
                <w:lang w:val="fr-CA"/>
              </w:rPr>
            </w:pPr>
            <w:r w:rsidRPr="002914A2">
              <w:rPr>
                <w:sz w:val="20"/>
                <w:szCs w:val="20"/>
                <w:lang w:val="fr-CA"/>
              </w:rPr>
              <w:t>Strasbourg, France</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235DE2D7"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63D40A13"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58936F0A" w14:textId="77777777" w:rsidR="002D58E4" w:rsidRDefault="00F721D4">
            <w:pPr>
              <w:spacing w:after="120"/>
              <w:rPr>
                <w:sz w:val="20"/>
                <w:szCs w:val="20"/>
              </w:rPr>
            </w:pPr>
            <w:r>
              <w:rPr>
                <w:sz w:val="20"/>
                <w:szCs w:val="20"/>
              </w:rPr>
              <w:t xml:space="preserve">123 patients with clinical signs of neurologic involvement, with </w:t>
            </w:r>
            <w:r>
              <w:rPr>
                <w:i/>
                <w:sz w:val="20"/>
                <w:szCs w:val="20"/>
              </w:rPr>
              <w:t>B. burgdorferi</w:t>
            </w:r>
            <w:r>
              <w:rPr>
                <w:sz w:val="20"/>
                <w:szCs w:val="20"/>
              </w:rPr>
              <w:t xml:space="preserve"> antibodies in cerebrospinal fluid (CSF) who were tested for anti-</w:t>
            </w:r>
            <w:r>
              <w:rPr>
                <w:i/>
                <w:sz w:val="20"/>
                <w:szCs w:val="20"/>
              </w:rPr>
              <w:t xml:space="preserve">Borrelia </w:t>
            </w:r>
            <w:r>
              <w:rPr>
                <w:sz w:val="20"/>
                <w:szCs w:val="20"/>
              </w:rPr>
              <w:t>antibody index (AI) were included.</w:t>
            </w:r>
          </w:p>
          <w:p w14:paraId="2B17C14E" w14:textId="77777777" w:rsidR="002D58E4" w:rsidRDefault="00F721D4">
            <w:pPr>
              <w:spacing w:after="120"/>
            </w:pPr>
            <w:r>
              <w:rPr>
                <w:sz w:val="20"/>
                <w:szCs w:val="20"/>
              </w:rPr>
              <w:t xml:space="preserve">The patients were divided into three groups: Group 1 consisted of 40 patients who definitely had neuroborreliosis, defined as presentation with typical meningoradiculitis (spinal and/or cranial meningoradiculitis) </w:t>
            </w:r>
            <w:r>
              <w:rPr>
                <w:sz w:val="20"/>
                <w:szCs w:val="20"/>
                <w:u w:val="single"/>
              </w:rPr>
              <w:t>and/or</w:t>
            </w:r>
            <w:r>
              <w:rPr>
                <w:sz w:val="20"/>
                <w:szCs w:val="20"/>
              </w:rPr>
              <w:t xml:space="preserve"> the disappearance of neurologic signs after ceftriaxone treatment (2 g/day for ~2 weeks), </w:t>
            </w:r>
            <w:r>
              <w:rPr>
                <w:sz w:val="20"/>
                <w:szCs w:val="20"/>
                <w:u w:val="single"/>
              </w:rPr>
              <w:t>with</w:t>
            </w:r>
            <w:r>
              <w:rPr>
                <w:sz w:val="20"/>
                <w:szCs w:val="20"/>
              </w:rPr>
              <w:t xml:space="preserve"> the presence of </w:t>
            </w:r>
            <w:r>
              <w:rPr>
                <w:i/>
                <w:sz w:val="20"/>
                <w:szCs w:val="20"/>
              </w:rPr>
              <w:t>B burgdorferi</w:t>
            </w:r>
            <w:r>
              <w:rPr>
                <w:sz w:val="20"/>
                <w:szCs w:val="20"/>
              </w:rPr>
              <w:t xml:space="preserve"> antibodies in the CSF. Group 2 consisted of 9 people with possible neuroborreliosis (</w:t>
            </w:r>
            <w:r>
              <w:rPr>
                <w:i/>
                <w:sz w:val="20"/>
                <w:szCs w:val="20"/>
              </w:rPr>
              <w:t xml:space="preserve">B. burgdorferi </w:t>
            </w:r>
            <w:r>
              <w:rPr>
                <w:sz w:val="20"/>
                <w:szCs w:val="20"/>
              </w:rPr>
              <w:t xml:space="preserve">antibodies present in the CSF </w:t>
            </w:r>
            <w:r>
              <w:rPr>
                <w:sz w:val="20"/>
                <w:szCs w:val="20"/>
                <w:u w:val="single"/>
              </w:rPr>
              <w:t>and</w:t>
            </w:r>
            <w:r>
              <w:rPr>
                <w:sz w:val="20"/>
                <w:szCs w:val="20"/>
              </w:rPr>
              <w:t xml:space="preserve"> no other neurologic disease, but no response to ceftriaxone.)</w:t>
            </w:r>
            <w:r>
              <w:t xml:space="preserve"> </w:t>
            </w:r>
          </w:p>
          <w:p w14:paraId="495F8BAD" w14:textId="77777777" w:rsidR="002D58E4" w:rsidRDefault="00F721D4">
            <w:pPr>
              <w:rPr>
                <w:sz w:val="20"/>
                <w:szCs w:val="20"/>
              </w:rPr>
            </w:pPr>
            <w:r>
              <w:rPr>
                <w:sz w:val="20"/>
                <w:szCs w:val="20"/>
              </w:rPr>
              <w:t xml:space="preserve">Group 3 comprised 74 patients with </w:t>
            </w:r>
            <w:r>
              <w:rPr>
                <w:i/>
                <w:sz w:val="20"/>
                <w:szCs w:val="20"/>
              </w:rPr>
              <w:t xml:space="preserve">B. burgdorferi </w:t>
            </w:r>
            <w:r>
              <w:rPr>
                <w:sz w:val="20"/>
                <w:szCs w:val="20"/>
              </w:rPr>
              <w:t>antibodies in the CSF who were classified as negative controls due to a proven etiologic diagnosis.</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17E4A7B" w14:textId="77777777" w:rsidR="002D58E4" w:rsidRDefault="00F721D4">
            <w:pPr>
              <w:rPr>
                <w:sz w:val="20"/>
                <w:szCs w:val="20"/>
              </w:rPr>
            </w:pPr>
            <w:r>
              <w:rPr>
                <w:sz w:val="20"/>
                <w:szCs w:val="20"/>
              </w:rPr>
              <w:t>The antibody index (AI) was calculated as the ratio of (ELISA titer CSF/ELISA titer serum) to (total IgG titer CSF/total IgG titer serum).</w:t>
            </w:r>
          </w:p>
          <w:p w14:paraId="14FC3A56" w14:textId="77777777" w:rsidR="002D58E4" w:rsidRDefault="002D58E4">
            <w:pPr>
              <w:rPr>
                <w:sz w:val="20"/>
                <w:szCs w:val="20"/>
              </w:rPr>
            </w:pPr>
          </w:p>
          <w:p w14:paraId="2B56AD37" w14:textId="77777777" w:rsidR="002D58E4" w:rsidRDefault="00F721D4">
            <w:pPr>
              <w:rPr>
                <w:sz w:val="20"/>
                <w:szCs w:val="20"/>
              </w:rPr>
            </w:pPr>
            <w:r>
              <w:rPr>
                <w:sz w:val="20"/>
                <w:szCs w:val="20"/>
              </w:rPr>
              <w:t>“</w:t>
            </w:r>
            <w:r>
              <w:rPr>
                <w:sz w:val="20"/>
                <w:szCs w:val="20"/>
                <w:u w:val="single"/>
              </w:rPr>
              <w:t>Definite neuroborreliosis”:</w:t>
            </w:r>
          </w:p>
          <w:p w14:paraId="373FE4C2" w14:textId="77777777" w:rsidR="002D58E4" w:rsidRDefault="00F721D4">
            <w:pPr>
              <w:numPr>
                <w:ilvl w:val="0"/>
                <w:numId w:val="42"/>
              </w:numPr>
              <w:rPr>
                <w:sz w:val="20"/>
                <w:szCs w:val="20"/>
              </w:rPr>
            </w:pPr>
            <w:r>
              <w:rPr>
                <w:sz w:val="20"/>
                <w:szCs w:val="20"/>
              </w:rPr>
              <w:t>Sensitivity Antibody Index: 75%</w:t>
            </w:r>
          </w:p>
          <w:p w14:paraId="2937AEC9" w14:textId="77777777" w:rsidR="002D58E4" w:rsidRDefault="002D58E4">
            <w:pPr>
              <w:rPr>
                <w:sz w:val="20"/>
                <w:szCs w:val="20"/>
              </w:rPr>
            </w:pPr>
          </w:p>
          <w:p w14:paraId="5839135C" w14:textId="77777777" w:rsidR="002D58E4" w:rsidRDefault="00F721D4">
            <w:pPr>
              <w:rPr>
                <w:sz w:val="20"/>
                <w:szCs w:val="20"/>
                <w:u w:val="single"/>
              </w:rPr>
            </w:pPr>
            <w:r>
              <w:rPr>
                <w:sz w:val="20"/>
                <w:szCs w:val="20"/>
              </w:rPr>
              <w:t>“</w:t>
            </w:r>
            <w:r>
              <w:rPr>
                <w:sz w:val="20"/>
                <w:szCs w:val="20"/>
                <w:u w:val="single"/>
              </w:rPr>
              <w:t>Possible neuroborreliosis”:</w:t>
            </w:r>
          </w:p>
          <w:p w14:paraId="20A88F0F" w14:textId="77777777" w:rsidR="002D58E4" w:rsidRDefault="00F721D4">
            <w:pPr>
              <w:numPr>
                <w:ilvl w:val="0"/>
                <w:numId w:val="42"/>
              </w:numPr>
              <w:rPr>
                <w:sz w:val="20"/>
                <w:szCs w:val="20"/>
              </w:rPr>
            </w:pPr>
            <w:r>
              <w:rPr>
                <w:sz w:val="20"/>
                <w:szCs w:val="20"/>
              </w:rPr>
              <w:t xml:space="preserve">5 of 9 patients had positive antibody index. </w:t>
            </w:r>
          </w:p>
          <w:p w14:paraId="7D84F5BB" w14:textId="77777777" w:rsidR="002D58E4" w:rsidRDefault="00F721D4">
            <w:pPr>
              <w:numPr>
                <w:ilvl w:val="0"/>
                <w:numId w:val="42"/>
              </w:numPr>
              <w:rPr>
                <w:sz w:val="20"/>
                <w:szCs w:val="20"/>
              </w:rPr>
            </w:pPr>
            <w:r>
              <w:rPr>
                <w:sz w:val="20"/>
                <w:szCs w:val="20"/>
              </w:rPr>
              <w:t>1 patient was intermediate, 1 was negative.</w:t>
            </w:r>
          </w:p>
          <w:p w14:paraId="70D40B7B" w14:textId="77777777" w:rsidR="002D58E4" w:rsidRDefault="002D58E4">
            <w:pPr>
              <w:rPr>
                <w:sz w:val="20"/>
                <w:szCs w:val="20"/>
              </w:rPr>
            </w:pPr>
          </w:p>
          <w:p w14:paraId="11C953F7" w14:textId="77777777" w:rsidR="002D58E4" w:rsidRDefault="00F721D4">
            <w:pPr>
              <w:rPr>
                <w:sz w:val="20"/>
                <w:szCs w:val="20"/>
                <w:u w:val="single"/>
              </w:rPr>
            </w:pPr>
            <w:r>
              <w:rPr>
                <w:sz w:val="20"/>
                <w:szCs w:val="20"/>
                <w:u w:val="single"/>
              </w:rPr>
              <w:t>“Other neurologic diagnosis”:</w:t>
            </w:r>
          </w:p>
          <w:p w14:paraId="73A6DBF5" w14:textId="77777777" w:rsidR="002D58E4" w:rsidRDefault="00F721D4">
            <w:pPr>
              <w:numPr>
                <w:ilvl w:val="0"/>
                <w:numId w:val="29"/>
              </w:numPr>
              <w:rPr>
                <w:sz w:val="20"/>
                <w:szCs w:val="20"/>
              </w:rPr>
            </w:pPr>
            <w:r>
              <w:rPr>
                <w:sz w:val="20"/>
                <w:szCs w:val="20"/>
              </w:rPr>
              <w:t>Specificity Antibody Index: 97%</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3512CCE" w14:textId="77777777" w:rsidR="002D58E4" w:rsidRDefault="00F721D4">
            <w:pPr>
              <w:rPr>
                <w:sz w:val="20"/>
                <w:szCs w:val="20"/>
              </w:rPr>
            </w:pPr>
            <w:r>
              <w:rPr>
                <w:sz w:val="20"/>
                <w:szCs w:val="20"/>
              </w:rPr>
              <w:t xml:space="preserve">The authors concluded that though the antibody index had an excellent specificity, it was too insensitive to diagnose all patients with neuroborreliosis. The authors suggest that it could be a useful adjunct to a pragmatic diagnostic plan. </w:t>
            </w:r>
          </w:p>
        </w:tc>
      </w:tr>
      <w:tr w:rsidR="002D58E4" w14:paraId="3663D201"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4C6948E" w14:textId="77777777" w:rsidR="002D58E4" w:rsidRDefault="00F721D4">
            <w:pPr>
              <w:rPr>
                <w:sz w:val="20"/>
                <w:szCs w:val="20"/>
              </w:rPr>
            </w:pPr>
            <w:r>
              <w:rPr>
                <w:sz w:val="20"/>
                <w:szCs w:val="20"/>
              </w:rPr>
              <w:t>Schwenkenbecher, et al., 2017</w:t>
            </w:r>
          </w:p>
          <w:p w14:paraId="413DCDE6" w14:textId="77777777" w:rsidR="002D58E4" w:rsidRDefault="002D58E4">
            <w:pPr>
              <w:rPr>
                <w:sz w:val="20"/>
                <w:szCs w:val="20"/>
              </w:rPr>
            </w:pPr>
          </w:p>
          <w:p w14:paraId="7B10C0E0" w14:textId="77777777" w:rsidR="002D58E4" w:rsidRDefault="00F721D4">
            <w:pPr>
              <w:rPr>
                <w:sz w:val="20"/>
                <w:szCs w:val="20"/>
              </w:rPr>
            </w:pPr>
            <w:r>
              <w:rPr>
                <w:sz w:val="20"/>
                <w:szCs w:val="20"/>
              </w:rPr>
              <w:t>Hannover, Germany</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4CC446CA"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20DC7F23"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46062DB1" w14:textId="77777777" w:rsidR="002D58E4" w:rsidRDefault="00F721D4">
            <w:pPr>
              <w:spacing w:after="120"/>
              <w:rPr>
                <w:sz w:val="20"/>
                <w:szCs w:val="20"/>
              </w:rPr>
            </w:pPr>
            <w:r>
              <w:rPr>
                <w:sz w:val="20"/>
                <w:szCs w:val="20"/>
              </w:rPr>
              <w:t xml:space="preserve">68 patients who were hospitalized with neuroborreliosis were retrospectively analyzed. </w:t>
            </w:r>
            <w:r>
              <w:t xml:space="preserve"> </w:t>
            </w:r>
            <w:r>
              <w:rPr>
                <w:sz w:val="20"/>
                <w:szCs w:val="20"/>
              </w:rPr>
              <w:t xml:space="preserve">Patients were categorized into five groups depending on the dominant neurological deficit leading to hospital admission: cranial nerve palsy (50%), symptoms/signs of radiculitis (25%), symptoms/signs of meningitis (29%- sum of all “meningitis” from Table 2), symptoms/signs of encephalitis (12%), and symptoms/signs of myelitis (7%). </w:t>
            </w:r>
          </w:p>
          <w:p w14:paraId="7613C02E" w14:textId="77777777" w:rsidR="002D58E4" w:rsidRDefault="00F721D4">
            <w:pPr>
              <w:spacing w:after="120"/>
              <w:rPr>
                <w:sz w:val="20"/>
                <w:szCs w:val="20"/>
              </w:rPr>
            </w:pPr>
            <w:r>
              <w:rPr>
                <w:sz w:val="20"/>
                <w:szCs w:val="20"/>
              </w:rPr>
              <w:t>“Twenty-three patients (34%) reported previous tick bite and/or erythema chronicum migrans. Nine of them remembered only tick bite, seven remembered the occurrence of erythema chronicum migrans with previous tick bite, while seven remembered erythema chronicum migrans without previous tick bite.”</w:t>
            </w:r>
          </w:p>
          <w:p w14:paraId="6EC09F97" w14:textId="77777777" w:rsidR="002D58E4" w:rsidRDefault="002D58E4">
            <w:pPr>
              <w:rPr>
                <w:sz w:val="20"/>
                <w:szCs w:val="20"/>
              </w:rPr>
            </w:pPr>
          </w:p>
          <w:p w14:paraId="6EB75FDC" w14:textId="77777777" w:rsidR="002D58E4" w:rsidRDefault="00F721D4">
            <w:pPr>
              <w:rPr>
                <w:sz w:val="20"/>
                <w:szCs w:val="20"/>
                <w:u w:val="single"/>
              </w:rPr>
            </w:pPr>
            <w:r>
              <w:rPr>
                <w:sz w:val="20"/>
                <w:szCs w:val="20"/>
                <w:u w:val="single"/>
              </w:rPr>
              <w:t xml:space="preserve">ELISA testing for </w:t>
            </w:r>
            <w:r>
              <w:rPr>
                <w:i/>
                <w:sz w:val="20"/>
                <w:szCs w:val="20"/>
                <w:u w:val="single"/>
              </w:rPr>
              <w:t>Borrelia burgdorferi sensu lato</w:t>
            </w:r>
            <w:r>
              <w:rPr>
                <w:sz w:val="20"/>
                <w:szCs w:val="20"/>
                <w:u w:val="single"/>
              </w:rPr>
              <w:t xml:space="preserve"> specific antibodies:</w:t>
            </w:r>
          </w:p>
          <w:p w14:paraId="0BE56C71" w14:textId="77777777" w:rsidR="002D58E4" w:rsidRDefault="00F721D4">
            <w:pPr>
              <w:numPr>
                <w:ilvl w:val="0"/>
                <w:numId w:val="29"/>
              </w:numPr>
              <w:rPr>
                <w:sz w:val="20"/>
                <w:szCs w:val="20"/>
              </w:rPr>
            </w:pPr>
            <w:r>
              <w:rPr>
                <w:sz w:val="20"/>
                <w:szCs w:val="20"/>
              </w:rPr>
              <w:t>IgG or IgM: 94%</w:t>
            </w:r>
          </w:p>
          <w:p w14:paraId="7B7DE5B7" w14:textId="77777777" w:rsidR="002D58E4" w:rsidRDefault="00F721D4">
            <w:pPr>
              <w:numPr>
                <w:ilvl w:val="0"/>
                <w:numId w:val="29"/>
              </w:numPr>
              <w:rPr>
                <w:sz w:val="20"/>
                <w:szCs w:val="20"/>
              </w:rPr>
            </w:pPr>
            <w:r>
              <w:rPr>
                <w:sz w:val="20"/>
                <w:szCs w:val="20"/>
              </w:rPr>
              <w:t>IgG and IgM: 50%</w:t>
            </w:r>
          </w:p>
          <w:p w14:paraId="27E2A64D" w14:textId="77777777" w:rsidR="002D58E4" w:rsidRDefault="00F721D4">
            <w:pPr>
              <w:numPr>
                <w:ilvl w:val="0"/>
                <w:numId w:val="29"/>
              </w:numPr>
              <w:rPr>
                <w:sz w:val="20"/>
                <w:szCs w:val="20"/>
              </w:rPr>
            </w:pPr>
            <w:r>
              <w:rPr>
                <w:sz w:val="20"/>
                <w:szCs w:val="20"/>
              </w:rPr>
              <w:t>IgG+, IgM-: 34%</w:t>
            </w:r>
          </w:p>
          <w:p w14:paraId="3D12A586" w14:textId="77777777" w:rsidR="002D58E4" w:rsidRDefault="00F721D4">
            <w:pPr>
              <w:numPr>
                <w:ilvl w:val="0"/>
                <w:numId w:val="29"/>
              </w:numPr>
              <w:spacing w:after="120"/>
              <w:rPr>
                <w:sz w:val="20"/>
                <w:szCs w:val="20"/>
              </w:rPr>
            </w:pPr>
            <w:r>
              <w:rPr>
                <w:sz w:val="20"/>
                <w:szCs w:val="20"/>
              </w:rPr>
              <w:t>IgM+, IgG-: 10%</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F64DF72" w14:textId="77777777" w:rsidR="002D58E4" w:rsidRDefault="00F721D4">
            <w:pPr>
              <w:rPr>
                <w:sz w:val="20"/>
                <w:szCs w:val="20"/>
              </w:rPr>
            </w:pPr>
            <w:r>
              <w:rPr>
                <w:sz w:val="20"/>
                <w:szCs w:val="20"/>
              </w:rPr>
              <w:t>Intrathecal synthesis of IgG, IgA, and IgM was calculated based on the method of Reiber-Felgenhauer referring the IgG, IgA, and IgM quotients to the albumin quotient.</w:t>
            </w:r>
          </w:p>
          <w:p w14:paraId="2BDCE31E" w14:textId="77777777" w:rsidR="002D58E4" w:rsidRDefault="002D58E4">
            <w:pPr>
              <w:rPr>
                <w:sz w:val="20"/>
                <w:szCs w:val="20"/>
              </w:rPr>
            </w:pPr>
          </w:p>
          <w:p w14:paraId="5401D368" w14:textId="77777777" w:rsidR="002D58E4" w:rsidRDefault="00F721D4">
            <w:pPr>
              <w:rPr>
                <w:sz w:val="20"/>
                <w:szCs w:val="20"/>
              </w:rPr>
            </w:pPr>
            <w:r>
              <w:rPr>
                <w:sz w:val="20"/>
                <w:szCs w:val="20"/>
                <w:u w:val="single"/>
              </w:rPr>
              <w:t>Elevated CSF cell count:</w:t>
            </w:r>
            <w:r>
              <w:rPr>
                <w:sz w:val="20"/>
                <w:szCs w:val="20"/>
              </w:rPr>
              <w:t xml:space="preserve"> 98.5%</w:t>
            </w:r>
          </w:p>
          <w:p w14:paraId="651830FE" w14:textId="77777777" w:rsidR="002D58E4" w:rsidRDefault="002D58E4">
            <w:pPr>
              <w:rPr>
                <w:sz w:val="20"/>
                <w:szCs w:val="20"/>
              </w:rPr>
            </w:pPr>
          </w:p>
          <w:p w14:paraId="6C1C75E9" w14:textId="77777777" w:rsidR="002D58E4" w:rsidRDefault="00F721D4">
            <w:pPr>
              <w:rPr>
                <w:sz w:val="20"/>
                <w:szCs w:val="20"/>
              </w:rPr>
            </w:pPr>
            <w:r>
              <w:rPr>
                <w:sz w:val="20"/>
                <w:szCs w:val="20"/>
                <w:u w:val="single"/>
              </w:rPr>
              <w:t>Blood-CSF barrier dysfunction:</w:t>
            </w:r>
            <w:r>
              <w:rPr>
                <w:sz w:val="20"/>
                <w:szCs w:val="20"/>
              </w:rPr>
              <w:t xml:space="preserve"> 87% </w:t>
            </w:r>
          </w:p>
          <w:p w14:paraId="1AE44C3B" w14:textId="77777777" w:rsidR="002D58E4" w:rsidRDefault="002D58E4">
            <w:pPr>
              <w:rPr>
                <w:sz w:val="20"/>
                <w:szCs w:val="20"/>
              </w:rPr>
            </w:pPr>
          </w:p>
          <w:p w14:paraId="434D2C28" w14:textId="77777777" w:rsidR="002D58E4" w:rsidRDefault="00F721D4">
            <w:pPr>
              <w:rPr>
                <w:sz w:val="20"/>
                <w:szCs w:val="20"/>
              </w:rPr>
            </w:pPr>
            <w:r>
              <w:rPr>
                <w:sz w:val="20"/>
                <w:szCs w:val="20"/>
                <w:u w:val="single"/>
              </w:rPr>
              <w:t>CSF oligoclonal bands:</w:t>
            </w:r>
            <w:r>
              <w:rPr>
                <w:sz w:val="20"/>
                <w:szCs w:val="20"/>
              </w:rPr>
              <w:t xml:space="preserve"> 90% </w:t>
            </w:r>
          </w:p>
          <w:p w14:paraId="02A3C145" w14:textId="77777777" w:rsidR="002D58E4" w:rsidRDefault="002D58E4">
            <w:pPr>
              <w:rPr>
                <w:sz w:val="20"/>
                <w:szCs w:val="20"/>
              </w:rPr>
            </w:pPr>
          </w:p>
          <w:p w14:paraId="5F3A1329" w14:textId="77777777" w:rsidR="002D58E4" w:rsidRDefault="00F721D4">
            <w:pPr>
              <w:rPr>
                <w:sz w:val="20"/>
                <w:szCs w:val="20"/>
              </w:rPr>
            </w:pPr>
            <w:r>
              <w:rPr>
                <w:sz w:val="20"/>
                <w:szCs w:val="20"/>
                <w:u w:val="single"/>
              </w:rPr>
              <w:t>Quantitative intrathecal synthesis of immunoglobulins:</w:t>
            </w:r>
            <w:r>
              <w:rPr>
                <w:sz w:val="20"/>
                <w:szCs w:val="20"/>
              </w:rPr>
              <w:t xml:space="preserve"> 81%</w:t>
            </w:r>
          </w:p>
          <w:p w14:paraId="51FDF459" w14:textId="77777777" w:rsidR="002D58E4" w:rsidRDefault="00F721D4">
            <w:pPr>
              <w:rPr>
                <w:sz w:val="20"/>
                <w:szCs w:val="20"/>
              </w:rPr>
            </w:pPr>
            <w:r>
              <w:rPr>
                <w:i/>
                <w:sz w:val="20"/>
                <w:szCs w:val="20"/>
              </w:rPr>
              <w:t>Quantitative intrathecal synthesis of specific immunoglobulins:</w:t>
            </w:r>
            <w:r>
              <w:rPr>
                <w:sz w:val="20"/>
                <w:szCs w:val="20"/>
              </w:rPr>
              <w:t xml:space="preserve"> IgM in 74%, IgG in 47%, and IgA in 32% </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693CCC2" w14:textId="77777777" w:rsidR="002D58E4" w:rsidRDefault="00F721D4">
            <w:pPr>
              <w:rPr>
                <w:sz w:val="20"/>
                <w:szCs w:val="20"/>
              </w:rPr>
            </w:pPr>
            <w:r>
              <w:rPr>
                <w:sz w:val="20"/>
                <w:szCs w:val="20"/>
              </w:rPr>
              <w:t xml:space="preserve">The authors concluded that neuroborreliosis is typically accompanied by profound immunological changes in the cerebrospinal fluid. </w:t>
            </w:r>
          </w:p>
          <w:p w14:paraId="3F22DA76" w14:textId="77777777" w:rsidR="002D58E4" w:rsidRDefault="002D58E4">
            <w:pPr>
              <w:rPr>
                <w:sz w:val="20"/>
                <w:szCs w:val="20"/>
              </w:rPr>
            </w:pPr>
          </w:p>
          <w:p w14:paraId="3723AC3F" w14:textId="77777777" w:rsidR="002D58E4" w:rsidRDefault="00F721D4">
            <w:pPr>
              <w:rPr>
                <w:sz w:val="20"/>
                <w:szCs w:val="20"/>
              </w:rPr>
            </w:pPr>
            <w:r>
              <w:rPr>
                <w:sz w:val="20"/>
                <w:szCs w:val="20"/>
              </w:rPr>
              <w:t xml:space="preserve">The authors specifically addressed the issue of pleocytosis in active neuroborreliosis: “Repeated CSF analyses after 6 or 14 days indeed discovered an increase in cell counts and an elevation of the </w:t>
            </w:r>
            <w:r>
              <w:rPr>
                <w:i/>
                <w:sz w:val="20"/>
                <w:szCs w:val="20"/>
              </w:rPr>
              <w:t>Borrelia-</w:t>
            </w:r>
            <w:r>
              <w:rPr>
                <w:sz w:val="20"/>
                <w:szCs w:val="20"/>
              </w:rPr>
              <w:t>specific antibody index confirming active neuroborreliosis. Our cohort included only one patient without pleocytosis whose symptoms resolved completely after treatment with ceftriaxone.”</w:t>
            </w:r>
          </w:p>
          <w:p w14:paraId="6E93BC62" w14:textId="77777777" w:rsidR="002D58E4" w:rsidRDefault="002D58E4">
            <w:pPr>
              <w:rPr>
                <w:sz w:val="20"/>
                <w:szCs w:val="20"/>
              </w:rPr>
            </w:pPr>
          </w:p>
          <w:p w14:paraId="34AEF117" w14:textId="77777777" w:rsidR="002D58E4" w:rsidRDefault="00F721D4">
            <w:pPr>
              <w:rPr>
                <w:sz w:val="20"/>
                <w:szCs w:val="20"/>
              </w:rPr>
            </w:pPr>
            <w:r>
              <w:rPr>
                <w:sz w:val="20"/>
                <w:szCs w:val="20"/>
              </w:rPr>
              <w:t xml:space="preserve">Conclusion: </w:t>
            </w:r>
            <w:r>
              <w:t xml:space="preserve"> “…</w:t>
            </w:r>
            <w:r>
              <w:rPr>
                <w:sz w:val="20"/>
                <w:szCs w:val="20"/>
              </w:rPr>
              <w:t>most, but not all patients with neuroborreliosis presented with typical neurological findings and consistent CSF changes. Uncommon presentations such as acute delirium and stroke-like symptoms underline the variety of symptoms. A thorough CSF analysis is considered essential for a reliable diagnosis of neuroborreliosis.”</w:t>
            </w:r>
          </w:p>
        </w:tc>
      </w:tr>
      <w:tr w:rsidR="002D58E4" w14:paraId="6270C64B"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E7C3141" w14:textId="77777777" w:rsidR="002D58E4" w:rsidRDefault="00F721D4">
            <w:pPr>
              <w:rPr>
                <w:sz w:val="20"/>
                <w:szCs w:val="20"/>
              </w:rPr>
            </w:pPr>
            <w:r>
              <w:rPr>
                <w:sz w:val="20"/>
                <w:szCs w:val="20"/>
              </w:rPr>
              <w:t>French, et al., 2018</w:t>
            </w:r>
          </w:p>
          <w:p w14:paraId="6D7A49A0" w14:textId="77777777" w:rsidR="002D58E4" w:rsidRDefault="002D58E4">
            <w:pPr>
              <w:rPr>
                <w:sz w:val="20"/>
                <w:szCs w:val="20"/>
              </w:rPr>
            </w:pPr>
          </w:p>
          <w:p w14:paraId="0767761D" w14:textId="77777777" w:rsidR="002D58E4" w:rsidRDefault="00F721D4">
            <w:pPr>
              <w:rPr>
                <w:sz w:val="20"/>
                <w:szCs w:val="20"/>
              </w:rPr>
            </w:pPr>
            <w:r>
              <w:rPr>
                <w:sz w:val="20"/>
                <w:szCs w:val="20"/>
              </w:rPr>
              <w:t>New York, USA</w:t>
            </w:r>
          </w:p>
        </w:tc>
        <w:tc>
          <w:tcPr>
            <w:tcW w:w="900" w:type="dxa"/>
            <w:gridSpan w:val="2"/>
            <w:tcBorders>
              <w:top w:val="single" w:sz="6" w:space="0" w:color="AEAEAE"/>
              <w:left w:val="single" w:sz="6" w:space="0" w:color="AEAEAE"/>
              <w:bottom w:val="single" w:sz="6" w:space="0" w:color="AEAEAE"/>
              <w:right w:val="single" w:sz="6" w:space="0" w:color="AEAEAE"/>
            </w:tcBorders>
            <w:vAlign w:val="center"/>
          </w:tcPr>
          <w:p w14:paraId="272AFB19" w14:textId="77777777" w:rsidR="002D58E4" w:rsidRDefault="00F721D4">
            <w:pPr>
              <w:rPr>
                <w:sz w:val="20"/>
                <w:szCs w:val="20"/>
              </w:rPr>
            </w:pPr>
            <w:r>
              <w:rPr>
                <w:sz w:val="20"/>
                <w:szCs w:val="20"/>
              </w:rPr>
              <w:t>Retrospective study</w:t>
            </w:r>
          </w:p>
        </w:tc>
        <w:tc>
          <w:tcPr>
            <w:tcW w:w="516" w:type="dxa"/>
            <w:tcBorders>
              <w:top w:val="single" w:sz="6" w:space="0" w:color="AEAEAE"/>
              <w:left w:val="single" w:sz="6" w:space="0" w:color="AEAEAE"/>
              <w:bottom w:val="single" w:sz="6" w:space="0" w:color="AEAEAE"/>
              <w:right w:val="single" w:sz="6" w:space="0" w:color="AEAEAE"/>
            </w:tcBorders>
            <w:vAlign w:val="center"/>
          </w:tcPr>
          <w:p w14:paraId="36EFA947"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233DCF4D" w14:textId="77777777" w:rsidR="002D58E4" w:rsidRDefault="00F721D4">
            <w:pPr>
              <w:spacing w:after="120"/>
              <w:rPr>
                <w:sz w:val="20"/>
                <w:szCs w:val="20"/>
              </w:rPr>
            </w:pPr>
            <w:r>
              <w:rPr>
                <w:sz w:val="20"/>
                <w:szCs w:val="20"/>
              </w:rPr>
              <w:t>CSF samples from 27 patients with different neurological diseases were assessed: CNS Lyme disease (n = 5), West Nile Virus (WNV) meningoencephalitis (n = 5), Clinically Isolated Syndrome (CIS) of multiple sclerosis (MS, n = 4), rabies (n = 10), or Histoplasma meningitis (n = 3). Healthy controls were not available.</w:t>
            </w:r>
          </w:p>
        </w:tc>
        <w:tc>
          <w:tcPr>
            <w:tcW w:w="396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54693E4" w14:textId="77777777" w:rsidR="002D58E4" w:rsidRDefault="00F721D4">
            <w:pPr>
              <w:rPr>
                <w:sz w:val="20"/>
                <w:szCs w:val="20"/>
              </w:rPr>
            </w:pPr>
            <w:r>
              <w:rPr>
                <w:sz w:val="20"/>
                <w:szCs w:val="20"/>
              </w:rPr>
              <w:t>Samples were analyzed by 1H-NMR spectroscopy.</w:t>
            </w:r>
            <w:r>
              <w:t xml:space="preserve"> </w:t>
            </w:r>
            <w:r>
              <w:rPr>
                <w:sz w:val="20"/>
                <w:szCs w:val="20"/>
              </w:rPr>
              <w:t xml:space="preserve">A total of 57 compounds were identified and quantified in CSF samples. Quantification for 13 metabolites was considered not to be exact but still useful in detecting differences between groups. </w:t>
            </w:r>
          </w:p>
          <w:p w14:paraId="4FA46047" w14:textId="77777777" w:rsidR="002D58E4" w:rsidRDefault="002D58E4">
            <w:pPr>
              <w:rPr>
                <w:sz w:val="20"/>
                <w:szCs w:val="20"/>
              </w:rPr>
            </w:pPr>
          </w:p>
          <w:p w14:paraId="700E6473" w14:textId="77777777" w:rsidR="002D58E4" w:rsidRDefault="00F721D4">
            <w:pPr>
              <w:rPr>
                <w:sz w:val="20"/>
                <w:szCs w:val="20"/>
              </w:rPr>
            </w:pPr>
            <w:r>
              <w:rPr>
                <w:sz w:val="20"/>
                <w:szCs w:val="20"/>
              </w:rPr>
              <w:t>Lyme disease and WNV patients shared higher levels of formate and glycine compared to controls. High pyroglutamate discriminated WNV, Lyme, and histoplasmosis from controls.</w:t>
            </w:r>
          </w:p>
          <w:p w14:paraId="733075C1" w14:textId="77777777" w:rsidR="002D58E4" w:rsidRDefault="002D58E4">
            <w:pPr>
              <w:rPr>
                <w:sz w:val="20"/>
                <w:szCs w:val="20"/>
              </w:rPr>
            </w:pPr>
          </w:p>
          <w:p w14:paraId="25224F32" w14:textId="77777777" w:rsidR="002D58E4" w:rsidRDefault="00F721D4">
            <w:pPr>
              <w:rPr>
                <w:sz w:val="20"/>
                <w:szCs w:val="20"/>
              </w:rPr>
            </w:pPr>
            <w:r>
              <w:rPr>
                <w:sz w:val="20"/>
                <w:szCs w:val="20"/>
              </w:rPr>
              <w:t xml:space="preserve">Classification and regression trees (CART) analysis differentiated infection status with 100% sensitivity and 93% specificity. </w:t>
            </w:r>
          </w:p>
        </w:tc>
        <w:tc>
          <w:tcPr>
            <w:tcW w:w="3890"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045022A" w14:textId="77777777" w:rsidR="002D58E4" w:rsidRDefault="00F721D4">
            <w:pPr>
              <w:rPr>
                <w:sz w:val="20"/>
                <w:szCs w:val="20"/>
              </w:rPr>
            </w:pPr>
            <w:r>
              <w:rPr>
                <w:sz w:val="20"/>
                <w:szCs w:val="20"/>
              </w:rPr>
              <w:t>NMR metabolomics of CSF is a potentially important tool for emergent diseases and distinguishing between autoimmune and infectious EM. Decision analytical approaches such as CART offer diagnostic flow charts that are easily implemented once validated, with quantifiable diagnostic probabilities.</w:t>
            </w:r>
          </w:p>
        </w:tc>
      </w:tr>
      <w:tr w:rsidR="002D58E4" w14:paraId="50C542B1" w14:textId="77777777" w:rsidTr="003D1C11">
        <w:trPr>
          <w:trHeight w:val="340"/>
        </w:trPr>
        <w:tc>
          <w:tcPr>
            <w:tcW w:w="14459" w:type="dxa"/>
            <w:gridSpan w:val="11"/>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1B741E90" w14:textId="77777777" w:rsidR="002D58E4" w:rsidRDefault="00F721D4">
            <w:pPr>
              <w:jc w:val="center"/>
              <w:rPr>
                <w:b/>
                <w:i/>
                <w:sz w:val="20"/>
                <w:szCs w:val="20"/>
              </w:rPr>
            </w:pPr>
            <w:r>
              <w:rPr>
                <w:b/>
                <w:i/>
                <w:sz w:val="20"/>
                <w:szCs w:val="20"/>
              </w:rPr>
              <w:t>CXCL13</w:t>
            </w:r>
          </w:p>
        </w:tc>
      </w:tr>
      <w:tr w:rsidR="002D58E4" w14:paraId="72E33B0F" w14:textId="77777777" w:rsidTr="003D1C11">
        <w:trPr>
          <w:trHeight w:val="6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A9C6BF9" w14:textId="77777777" w:rsidR="002D58E4" w:rsidRDefault="00F721D4">
            <w:pPr>
              <w:rPr>
                <w:sz w:val="20"/>
                <w:szCs w:val="20"/>
              </w:rPr>
            </w:pPr>
            <w:r>
              <w:rPr>
                <w:sz w:val="20"/>
                <w:szCs w:val="20"/>
              </w:rPr>
              <w:t>Ljøstad and Mygland, 2008</w:t>
            </w:r>
          </w:p>
          <w:p w14:paraId="1DE709F9" w14:textId="77777777" w:rsidR="002D58E4" w:rsidRDefault="002D58E4">
            <w:pPr>
              <w:rPr>
                <w:sz w:val="20"/>
                <w:szCs w:val="20"/>
              </w:rPr>
            </w:pPr>
          </w:p>
          <w:p w14:paraId="4376591E" w14:textId="77777777" w:rsidR="002D58E4" w:rsidRDefault="00F721D4">
            <w:pPr>
              <w:rPr>
                <w:sz w:val="20"/>
                <w:szCs w:val="20"/>
              </w:rPr>
            </w:pPr>
            <w:r>
              <w:rPr>
                <w:sz w:val="20"/>
                <w:szCs w:val="20"/>
              </w:rPr>
              <w:t>Kritstiansand, Norway</w:t>
            </w:r>
          </w:p>
        </w:tc>
        <w:tc>
          <w:tcPr>
            <w:tcW w:w="876" w:type="dxa"/>
            <w:tcBorders>
              <w:top w:val="single" w:sz="6" w:space="0" w:color="AEAEAE"/>
              <w:left w:val="single" w:sz="6" w:space="0" w:color="AEAEAE"/>
              <w:bottom w:val="single" w:sz="6" w:space="0" w:color="AEAEAE"/>
              <w:right w:val="single" w:sz="6" w:space="0" w:color="AEAEAE"/>
            </w:tcBorders>
            <w:vAlign w:val="center"/>
          </w:tcPr>
          <w:p w14:paraId="2E45AE90" w14:textId="77777777" w:rsidR="002D58E4" w:rsidRDefault="00F721D4">
            <w:pPr>
              <w:rPr>
                <w:sz w:val="20"/>
                <w:szCs w:val="20"/>
              </w:rPr>
            </w:pPr>
            <w:r>
              <w:rPr>
                <w:sz w:val="20"/>
                <w:szCs w:val="20"/>
              </w:rPr>
              <w:t>Case-control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42469BE9" w14:textId="77777777" w:rsidR="002D58E4" w:rsidRDefault="002D58E4">
            <w:pPr>
              <w:ind w:left="-212" w:firstLine="212"/>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29D80C11" w14:textId="77777777" w:rsidR="002D58E4" w:rsidRDefault="00F721D4">
            <w:pPr>
              <w:spacing w:after="120"/>
              <w:rPr>
                <w:sz w:val="20"/>
                <w:szCs w:val="20"/>
              </w:rPr>
            </w:pPr>
            <w:r>
              <w:rPr>
                <w:sz w:val="20"/>
                <w:szCs w:val="20"/>
              </w:rPr>
              <w:t xml:space="preserve">Paired serum and cerebrospinal fluid (CSF) samples were collected from adults with acute neuroborreliosis (LNB) who had participated in a clinical trial comparing ceftriaxone and doxycycline. Patients were categorized as having “definite LNB” (N=37), “probable LNB” (N=7), or “possible LNB” (N=7); for this study, patients with “definite LNB” were used as the reference standard. The average symptom duration at baseline was 4.3 weeks (range 1-16). Eight patients who did not fulfill case definitions were used as controls. Serum and CSF samples were tested for presence of antibodies against </w:t>
            </w:r>
            <w:r>
              <w:rPr>
                <w:i/>
                <w:sz w:val="20"/>
                <w:szCs w:val="20"/>
              </w:rPr>
              <w:t>B. burgdorferi</w:t>
            </w:r>
            <w:r>
              <w:rPr>
                <w:sz w:val="20"/>
                <w:szCs w:val="20"/>
              </w:rPr>
              <w:t xml:space="preserve"> by two different ELISA tests, and CSF was assessed for intrathecal antibody production. </w:t>
            </w:r>
          </w:p>
          <w:p w14:paraId="6053BA85" w14:textId="77777777" w:rsidR="002D58E4" w:rsidRDefault="00F721D4">
            <w:pPr>
              <w:rPr>
                <w:sz w:val="20"/>
                <w:szCs w:val="20"/>
              </w:rPr>
            </w:pPr>
            <w:r>
              <w:rPr>
                <w:sz w:val="20"/>
                <w:szCs w:val="20"/>
              </w:rPr>
              <w:t>For this study, 31 patients with multiple sclerosis, 11 with non-inflammatory neurological disorders, and 10 with verified viral (enterovirus, N=3; Herpes Simplex virus (HSV) 1, N=1; HSV 2, N=2; Varicella Zoster virus, N=2) or bacterial meningoencephalitis (N=2) and high CSF cell count also served as controls.</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7277210" w14:textId="77777777" w:rsidR="002D58E4" w:rsidRDefault="00F721D4">
            <w:pPr>
              <w:rPr>
                <w:sz w:val="20"/>
                <w:szCs w:val="20"/>
              </w:rPr>
            </w:pPr>
            <w:r>
              <w:rPr>
                <w:sz w:val="20"/>
                <w:szCs w:val="20"/>
              </w:rPr>
              <w:t xml:space="preserve">Pre-treatment sensitivity of elevated CXCL13 in the CSF: 100% (95% CI: 91%–100%) </w:t>
            </w:r>
          </w:p>
          <w:p w14:paraId="0F4F78F4" w14:textId="77777777" w:rsidR="002D58E4" w:rsidRDefault="002D58E4">
            <w:pPr>
              <w:rPr>
                <w:sz w:val="20"/>
                <w:szCs w:val="20"/>
              </w:rPr>
            </w:pPr>
          </w:p>
          <w:p w14:paraId="76DFD166" w14:textId="77777777" w:rsidR="002D58E4" w:rsidRDefault="00F721D4">
            <w:pPr>
              <w:rPr>
                <w:sz w:val="20"/>
                <w:szCs w:val="20"/>
              </w:rPr>
            </w:pPr>
            <w:r>
              <w:rPr>
                <w:sz w:val="20"/>
                <w:szCs w:val="20"/>
              </w:rPr>
              <w:t xml:space="preserve">Pre-treatment specificity of elevated CXCL13 in the CSF: 63% (95% CI: 31%–86%) </w:t>
            </w:r>
          </w:p>
          <w:p w14:paraId="03712F11" w14:textId="77777777" w:rsidR="002D58E4" w:rsidRDefault="002D58E4">
            <w:pPr>
              <w:rPr>
                <w:sz w:val="20"/>
                <w:szCs w:val="20"/>
              </w:rPr>
            </w:pPr>
          </w:p>
          <w:p w14:paraId="28276024" w14:textId="77777777" w:rsidR="002D58E4" w:rsidRDefault="00F721D4">
            <w:pPr>
              <w:rPr>
                <w:sz w:val="20"/>
                <w:szCs w:val="20"/>
              </w:rPr>
            </w:pPr>
            <w:r>
              <w:rPr>
                <w:sz w:val="20"/>
                <w:szCs w:val="20"/>
              </w:rPr>
              <w:t xml:space="preserve">Pre-treatment sensitivity of positive CSF </w:t>
            </w:r>
            <w:r>
              <w:rPr>
                <w:i/>
                <w:sz w:val="20"/>
                <w:szCs w:val="20"/>
              </w:rPr>
              <w:t xml:space="preserve">B. burgdorferi </w:t>
            </w:r>
            <w:r>
              <w:rPr>
                <w:sz w:val="20"/>
                <w:szCs w:val="20"/>
              </w:rPr>
              <w:t xml:space="preserve">antibody index: 78% (95% CI: 75%-96%) </w:t>
            </w:r>
          </w:p>
          <w:p w14:paraId="09A00B11" w14:textId="77777777" w:rsidR="002D58E4" w:rsidRDefault="002D58E4">
            <w:pPr>
              <w:rPr>
                <w:sz w:val="20"/>
                <w:szCs w:val="20"/>
              </w:rPr>
            </w:pPr>
          </w:p>
          <w:p w14:paraId="5BD53150" w14:textId="77777777" w:rsidR="002D58E4" w:rsidRDefault="00F721D4">
            <w:pPr>
              <w:rPr>
                <w:sz w:val="20"/>
                <w:szCs w:val="20"/>
              </w:rPr>
            </w:pPr>
            <w:r>
              <w:rPr>
                <w:sz w:val="20"/>
                <w:szCs w:val="20"/>
              </w:rPr>
              <w:t xml:space="preserve">Pre-treatment specificity of positive CSF </w:t>
            </w:r>
            <w:r>
              <w:rPr>
                <w:i/>
                <w:sz w:val="20"/>
                <w:szCs w:val="20"/>
              </w:rPr>
              <w:t xml:space="preserve">B. burgdorferi </w:t>
            </w:r>
            <w:r>
              <w:rPr>
                <w:sz w:val="20"/>
                <w:szCs w:val="20"/>
              </w:rPr>
              <w:t>antibody index: 63% (95% CI: 31%-86%)</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CD1B55D" w14:textId="77777777" w:rsidR="002D58E4" w:rsidRDefault="00F721D4">
            <w:pPr>
              <w:rPr>
                <w:sz w:val="20"/>
                <w:szCs w:val="20"/>
              </w:rPr>
            </w:pPr>
            <w:r>
              <w:rPr>
                <w:sz w:val="20"/>
                <w:szCs w:val="20"/>
              </w:rPr>
              <w:t xml:space="preserve">Pre-treatment sensitivity of elevated CXCL13 in the CSF was significantly higher than a positive antibody index for </w:t>
            </w:r>
            <w:r>
              <w:rPr>
                <w:i/>
                <w:sz w:val="20"/>
                <w:szCs w:val="20"/>
              </w:rPr>
              <w:t>B. burgdorferi</w:t>
            </w:r>
            <w:r>
              <w:rPr>
                <w:sz w:val="20"/>
                <w:szCs w:val="20"/>
              </w:rPr>
              <w:t xml:space="preserve"> (p = 0.053). Specificity was not different between the two tests. At presentation, CSF CXCL13 was elevated in all patients with “definite LNB”, as compared to a positive CSF </w:t>
            </w:r>
            <w:r>
              <w:rPr>
                <w:i/>
                <w:sz w:val="20"/>
                <w:szCs w:val="20"/>
              </w:rPr>
              <w:t>B. burgdorferi</w:t>
            </w:r>
            <w:r>
              <w:rPr>
                <w:sz w:val="20"/>
                <w:szCs w:val="20"/>
              </w:rPr>
              <w:t xml:space="preserve"> antibody index in only 33 of 37 “definite LNB” patients.  Four months post-treatment CSF CXCL13 was normalized in 82% of patients with “definite LNB”, as compared to a negative antibody index in only 10% of patients (p&lt;0.001)</w:t>
            </w:r>
            <w:r>
              <w:t xml:space="preserve"> </w:t>
            </w:r>
            <w:r>
              <w:rPr>
                <w:sz w:val="20"/>
                <w:szCs w:val="20"/>
              </w:rPr>
              <w:t xml:space="preserve">and a normal CSF cell count in only 60% of patients (p=0.092) at four months. </w:t>
            </w:r>
          </w:p>
          <w:p w14:paraId="34276875" w14:textId="77777777" w:rsidR="002D58E4" w:rsidRDefault="002D58E4">
            <w:pPr>
              <w:rPr>
                <w:sz w:val="20"/>
                <w:szCs w:val="20"/>
              </w:rPr>
            </w:pPr>
          </w:p>
          <w:p w14:paraId="66DF28C4" w14:textId="77777777" w:rsidR="002D58E4" w:rsidRDefault="00F721D4">
            <w:pPr>
              <w:rPr>
                <w:sz w:val="20"/>
                <w:szCs w:val="20"/>
              </w:rPr>
            </w:pPr>
            <w:r>
              <w:rPr>
                <w:sz w:val="20"/>
                <w:szCs w:val="20"/>
              </w:rPr>
              <w:t xml:space="preserve">CSF CXCL13 was very slightly elevated in 15 of 31 multiple sclerosis patients and in 9 of 10 patients with non-Lyme meningitis, and was normal in all patients with non-inflammatory neurological disorders. Mean CSF CXCL13 was significantly higher in patients with “definite LNB” than in patients with multiple sclerosis or non-Lyme meningitis (p&lt;0.001). </w:t>
            </w:r>
          </w:p>
          <w:p w14:paraId="1A2BE65C" w14:textId="77777777" w:rsidR="002D58E4" w:rsidRDefault="002D58E4">
            <w:pPr>
              <w:rPr>
                <w:sz w:val="20"/>
                <w:szCs w:val="20"/>
              </w:rPr>
            </w:pPr>
          </w:p>
          <w:p w14:paraId="21311444" w14:textId="77777777" w:rsidR="002D58E4" w:rsidRDefault="00F721D4">
            <w:pPr>
              <w:rPr>
                <w:sz w:val="20"/>
                <w:szCs w:val="20"/>
              </w:rPr>
            </w:pPr>
            <w:r>
              <w:rPr>
                <w:sz w:val="20"/>
                <w:szCs w:val="20"/>
              </w:rPr>
              <w:t xml:space="preserve">The authors concluded that CSF levels of CXCL13 are an accurate diagnostic marker for the early diagnosis of neuroborreliosis, and that measuring CXCL13 may also be a useful tool for measuring treatment success, since it reverts to normal more quickly than the intrathecal antibody index. </w:t>
            </w:r>
          </w:p>
        </w:tc>
      </w:tr>
      <w:tr w:rsidR="002D58E4" w14:paraId="15D24CD8" w14:textId="77777777" w:rsidTr="003D1C11">
        <w:trPr>
          <w:trHeight w:val="50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25D9DCC" w14:textId="77777777" w:rsidR="002D58E4" w:rsidRDefault="00F721D4">
            <w:pPr>
              <w:rPr>
                <w:sz w:val="20"/>
                <w:szCs w:val="20"/>
              </w:rPr>
            </w:pPr>
            <w:r>
              <w:rPr>
                <w:sz w:val="20"/>
                <w:szCs w:val="20"/>
              </w:rPr>
              <w:t>Tjernberg, et al., 2011</w:t>
            </w:r>
          </w:p>
          <w:p w14:paraId="2C7B4B97" w14:textId="77777777" w:rsidR="002D58E4" w:rsidRDefault="002D58E4">
            <w:pPr>
              <w:rPr>
                <w:sz w:val="20"/>
                <w:szCs w:val="20"/>
              </w:rPr>
            </w:pPr>
          </w:p>
          <w:p w14:paraId="110FA757" w14:textId="77777777" w:rsidR="002D58E4" w:rsidRDefault="00F721D4">
            <w:pPr>
              <w:rPr>
                <w:sz w:val="20"/>
                <w:szCs w:val="20"/>
              </w:rPr>
            </w:pPr>
            <w:r>
              <w:rPr>
                <w:sz w:val="20"/>
                <w:szCs w:val="20"/>
              </w:rPr>
              <w:t>Kalmar and Jönköping, Sweden</w:t>
            </w:r>
          </w:p>
        </w:tc>
        <w:tc>
          <w:tcPr>
            <w:tcW w:w="876" w:type="dxa"/>
            <w:tcBorders>
              <w:top w:val="single" w:sz="6" w:space="0" w:color="AEAEAE"/>
              <w:left w:val="single" w:sz="6" w:space="0" w:color="AEAEAE"/>
              <w:bottom w:val="single" w:sz="6" w:space="0" w:color="AEAEAE"/>
              <w:right w:val="single" w:sz="6" w:space="0" w:color="AEAEAE"/>
            </w:tcBorders>
            <w:vAlign w:val="center"/>
          </w:tcPr>
          <w:p w14:paraId="20937306" w14:textId="77777777" w:rsidR="002D58E4" w:rsidRDefault="00F721D4">
            <w:pPr>
              <w:rPr>
                <w:sz w:val="20"/>
                <w:szCs w:val="20"/>
              </w:rPr>
            </w:pPr>
            <w:r>
              <w:rPr>
                <w:sz w:val="20"/>
                <w:szCs w:val="20"/>
              </w:rPr>
              <w:t>Case-control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53B06C6B"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23C2A66" w14:textId="77777777" w:rsidR="002D58E4" w:rsidRDefault="00F721D4">
            <w:pPr>
              <w:spacing w:after="120"/>
              <w:rPr>
                <w:sz w:val="20"/>
                <w:szCs w:val="20"/>
              </w:rPr>
            </w:pPr>
            <w:r>
              <w:rPr>
                <w:sz w:val="20"/>
                <w:szCs w:val="20"/>
              </w:rPr>
              <w:t xml:space="preserve">124 patients with a positive </w:t>
            </w:r>
            <w:r>
              <w:rPr>
                <w:i/>
                <w:sz w:val="20"/>
                <w:szCs w:val="20"/>
              </w:rPr>
              <w:t xml:space="preserve">B. burgdorferi </w:t>
            </w:r>
            <w:r>
              <w:rPr>
                <w:sz w:val="20"/>
                <w:szCs w:val="20"/>
              </w:rPr>
              <w:t>antibody index were identified and matched to 124 patients with negative antibody index. An additional 90 patients with intrathecal antibody production from another county were also identified and were included together with 25 matching negative patients.</w:t>
            </w:r>
          </w:p>
          <w:p w14:paraId="4933699D" w14:textId="77777777" w:rsidR="002D58E4" w:rsidRDefault="00F721D4">
            <w:pPr>
              <w:spacing w:after="120"/>
              <w:rPr>
                <w:sz w:val="20"/>
                <w:szCs w:val="20"/>
              </w:rPr>
            </w:pPr>
            <w:r>
              <w:rPr>
                <w:sz w:val="20"/>
                <w:szCs w:val="20"/>
              </w:rPr>
              <w:t>In total, 261 of 363 patients had sufficient cerebrospinal fluid (CSF) and serum material and were included. Patients were divided into three main diagnostic groups based on original results of CSF pleocytosis and intrathecal anti-B</w:t>
            </w:r>
            <w:r>
              <w:rPr>
                <w:i/>
                <w:sz w:val="20"/>
                <w:szCs w:val="20"/>
              </w:rPr>
              <w:t>orrelia</w:t>
            </w:r>
            <w:r>
              <w:rPr>
                <w:sz w:val="20"/>
                <w:szCs w:val="20"/>
              </w:rPr>
              <w:t xml:space="preserve"> antibodies: Definite neuroborreliosis (LNB) (N=124), Possible LNB with anti-B</w:t>
            </w:r>
            <w:r>
              <w:rPr>
                <w:i/>
                <w:sz w:val="20"/>
                <w:szCs w:val="20"/>
              </w:rPr>
              <w:t xml:space="preserve">orrelia </w:t>
            </w:r>
            <w:r>
              <w:rPr>
                <w:sz w:val="20"/>
                <w:szCs w:val="20"/>
              </w:rPr>
              <w:t>antibodies (N=29), Possible LNB without anti-</w:t>
            </w:r>
            <w:r>
              <w:rPr>
                <w:i/>
                <w:sz w:val="20"/>
                <w:szCs w:val="20"/>
              </w:rPr>
              <w:t>Borrelia</w:t>
            </w:r>
            <w:r>
              <w:rPr>
                <w:sz w:val="20"/>
                <w:szCs w:val="20"/>
              </w:rPr>
              <w:t xml:space="preserve"> antibodies (N=16), and non-LNB (N=92). Median symptom duration before lumbar puncture ranged from 1 week to 4 weeks, with maximum symptom duration of 730 weeks reported. Median age ranged from 8 years to 55 years, with a minimum age of 3 and a maximum age of 87 years reported. </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4678EB7" w14:textId="77777777" w:rsidR="002D58E4" w:rsidRDefault="002D58E4">
            <w:pPr>
              <w:rPr>
                <w:sz w:val="20"/>
                <w:szCs w:val="20"/>
              </w:rPr>
            </w:pPr>
          </w:p>
          <w:p w14:paraId="23DAE4CA" w14:textId="77777777" w:rsidR="002D58E4" w:rsidRDefault="00F721D4">
            <w:pPr>
              <w:rPr>
                <w:sz w:val="20"/>
                <w:szCs w:val="20"/>
                <w:u w:val="single"/>
              </w:rPr>
            </w:pPr>
            <w:r>
              <w:rPr>
                <w:sz w:val="20"/>
                <w:szCs w:val="20"/>
                <w:u w:val="single"/>
              </w:rPr>
              <w:t xml:space="preserve">CSF-Serum CXCL13 ratio: </w:t>
            </w:r>
          </w:p>
          <w:p w14:paraId="1F87D8D9" w14:textId="77777777" w:rsidR="002D58E4" w:rsidRDefault="00F721D4">
            <w:pPr>
              <w:numPr>
                <w:ilvl w:val="0"/>
                <w:numId w:val="30"/>
              </w:numPr>
              <w:rPr>
                <w:sz w:val="20"/>
                <w:szCs w:val="20"/>
              </w:rPr>
            </w:pPr>
            <w:r>
              <w:rPr>
                <w:sz w:val="20"/>
                <w:szCs w:val="20"/>
              </w:rPr>
              <w:t>Sensitivity: 99%</w:t>
            </w:r>
          </w:p>
          <w:p w14:paraId="3996D0E7" w14:textId="77777777" w:rsidR="002D58E4" w:rsidRDefault="00F721D4">
            <w:pPr>
              <w:numPr>
                <w:ilvl w:val="0"/>
                <w:numId w:val="30"/>
              </w:numPr>
              <w:rPr>
                <w:sz w:val="20"/>
                <w:szCs w:val="20"/>
              </w:rPr>
            </w:pPr>
            <w:r>
              <w:rPr>
                <w:sz w:val="20"/>
                <w:szCs w:val="20"/>
              </w:rPr>
              <w:t>Specificity: 96%</w:t>
            </w:r>
          </w:p>
          <w:p w14:paraId="69D9001D" w14:textId="77777777" w:rsidR="002D58E4" w:rsidRDefault="002D58E4">
            <w:pPr>
              <w:rPr>
                <w:sz w:val="20"/>
                <w:szCs w:val="20"/>
              </w:rPr>
            </w:pPr>
          </w:p>
          <w:p w14:paraId="44E63C57" w14:textId="77777777" w:rsidR="002D58E4" w:rsidRDefault="00F721D4">
            <w:pPr>
              <w:rPr>
                <w:sz w:val="20"/>
                <w:szCs w:val="20"/>
                <w:u w:val="single"/>
              </w:rPr>
            </w:pPr>
            <w:r>
              <w:rPr>
                <w:sz w:val="20"/>
                <w:szCs w:val="20"/>
                <w:u w:val="single"/>
              </w:rPr>
              <w:t xml:space="preserve">Serum CXCL13 alone: </w:t>
            </w:r>
          </w:p>
          <w:p w14:paraId="4FA5AD59" w14:textId="77777777" w:rsidR="002D58E4" w:rsidRDefault="00F721D4">
            <w:pPr>
              <w:numPr>
                <w:ilvl w:val="0"/>
                <w:numId w:val="30"/>
              </w:numPr>
              <w:rPr>
                <w:sz w:val="20"/>
                <w:szCs w:val="20"/>
              </w:rPr>
            </w:pPr>
            <w:r>
              <w:rPr>
                <w:sz w:val="20"/>
                <w:szCs w:val="20"/>
              </w:rPr>
              <w:t>Sensitivity: 47%</w:t>
            </w:r>
          </w:p>
          <w:p w14:paraId="21F7FDB6" w14:textId="77777777" w:rsidR="002D58E4" w:rsidRDefault="00F721D4">
            <w:pPr>
              <w:numPr>
                <w:ilvl w:val="0"/>
                <w:numId w:val="30"/>
              </w:numPr>
              <w:rPr>
                <w:sz w:val="20"/>
                <w:szCs w:val="20"/>
              </w:rPr>
            </w:pPr>
            <w:r>
              <w:rPr>
                <w:sz w:val="20"/>
                <w:szCs w:val="20"/>
              </w:rPr>
              <w:t>Specificity: 80%</w:t>
            </w:r>
          </w:p>
          <w:p w14:paraId="41CCE271" w14:textId="77777777" w:rsidR="002D58E4" w:rsidRDefault="002D58E4">
            <w:pPr>
              <w:rPr>
                <w:sz w:val="20"/>
                <w:szCs w:val="20"/>
              </w:rPr>
            </w:pPr>
          </w:p>
          <w:p w14:paraId="6C17F326" w14:textId="77777777" w:rsidR="002D58E4" w:rsidRDefault="00F721D4">
            <w:pPr>
              <w:rPr>
                <w:sz w:val="20"/>
                <w:szCs w:val="20"/>
                <w:u w:val="single"/>
              </w:rPr>
            </w:pPr>
            <w:r>
              <w:rPr>
                <w:sz w:val="20"/>
                <w:szCs w:val="20"/>
                <w:u w:val="single"/>
              </w:rPr>
              <w:t>CSF-C6 antibodies:</w:t>
            </w:r>
          </w:p>
          <w:p w14:paraId="6DD7DA6F" w14:textId="77777777" w:rsidR="002D58E4" w:rsidRDefault="00F721D4">
            <w:pPr>
              <w:numPr>
                <w:ilvl w:val="0"/>
                <w:numId w:val="30"/>
              </w:numPr>
              <w:rPr>
                <w:sz w:val="20"/>
                <w:szCs w:val="20"/>
              </w:rPr>
            </w:pPr>
            <w:r>
              <w:rPr>
                <w:sz w:val="20"/>
                <w:szCs w:val="20"/>
              </w:rPr>
              <w:t>Sensitivity: 99%</w:t>
            </w:r>
          </w:p>
          <w:p w14:paraId="0CE3C83E" w14:textId="77777777" w:rsidR="002D58E4" w:rsidRDefault="00F721D4">
            <w:pPr>
              <w:numPr>
                <w:ilvl w:val="0"/>
                <w:numId w:val="30"/>
              </w:numPr>
              <w:rPr>
                <w:sz w:val="20"/>
                <w:szCs w:val="20"/>
              </w:rPr>
            </w:pPr>
            <w:r>
              <w:rPr>
                <w:sz w:val="20"/>
                <w:szCs w:val="20"/>
              </w:rPr>
              <w:t>Specificity: 88%</w:t>
            </w:r>
          </w:p>
          <w:p w14:paraId="1985A600" w14:textId="77777777" w:rsidR="002D58E4" w:rsidRDefault="00F721D4">
            <w:pPr>
              <w:rPr>
                <w:sz w:val="20"/>
                <w:szCs w:val="20"/>
              </w:rPr>
            </w:pPr>
            <w:r>
              <w:rPr>
                <w:sz w:val="20"/>
                <w:szCs w:val="20"/>
              </w:rPr>
              <w:t xml:space="preserve"> </w:t>
            </w:r>
          </w:p>
          <w:p w14:paraId="373E1FAC" w14:textId="77777777" w:rsidR="002D58E4" w:rsidRDefault="00F721D4">
            <w:pPr>
              <w:rPr>
                <w:sz w:val="20"/>
                <w:szCs w:val="20"/>
                <w:u w:val="single"/>
              </w:rPr>
            </w:pPr>
            <w:r>
              <w:rPr>
                <w:sz w:val="20"/>
                <w:szCs w:val="20"/>
                <w:u w:val="single"/>
              </w:rPr>
              <w:t xml:space="preserve">CSF-Serum CXCL13 ratio and CSF-C6 antibodies in parallel:  </w:t>
            </w:r>
          </w:p>
          <w:p w14:paraId="6551E2DF" w14:textId="77777777" w:rsidR="002D58E4" w:rsidRDefault="00F721D4">
            <w:pPr>
              <w:numPr>
                <w:ilvl w:val="0"/>
                <w:numId w:val="30"/>
              </w:numPr>
              <w:rPr>
                <w:sz w:val="20"/>
                <w:szCs w:val="20"/>
              </w:rPr>
            </w:pPr>
            <w:r>
              <w:rPr>
                <w:sz w:val="20"/>
                <w:szCs w:val="20"/>
              </w:rPr>
              <w:t>Sensitivity: 99%</w:t>
            </w:r>
          </w:p>
          <w:p w14:paraId="1179799A" w14:textId="77777777" w:rsidR="002D58E4" w:rsidRDefault="00F721D4">
            <w:pPr>
              <w:numPr>
                <w:ilvl w:val="0"/>
                <w:numId w:val="30"/>
              </w:numPr>
              <w:rPr>
                <w:sz w:val="20"/>
                <w:szCs w:val="20"/>
              </w:rPr>
            </w:pPr>
            <w:r>
              <w:rPr>
                <w:sz w:val="20"/>
                <w:szCs w:val="20"/>
              </w:rPr>
              <w:t>Specificity: 98%</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C3AD4B2" w14:textId="77777777" w:rsidR="002D58E4" w:rsidRDefault="00F721D4">
            <w:pPr>
              <w:rPr>
                <w:sz w:val="20"/>
                <w:szCs w:val="20"/>
              </w:rPr>
            </w:pPr>
            <w:r>
              <w:rPr>
                <w:sz w:val="20"/>
                <w:szCs w:val="20"/>
              </w:rPr>
              <w:t>In addition to high sensitivity and specificity noted among “definite LNB” and “non-LNB” patients, the CSF-Serum CXCL13 ratio was able to detect highly probable cases of LNB among children with short symptom duration in whom CSF anti-</w:t>
            </w:r>
            <w:r>
              <w:rPr>
                <w:i/>
                <w:sz w:val="20"/>
                <w:szCs w:val="20"/>
              </w:rPr>
              <w:t xml:space="preserve">Borrelia </w:t>
            </w:r>
            <w:r>
              <w:rPr>
                <w:sz w:val="20"/>
                <w:szCs w:val="20"/>
              </w:rPr>
              <w:t xml:space="preserve">antibodies were still negative. </w:t>
            </w:r>
          </w:p>
          <w:p w14:paraId="77FEA300" w14:textId="77777777" w:rsidR="002D58E4" w:rsidRDefault="002D58E4">
            <w:pPr>
              <w:rPr>
                <w:sz w:val="20"/>
                <w:szCs w:val="20"/>
              </w:rPr>
            </w:pPr>
          </w:p>
          <w:p w14:paraId="7EC03E64" w14:textId="77777777" w:rsidR="002D58E4" w:rsidRDefault="00F721D4">
            <w:pPr>
              <w:rPr>
                <w:sz w:val="20"/>
                <w:szCs w:val="20"/>
              </w:rPr>
            </w:pPr>
            <w:r>
              <w:rPr>
                <w:sz w:val="20"/>
                <w:szCs w:val="20"/>
              </w:rPr>
              <w:t>The authors note that levels of CXCL13 in LNB had previously primarily been reported as a ratio between CSF levels of CXCL13 and total protein count in the CSF to compensate for damage to the blood-brain barrier, but that the CSF-Serum CXCL13 ratio has been reported to differentiate patients with neurosyphilis better from LNB patients compared with the CSF-CXCL13/total protein ratio. Although CXCL13 in CSF is a more specific marker for LNB compared to pleocytosis, the suggest that increased CXCL13 levels found in multiple sclerosis and neurosyphilis point to the benefit of combining results of CXCL13 with intrathecal antibody production in order to gain diagnostic specificity.</w:t>
            </w:r>
          </w:p>
          <w:p w14:paraId="30268B39" w14:textId="77777777" w:rsidR="002D58E4" w:rsidRDefault="002D58E4">
            <w:pPr>
              <w:rPr>
                <w:sz w:val="20"/>
                <w:szCs w:val="20"/>
              </w:rPr>
            </w:pPr>
          </w:p>
          <w:p w14:paraId="51B7DE27" w14:textId="77777777" w:rsidR="002D58E4" w:rsidRDefault="00F721D4">
            <w:pPr>
              <w:rPr>
                <w:sz w:val="20"/>
                <w:szCs w:val="20"/>
              </w:rPr>
            </w:pPr>
            <w:r>
              <w:rPr>
                <w:sz w:val="20"/>
                <w:szCs w:val="20"/>
              </w:rPr>
              <w:t xml:space="preserve">The authors concluded that the CSF-Serum CXCL13 ratio is a reliable diagnostic tool in patients with suspected neuroborreliosis. </w:t>
            </w:r>
          </w:p>
        </w:tc>
      </w:tr>
      <w:tr w:rsidR="002D58E4" w14:paraId="2CB5C38E" w14:textId="77777777" w:rsidTr="003D1C11">
        <w:trPr>
          <w:trHeight w:val="76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FDAC9AB" w14:textId="77777777" w:rsidR="002D58E4" w:rsidRPr="002914A2" w:rsidRDefault="00F721D4">
            <w:pPr>
              <w:rPr>
                <w:sz w:val="20"/>
                <w:szCs w:val="20"/>
                <w:lang w:val="fr-CA"/>
              </w:rPr>
            </w:pPr>
            <w:r w:rsidRPr="002914A2">
              <w:rPr>
                <w:sz w:val="20"/>
                <w:szCs w:val="20"/>
                <w:lang w:val="fr-CA"/>
              </w:rPr>
              <w:t>Schmidt, et al., 2011</w:t>
            </w:r>
          </w:p>
          <w:p w14:paraId="47777EBC" w14:textId="77777777" w:rsidR="002D58E4" w:rsidRPr="002914A2" w:rsidRDefault="002D58E4">
            <w:pPr>
              <w:rPr>
                <w:sz w:val="20"/>
                <w:szCs w:val="20"/>
                <w:lang w:val="fr-CA"/>
              </w:rPr>
            </w:pPr>
          </w:p>
          <w:p w14:paraId="4E45D56D" w14:textId="77777777" w:rsidR="002D58E4" w:rsidRPr="002914A2" w:rsidRDefault="00F721D4">
            <w:pPr>
              <w:rPr>
                <w:sz w:val="20"/>
                <w:szCs w:val="20"/>
                <w:lang w:val="fr-CA"/>
              </w:rPr>
            </w:pPr>
            <w:r w:rsidRPr="002914A2">
              <w:rPr>
                <w:sz w:val="20"/>
                <w:szCs w:val="20"/>
                <w:lang w:val="fr-CA"/>
              </w:rPr>
              <w:t>Dachau, Germany</w:t>
            </w:r>
          </w:p>
        </w:tc>
        <w:tc>
          <w:tcPr>
            <w:tcW w:w="876" w:type="dxa"/>
            <w:tcBorders>
              <w:top w:val="single" w:sz="6" w:space="0" w:color="AEAEAE"/>
              <w:left w:val="single" w:sz="6" w:space="0" w:color="AEAEAE"/>
              <w:bottom w:val="single" w:sz="6" w:space="0" w:color="AEAEAE"/>
              <w:right w:val="single" w:sz="6" w:space="0" w:color="AEAEAE"/>
            </w:tcBorders>
            <w:vAlign w:val="center"/>
          </w:tcPr>
          <w:p w14:paraId="68199C59" w14:textId="77777777" w:rsidR="002D58E4" w:rsidRDefault="00F721D4">
            <w:pPr>
              <w:rPr>
                <w:sz w:val="20"/>
                <w:szCs w:val="20"/>
              </w:rPr>
            </w:pPr>
            <w:r>
              <w:rPr>
                <w:sz w:val="20"/>
                <w:szCs w:val="20"/>
              </w:rPr>
              <w:t>Case-control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398FF5CC"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62D5696D" w14:textId="77777777" w:rsidR="002D58E4" w:rsidRDefault="00F721D4">
            <w:pPr>
              <w:spacing w:after="120"/>
              <w:rPr>
                <w:sz w:val="20"/>
                <w:szCs w:val="20"/>
              </w:rPr>
            </w:pPr>
            <w:r>
              <w:rPr>
                <w:sz w:val="20"/>
                <w:szCs w:val="20"/>
              </w:rPr>
              <w:t xml:space="preserve">192 patients with suspected neuroborreliosis (LNB) for whom the </w:t>
            </w:r>
            <w:r>
              <w:rPr>
                <w:i/>
                <w:sz w:val="20"/>
                <w:szCs w:val="20"/>
              </w:rPr>
              <w:t>B. burgdorferi</w:t>
            </w:r>
            <w:r>
              <w:rPr>
                <w:sz w:val="20"/>
                <w:szCs w:val="20"/>
              </w:rPr>
              <w:t xml:space="preserve">-specific antibody index had been requested who presented with cerebrospinal fluid (CSF) pleocytosis were analyzed. In this cohort, 19 patients presented with an antibody index &gt;1.5. Of these, 12 (63.2%) fulfilled the criteria for definite LNB, defined by new neurologic symptoms suggestive of LNB, lymphocytic pleocytosis, and antibody index &gt;1.5. In addition,CSF/serum samples of 13 patients with definite and untreated LNB, which had been previously collected, were also retrospectively analyzed. </w:t>
            </w:r>
          </w:p>
          <w:p w14:paraId="303A5E07" w14:textId="77777777" w:rsidR="002D58E4" w:rsidRDefault="00F721D4">
            <w:pPr>
              <w:spacing w:after="120"/>
              <w:rPr>
                <w:sz w:val="20"/>
                <w:szCs w:val="20"/>
              </w:rPr>
            </w:pPr>
            <w:r>
              <w:rPr>
                <w:sz w:val="20"/>
                <w:szCs w:val="20"/>
              </w:rPr>
              <w:t>178 patients with diagnoses other than LNB were included as controls (encephalomyelitis disseminata, N=63; viral meningitis or encephalitis, N=32; bacterial meningitis, N=6; Candida meningitis, N=1; other chronic autoimmune inflammatory diseases, N=11; malignancies of the white blood cell line, N=6; CSF pleocytosis of unclear etiology, N=4; other diagnosis, e.g. Guillain-Barré syndrome, N=55).</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A360DCE" w14:textId="77777777" w:rsidR="002D58E4" w:rsidRDefault="00F721D4">
            <w:pPr>
              <w:rPr>
                <w:sz w:val="20"/>
                <w:szCs w:val="20"/>
                <w:u w:val="single"/>
              </w:rPr>
            </w:pPr>
            <w:r>
              <w:rPr>
                <w:sz w:val="20"/>
                <w:szCs w:val="20"/>
                <w:u w:val="single"/>
              </w:rPr>
              <w:t>CXCL13 CSF in patients with acute and untreated cases of LNB (N=17):</w:t>
            </w:r>
          </w:p>
          <w:p w14:paraId="16BC7AD2" w14:textId="77777777" w:rsidR="002D58E4" w:rsidRDefault="00F721D4">
            <w:pPr>
              <w:numPr>
                <w:ilvl w:val="0"/>
                <w:numId w:val="20"/>
              </w:numPr>
              <w:rPr>
                <w:sz w:val="20"/>
                <w:szCs w:val="20"/>
              </w:rPr>
            </w:pPr>
            <w:r>
              <w:rPr>
                <w:sz w:val="20"/>
                <w:szCs w:val="20"/>
              </w:rPr>
              <w:t xml:space="preserve">Sensitivity: 94.1% </w:t>
            </w:r>
          </w:p>
          <w:p w14:paraId="57C07BBE" w14:textId="77777777" w:rsidR="002D58E4" w:rsidRDefault="00F721D4">
            <w:pPr>
              <w:numPr>
                <w:ilvl w:val="0"/>
                <w:numId w:val="20"/>
              </w:numPr>
              <w:rPr>
                <w:sz w:val="20"/>
                <w:szCs w:val="20"/>
              </w:rPr>
            </w:pPr>
            <w:r>
              <w:rPr>
                <w:sz w:val="20"/>
                <w:szCs w:val="20"/>
              </w:rPr>
              <w:t xml:space="preserve">Specificity: 96.1% </w:t>
            </w:r>
          </w:p>
          <w:p w14:paraId="0E57FD5F" w14:textId="77777777" w:rsidR="002D58E4" w:rsidRDefault="00F721D4">
            <w:pPr>
              <w:numPr>
                <w:ilvl w:val="0"/>
                <w:numId w:val="20"/>
              </w:numPr>
              <w:rPr>
                <w:sz w:val="20"/>
                <w:szCs w:val="20"/>
              </w:rPr>
            </w:pPr>
            <w:r>
              <w:rPr>
                <w:sz w:val="20"/>
                <w:szCs w:val="20"/>
              </w:rPr>
              <w:t xml:space="preserve">CSF CXCL13 cutoff:1,229 pg/mL </w:t>
            </w:r>
          </w:p>
          <w:p w14:paraId="609FD4B7" w14:textId="77777777" w:rsidR="002D58E4" w:rsidRDefault="002D58E4">
            <w:pPr>
              <w:rPr>
                <w:sz w:val="20"/>
                <w:szCs w:val="20"/>
              </w:rPr>
            </w:pPr>
          </w:p>
          <w:p w14:paraId="6EB05AF3" w14:textId="77777777" w:rsidR="002D58E4" w:rsidRDefault="00F721D4">
            <w:pPr>
              <w:rPr>
                <w:sz w:val="20"/>
                <w:szCs w:val="20"/>
                <w:u w:val="single"/>
              </w:rPr>
            </w:pPr>
            <w:r>
              <w:rPr>
                <w:sz w:val="20"/>
                <w:szCs w:val="20"/>
                <w:u w:val="single"/>
              </w:rPr>
              <w:t xml:space="preserve">CSF </w:t>
            </w:r>
            <w:r>
              <w:rPr>
                <w:i/>
                <w:sz w:val="20"/>
                <w:szCs w:val="20"/>
                <w:u w:val="single"/>
              </w:rPr>
              <w:t xml:space="preserve">B. burgdorferi </w:t>
            </w:r>
            <w:r>
              <w:rPr>
                <w:sz w:val="20"/>
                <w:szCs w:val="20"/>
                <w:u w:val="single"/>
              </w:rPr>
              <w:t xml:space="preserve">antibody index in patients with acute and untreated cases of LNB (N=17): </w:t>
            </w:r>
          </w:p>
          <w:p w14:paraId="7E9E20BF" w14:textId="77777777" w:rsidR="002D58E4" w:rsidRDefault="00F721D4">
            <w:pPr>
              <w:numPr>
                <w:ilvl w:val="0"/>
                <w:numId w:val="54"/>
              </w:numPr>
              <w:rPr>
                <w:sz w:val="20"/>
                <w:szCs w:val="20"/>
              </w:rPr>
            </w:pPr>
            <w:r>
              <w:rPr>
                <w:sz w:val="20"/>
                <w:szCs w:val="20"/>
              </w:rPr>
              <w:t>Sensitivity: 85.7%</w:t>
            </w:r>
          </w:p>
          <w:p w14:paraId="135B44FD" w14:textId="77777777" w:rsidR="002D58E4" w:rsidRDefault="00F721D4">
            <w:pPr>
              <w:numPr>
                <w:ilvl w:val="0"/>
                <w:numId w:val="54"/>
              </w:numPr>
              <w:rPr>
                <w:sz w:val="20"/>
                <w:szCs w:val="20"/>
              </w:rPr>
            </w:pPr>
            <w:r>
              <w:rPr>
                <w:sz w:val="20"/>
                <w:szCs w:val="20"/>
              </w:rPr>
              <w:t>Specificity: 96.1%</w:t>
            </w:r>
          </w:p>
          <w:p w14:paraId="2F724C4B" w14:textId="77777777" w:rsidR="002D58E4" w:rsidRDefault="00F721D4">
            <w:pPr>
              <w:rPr>
                <w:sz w:val="20"/>
                <w:szCs w:val="20"/>
              </w:rPr>
            </w:pPr>
            <w:r>
              <w:rPr>
                <w:sz w:val="20"/>
                <w:szCs w:val="20"/>
              </w:rPr>
              <w:t xml:space="preserve"> </w:t>
            </w:r>
          </w:p>
          <w:p w14:paraId="4EE59D6E" w14:textId="77777777" w:rsidR="002D58E4" w:rsidRDefault="00F721D4">
            <w:pPr>
              <w:rPr>
                <w:sz w:val="20"/>
                <w:szCs w:val="20"/>
                <w:u w:val="single"/>
              </w:rPr>
            </w:pPr>
            <w:r>
              <w:rPr>
                <w:sz w:val="20"/>
                <w:szCs w:val="20"/>
                <w:u w:val="single"/>
              </w:rPr>
              <w:t>CXCL13 CSF in all patients with LNB, untreated and treated (N=27):</w:t>
            </w:r>
          </w:p>
          <w:p w14:paraId="59D56A0A" w14:textId="77777777" w:rsidR="002D58E4" w:rsidRDefault="00F721D4">
            <w:pPr>
              <w:numPr>
                <w:ilvl w:val="0"/>
                <w:numId w:val="12"/>
              </w:numPr>
              <w:rPr>
                <w:sz w:val="20"/>
                <w:szCs w:val="20"/>
              </w:rPr>
            </w:pPr>
            <w:r>
              <w:rPr>
                <w:sz w:val="20"/>
                <w:szCs w:val="20"/>
              </w:rPr>
              <w:t>Sensitivity: 92.6%</w:t>
            </w:r>
          </w:p>
          <w:p w14:paraId="6B51DCBE" w14:textId="77777777" w:rsidR="002D58E4" w:rsidRDefault="00F721D4">
            <w:pPr>
              <w:numPr>
                <w:ilvl w:val="0"/>
                <w:numId w:val="12"/>
              </w:numPr>
              <w:rPr>
                <w:sz w:val="20"/>
                <w:szCs w:val="20"/>
              </w:rPr>
            </w:pPr>
            <w:r>
              <w:rPr>
                <w:sz w:val="20"/>
                <w:szCs w:val="20"/>
              </w:rPr>
              <w:t>Specificity: 83.7%</w:t>
            </w:r>
          </w:p>
          <w:p w14:paraId="3E8E606E" w14:textId="77777777" w:rsidR="002D58E4" w:rsidRDefault="00F721D4">
            <w:pPr>
              <w:numPr>
                <w:ilvl w:val="0"/>
                <w:numId w:val="12"/>
              </w:numPr>
              <w:rPr>
                <w:sz w:val="20"/>
                <w:szCs w:val="20"/>
              </w:rPr>
            </w:pPr>
            <w:r>
              <w:rPr>
                <w:sz w:val="20"/>
                <w:szCs w:val="20"/>
              </w:rPr>
              <w:t>CSF CXCL13 cutoff: 155 pg/mL</w:t>
            </w:r>
          </w:p>
          <w:p w14:paraId="77163C17" w14:textId="77777777" w:rsidR="002D58E4" w:rsidRDefault="002D58E4">
            <w:pPr>
              <w:rPr>
                <w:sz w:val="20"/>
                <w:szCs w:val="20"/>
              </w:rPr>
            </w:pPr>
          </w:p>
          <w:p w14:paraId="2B0C4048" w14:textId="77777777" w:rsidR="002D58E4" w:rsidRDefault="00F721D4">
            <w:pPr>
              <w:rPr>
                <w:sz w:val="20"/>
                <w:szCs w:val="20"/>
              </w:rPr>
            </w:pPr>
            <w:r>
              <w:rPr>
                <w:sz w:val="20"/>
                <w:szCs w:val="20"/>
              </w:rPr>
              <w:t>Serum concentrations of CXCL13 were not significantly different between the patient groups.</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00AE2CD" w14:textId="77777777" w:rsidR="002D58E4" w:rsidRDefault="00F721D4">
            <w:pPr>
              <w:rPr>
                <w:sz w:val="20"/>
                <w:szCs w:val="20"/>
              </w:rPr>
            </w:pPr>
            <w:r>
              <w:rPr>
                <w:sz w:val="20"/>
                <w:szCs w:val="20"/>
              </w:rPr>
              <w:t xml:space="preserve">There were 27 patients with clinically suspected LNB in the overall sample, 17 of whom had not received treatment. 4 of the 14 patients with definite LNB had not received antibiotic treatment prior to study entry. The pretreatment CSF CXCL13 levels were markedly elevated in all 4 untreated patients. The 13 patients with definite and untreated LNB who were retrospectively analyzed also showed significantly elevated CSF CXCL13 levels. </w:t>
            </w:r>
          </w:p>
          <w:p w14:paraId="0CAB8162" w14:textId="77777777" w:rsidR="002D58E4" w:rsidRDefault="002D58E4">
            <w:pPr>
              <w:rPr>
                <w:sz w:val="20"/>
                <w:szCs w:val="20"/>
              </w:rPr>
            </w:pPr>
          </w:p>
          <w:p w14:paraId="2A8F34D7" w14:textId="77777777" w:rsidR="002D58E4" w:rsidRDefault="00F721D4">
            <w:pPr>
              <w:rPr>
                <w:sz w:val="20"/>
                <w:szCs w:val="20"/>
              </w:rPr>
            </w:pPr>
            <w:r>
              <w:rPr>
                <w:sz w:val="20"/>
                <w:szCs w:val="20"/>
              </w:rPr>
              <w:t xml:space="preserve">Five patients had already taken antibiotics for at least 14 days and did not show a substantial elevation of CSF CXCL13 levels. Three patients had received antibiotic treatment (ceftriaxone or doxycycline) for less than 14 days, as had 2 patients with clinical symptoms of acute LNB without an antibody index &gt;1.5; the CSF CXCL13 levels in this group were found to be slightly increased. </w:t>
            </w:r>
          </w:p>
          <w:p w14:paraId="52EAE456" w14:textId="77777777" w:rsidR="002D58E4" w:rsidRDefault="002D58E4">
            <w:pPr>
              <w:rPr>
                <w:sz w:val="20"/>
                <w:szCs w:val="20"/>
              </w:rPr>
            </w:pPr>
          </w:p>
          <w:p w14:paraId="184694FB" w14:textId="77777777" w:rsidR="002D58E4" w:rsidRDefault="00F721D4">
            <w:pPr>
              <w:rPr>
                <w:sz w:val="20"/>
                <w:szCs w:val="20"/>
              </w:rPr>
            </w:pPr>
            <w:r>
              <w:rPr>
                <w:sz w:val="20"/>
                <w:szCs w:val="20"/>
              </w:rPr>
              <w:t xml:space="preserve">Depending on the duration of antibiotic treatment, there was no elevation or only a borderline elevation of CSF CXCL13 in the pretreated patients with LNB, which is in line with the findings of other studies which show that CXCL13 levels decline quickly with treatment. </w:t>
            </w:r>
          </w:p>
          <w:p w14:paraId="66CE1D93" w14:textId="77777777" w:rsidR="002D58E4" w:rsidRDefault="002D58E4">
            <w:pPr>
              <w:rPr>
                <w:sz w:val="20"/>
                <w:szCs w:val="20"/>
              </w:rPr>
            </w:pPr>
          </w:p>
          <w:p w14:paraId="0C5179AE" w14:textId="77777777" w:rsidR="002D58E4" w:rsidRDefault="00F721D4">
            <w:pPr>
              <w:rPr>
                <w:sz w:val="20"/>
                <w:szCs w:val="20"/>
              </w:rPr>
            </w:pPr>
            <w:r>
              <w:rPr>
                <w:sz w:val="20"/>
                <w:szCs w:val="20"/>
              </w:rPr>
              <w:t>The authors conclude that CSF CXCL13 has a high sensitivity and specificity for untreated acute European LNB and can be a useful tool to monitor treatment progress.</w:t>
            </w:r>
            <w:r>
              <w:t xml:space="preserve"> </w:t>
            </w:r>
            <w:r>
              <w:rPr>
                <w:sz w:val="20"/>
                <w:szCs w:val="20"/>
              </w:rPr>
              <w:t>The authors recommend its use in patients with typical clinical symptoms and CSF pleocytosis but with a negative antibody index, or in patients with atypical clinical symptoms and CSF pleocytosis.</w:t>
            </w:r>
          </w:p>
        </w:tc>
      </w:tr>
      <w:tr w:rsidR="002D58E4" w14:paraId="00568B45" w14:textId="77777777" w:rsidTr="003D1C11">
        <w:trPr>
          <w:trHeight w:val="86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41BF307" w14:textId="77777777" w:rsidR="002D58E4" w:rsidRPr="002914A2" w:rsidRDefault="00F721D4">
            <w:pPr>
              <w:rPr>
                <w:sz w:val="20"/>
                <w:szCs w:val="20"/>
                <w:lang w:val="fr-CA"/>
              </w:rPr>
            </w:pPr>
            <w:r w:rsidRPr="002914A2">
              <w:rPr>
                <w:sz w:val="20"/>
                <w:szCs w:val="20"/>
                <w:lang w:val="fr-CA"/>
              </w:rPr>
              <w:t>Sillanpää, et al., 2013</w:t>
            </w:r>
          </w:p>
          <w:p w14:paraId="4F474895" w14:textId="77777777" w:rsidR="002D58E4" w:rsidRPr="002914A2" w:rsidRDefault="002D58E4">
            <w:pPr>
              <w:rPr>
                <w:sz w:val="20"/>
                <w:szCs w:val="20"/>
                <w:lang w:val="fr-CA"/>
              </w:rPr>
            </w:pPr>
          </w:p>
          <w:p w14:paraId="7CB84B53" w14:textId="77777777" w:rsidR="002D58E4" w:rsidRPr="002914A2" w:rsidRDefault="00F721D4">
            <w:pPr>
              <w:rPr>
                <w:sz w:val="20"/>
                <w:szCs w:val="20"/>
                <w:lang w:val="fr-CA"/>
              </w:rPr>
            </w:pPr>
            <w:r w:rsidRPr="002914A2">
              <w:rPr>
                <w:sz w:val="20"/>
                <w:szCs w:val="20"/>
                <w:lang w:val="fr-CA"/>
              </w:rPr>
              <w:t>Helsinki, Finland</w:t>
            </w:r>
          </w:p>
        </w:tc>
        <w:tc>
          <w:tcPr>
            <w:tcW w:w="876" w:type="dxa"/>
            <w:tcBorders>
              <w:top w:val="single" w:sz="6" w:space="0" w:color="AEAEAE"/>
              <w:left w:val="single" w:sz="6" w:space="0" w:color="AEAEAE"/>
              <w:bottom w:val="single" w:sz="6" w:space="0" w:color="AEAEAE"/>
              <w:right w:val="single" w:sz="6" w:space="0" w:color="AEAEAE"/>
            </w:tcBorders>
            <w:vAlign w:val="center"/>
          </w:tcPr>
          <w:p w14:paraId="452EAF21" w14:textId="77777777" w:rsidR="002D58E4" w:rsidRDefault="00F721D4">
            <w:pPr>
              <w:rPr>
                <w:sz w:val="20"/>
                <w:szCs w:val="20"/>
              </w:rPr>
            </w:pPr>
            <w:r>
              <w:rPr>
                <w:sz w:val="20"/>
                <w:szCs w:val="20"/>
              </w:rPr>
              <w:t>Case-control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2B01681F"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70042CA6" w14:textId="77777777" w:rsidR="002D58E4" w:rsidRDefault="00F721D4">
            <w:pPr>
              <w:spacing w:after="120"/>
            </w:pPr>
            <w:r>
              <w:rPr>
                <w:sz w:val="20"/>
                <w:szCs w:val="20"/>
              </w:rPr>
              <w:t>57 cerebrospinal fluid (CSF) samples from pediatric patients (ages 2-17) with clinically suspected neuroborreliosis (LNB) living in a highly endemic area were tested.</w:t>
            </w:r>
            <w:r>
              <w:t xml:space="preserve"> </w:t>
            </w:r>
          </w:p>
          <w:p w14:paraId="6B31CFC4" w14:textId="77777777" w:rsidR="002D58E4" w:rsidRDefault="00F721D4">
            <w:pPr>
              <w:spacing w:after="120"/>
              <w:rPr>
                <w:sz w:val="20"/>
                <w:szCs w:val="20"/>
              </w:rPr>
            </w:pPr>
            <w:r>
              <w:rPr>
                <w:sz w:val="20"/>
                <w:szCs w:val="20"/>
              </w:rPr>
              <w:t>Based on the presence or absence of anti-flagella antibodies and lymphocytic pleocytosis in CSF, patients were divided into 3 different groups: “confirmed LNB” (N=24), “possible LNB” (N=16), and “non-LNB” (N=17). None of the patients had reported erythema migrans.</w:t>
            </w:r>
          </w:p>
          <w:p w14:paraId="70FC8EF5" w14:textId="77777777" w:rsidR="002D58E4" w:rsidRDefault="00F721D4">
            <w:pPr>
              <w:spacing w:after="120"/>
              <w:rPr>
                <w:sz w:val="20"/>
                <w:szCs w:val="20"/>
              </w:rPr>
            </w:pPr>
            <w:r>
              <w:rPr>
                <w:sz w:val="20"/>
                <w:szCs w:val="20"/>
              </w:rPr>
              <w:t>Disease control CSF samples were obtained from children with other neurological diseases such as</w:t>
            </w:r>
            <w:r>
              <w:t xml:space="preserve"> </w:t>
            </w:r>
            <w:r>
              <w:rPr>
                <w:sz w:val="20"/>
                <w:szCs w:val="20"/>
              </w:rPr>
              <w:t>viral meningitis or convulsions/epilepsy (N=13), and from adults with no proven infection (N=16), adults with viral central nervous system infections (N=20), and from one patient with syphilis.</w:t>
            </w:r>
            <w:r>
              <w:t xml:space="preserve"> </w:t>
            </w:r>
            <w:r>
              <w:rPr>
                <w:sz w:val="20"/>
                <w:szCs w:val="20"/>
              </w:rPr>
              <w:t>None of the disease control samples had anti-</w:t>
            </w:r>
            <w:r>
              <w:rPr>
                <w:i/>
                <w:sz w:val="20"/>
                <w:szCs w:val="20"/>
              </w:rPr>
              <w:t>Borrelia</w:t>
            </w:r>
            <w:r>
              <w:rPr>
                <w:sz w:val="20"/>
                <w:szCs w:val="20"/>
              </w:rPr>
              <w:t xml:space="preserve"> antibodies in CSF or serum. Of the 50 controls, 24 had CSF pleocytosis.</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405377B" w14:textId="77777777" w:rsidR="002D58E4" w:rsidRDefault="00F721D4">
            <w:pPr>
              <w:rPr>
                <w:sz w:val="20"/>
                <w:szCs w:val="20"/>
              </w:rPr>
            </w:pPr>
            <w:r>
              <w:rPr>
                <w:sz w:val="20"/>
                <w:szCs w:val="20"/>
              </w:rPr>
              <w:t xml:space="preserve">Based on the cut-off value of 103 pg/m, all 24 “confirmed LNB” samples and 11 of 16 “possible LNB” were positive. </w:t>
            </w:r>
          </w:p>
          <w:p w14:paraId="772E2181" w14:textId="77777777" w:rsidR="002D58E4" w:rsidRDefault="002D58E4">
            <w:pPr>
              <w:rPr>
                <w:sz w:val="20"/>
                <w:szCs w:val="20"/>
              </w:rPr>
            </w:pPr>
          </w:p>
          <w:p w14:paraId="3FC83811" w14:textId="77777777" w:rsidR="002D58E4" w:rsidRDefault="00F721D4">
            <w:pPr>
              <w:rPr>
                <w:sz w:val="20"/>
                <w:szCs w:val="20"/>
                <w:u w:val="single"/>
              </w:rPr>
            </w:pPr>
            <w:r>
              <w:rPr>
                <w:sz w:val="20"/>
                <w:szCs w:val="20"/>
                <w:u w:val="single"/>
              </w:rPr>
              <w:t xml:space="preserve">“Confirmed LNB”: </w:t>
            </w:r>
          </w:p>
          <w:p w14:paraId="7F1BB4B8" w14:textId="77777777" w:rsidR="002D58E4" w:rsidRDefault="00F721D4">
            <w:pPr>
              <w:numPr>
                <w:ilvl w:val="0"/>
                <w:numId w:val="4"/>
              </w:numPr>
              <w:rPr>
                <w:sz w:val="20"/>
                <w:szCs w:val="20"/>
              </w:rPr>
            </w:pPr>
            <w:r>
              <w:rPr>
                <w:sz w:val="20"/>
                <w:szCs w:val="20"/>
              </w:rPr>
              <w:t xml:space="preserve">Sensitivity CXCL13: 100% </w:t>
            </w:r>
          </w:p>
          <w:p w14:paraId="64F10129" w14:textId="77777777" w:rsidR="002D58E4" w:rsidRDefault="00F721D4">
            <w:pPr>
              <w:numPr>
                <w:ilvl w:val="0"/>
                <w:numId w:val="4"/>
              </w:numPr>
              <w:rPr>
                <w:sz w:val="20"/>
                <w:szCs w:val="20"/>
              </w:rPr>
            </w:pPr>
            <w:r>
              <w:rPr>
                <w:sz w:val="20"/>
                <w:szCs w:val="20"/>
              </w:rPr>
              <w:t>Specificity CXCL13: 98.5%</w:t>
            </w:r>
          </w:p>
          <w:p w14:paraId="0CC667BA" w14:textId="77777777" w:rsidR="002D58E4" w:rsidRDefault="002D58E4">
            <w:pPr>
              <w:rPr>
                <w:sz w:val="20"/>
                <w:szCs w:val="20"/>
              </w:rPr>
            </w:pPr>
          </w:p>
          <w:p w14:paraId="3285F847" w14:textId="77777777" w:rsidR="002D58E4" w:rsidRDefault="00F721D4">
            <w:pPr>
              <w:rPr>
                <w:sz w:val="20"/>
                <w:szCs w:val="20"/>
                <w:u w:val="single"/>
              </w:rPr>
            </w:pPr>
            <w:r>
              <w:rPr>
                <w:sz w:val="20"/>
                <w:szCs w:val="20"/>
                <w:u w:val="single"/>
              </w:rPr>
              <w:t xml:space="preserve">“Confirmed” and “Possible” LNB: </w:t>
            </w:r>
          </w:p>
          <w:p w14:paraId="58928DFD" w14:textId="77777777" w:rsidR="002D58E4" w:rsidRDefault="00F721D4">
            <w:pPr>
              <w:numPr>
                <w:ilvl w:val="0"/>
                <w:numId w:val="4"/>
              </w:numPr>
              <w:rPr>
                <w:sz w:val="20"/>
                <w:szCs w:val="20"/>
              </w:rPr>
            </w:pPr>
            <w:r>
              <w:rPr>
                <w:sz w:val="20"/>
                <w:szCs w:val="20"/>
              </w:rPr>
              <w:t xml:space="preserve">Sensitivity CXCL13: 88% </w:t>
            </w:r>
          </w:p>
          <w:p w14:paraId="095E06B8" w14:textId="77777777" w:rsidR="002D58E4" w:rsidRDefault="00F721D4">
            <w:pPr>
              <w:numPr>
                <w:ilvl w:val="0"/>
                <w:numId w:val="4"/>
              </w:numPr>
              <w:rPr>
                <w:sz w:val="20"/>
                <w:szCs w:val="20"/>
              </w:rPr>
            </w:pPr>
            <w:r>
              <w:rPr>
                <w:sz w:val="20"/>
                <w:szCs w:val="20"/>
              </w:rPr>
              <w:t>Specificity CXCL13: 98.5%</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7347238" w14:textId="77777777" w:rsidR="002D58E4" w:rsidRDefault="00F721D4">
            <w:pPr>
              <w:rPr>
                <w:sz w:val="20"/>
                <w:szCs w:val="20"/>
              </w:rPr>
            </w:pPr>
            <w:r>
              <w:rPr>
                <w:sz w:val="20"/>
                <w:szCs w:val="20"/>
              </w:rPr>
              <w:t>The differences in CXCL13 levels between “confirmed LNB” patients and controls or between “possible LNB” patients and controls were significant (p&lt;0.0001).</w:t>
            </w:r>
            <w:r>
              <w:t xml:space="preserve">  </w:t>
            </w:r>
            <w:r>
              <w:rPr>
                <w:sz w:val="20"/>
                <w:szCs w:val="20"/>
              </w:rPr>
              <w:t xml:space="preserve">During the course of LNB, CXCL13 seemed to be detectable earlier than specific intrathecal antibodies.  </w:t>
            </w:r>
          </w:p>
          <w:p w14:paraId="320EC315" w14:textId="77777777" w:rsidR="002D58E4" w:rsidRDefault="002D58E4">
            <w:pPr>
              <w:rPr>
                <w:sz w:val="20"/>
                <w:szCs w:val="20"/>
              </w:rPr>
            </w:pPr>
          </w:p>
          <w:p w14:paraId="7B5ED677" w14:textId="77777777" w:rsidR="002D58E4" w:rsidRDefault="00F721D4">
            <w:pPr>
              <w:rPr>
                <w:sz w:val="20"/>
                <w:szCs w:val="20"/>
              </w:rPr>
            </w:pPr>
            <w:r>
              <w:rPr>
                <w:sz w:val="20"/>
                <w:szCs w:val="20"/>
              </w:rPr>
              <w:t>The authors concluded that in children with typical symptoms of LNB, elevated CXCL13 levels seem to be compatible with lymphocytic pleocytosis and elevated anti-</w:t>
            </w:r>
            <w:r>
              <w:rPr>
                <w:i/>
                <w:sz w:val="20"/>
                <w:szCs w:val="20"/>
              </w:rPr>
              <w:t>Borrelia</w:t>
            </w:r>
            <w:r>
              <w:rPr>
                <w:sz w:val="20"/>
                <w:szCs w:val="20"/>
              </w:rPr>
              <w:t xml:space="preserve"> antibodies in CSF. They recommend this test as an additional marker to improve diagnostic accuracy in children with clinically suspected LNB.</w:t>
            </w:r>
          </w:p>
        </w:tc>
      </w:tr>
      <w:tr w:rsidR="002D58E4" w14:paraId="026C110D" w14:textId="77777777" w:rsidTr="003D1C11">
        <w:trPr>
          <w:trHeight w:val="15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329893F" w14:textId="77777777" w:rsidR="002D58E4" w:rsidRDefault="00F721D4">
            <w:pPr>
              <w:rPr>
                <w:sz w:val="20"/>
                <w:szCs w:val="20"/>
              </w:rPr>
            </w:pPr>
            <w:r>
              <w:rPr>
                <w:sz w:val="20"/>
                <w:szCs w:val="20"/>
              </w:rPr>
              <w:t>Bremell, et al., 2013</w:t>
            </w:r>
          </w:p>
          <w:p w14:paraId="3B82EBB0" w14:textId="77777777" w:rsidR="002D58E4" w:rsidRDefault="002D58E4">
            <w:pPr>
              <w:rPr>
                <w:sz w:val="20"/>
                <w:szCs w:val="20"/>
              </w:rPr>
            </w:pPr>
          </w:p>
          <w:p w14:paraId="289890D1" w14:textId="77777777" w:rsidR="002D58E4" w:rsidRDefault="00F721D4">
            <w:pPr>
              <w:rPr>
                <w:sz w:val="20"/>
                <w:szCs w:val="20"/>
              </w:rPr>
            </w:pPr>
            <w:r>
              <w:rPr>
                <w:sz w:val="20"/>
                <w:szCs w:val="20"/>
              </w:rPr>
              <w:t>Gothenburg, Sweden</w:t>
            </w:r>
          </w:p>
        </w:tc>
        <w:tc>
          <w:tcPr>
            <w:tcW w:w="876" w:type="dxa"/>
            <w:tcBorders>
              <w:top w:val="single" w:sz="6" w:space="0" w:color="AEAEAE"/>
              <w:left w:val="single" w:sz="6" w:space="0" w:color="AEAEAE"/>
              <w:bottom w:val="single" w:sz="6" w:space="0" w:color="AEAEAE"/>
              <w:right w:val="single" w:sz="6" w:space="0" w:color="AEAEAE"/>
            </w:tcBorders>
            <w:vAlign w:val="center"/>
          </w:tcPr>
          <w:p w14:paraId="7FF871B9" w14:textId="77777777" w:rsidR="002D58E4" w:rsidRDefault="00F721D4">
            <w:pPr>
              <w:rPr>
                <w:sz w:val="20"/>
                <w:szCs w:val="20"/>
              </w:rPr>
            </w:pPr>
            <w:r>
              <w:rPr>
                <w:sz w:val="20"/>
                <w:szCs w:val="20"/>
              </w:rPr>
              <w:t>Mixed; Longitudinal and Cross-sectional elements</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792FB134"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5AE006B" w14:textId="77777777" w:rsidR="002D58E4" w:rsidRDefault="00F721D4">
            <w:pPr>
              <w:spacing w:after="120"/>
              <w:rPr>
                <w:sz w:val="20"/>
                <w:szCs w:val="20"/>
              </w:rPr>
            </w:pPr>
            <w:r>
              <w:rPr>
                <w:b/>
                <w:sz w:val="20"/>
                <w:szCs w:val="20"/>
              </w:rPr>
              <w:t>Longitudinal:</w:t>
            </w:r>
            <w:r>
              <w:rPr>
                <w:sz w:val="20"/>
                <w:szCs w:val="20"/>
              </w:rPr>
              <w:t xml:space="preserve"> </w:t>
            </w:r>
            <w:r>
              <w:t xml:space="preserve"> </w:t>
            </w:r>
            <w:r>
              <w:rPr>
                <w:sz w:val="20"/>
                <w:szCs w:val="20"/>
              </w:rPr>
              <w:t>25 neuroborreliosis (LNB) patients (68% male; mean age 50 years, range 12-74) who had undergone CSF sampling before and after treatment</w:t>
            </w:r>
            <w:r>
              <w:t xml:space="preserve"> </w:t>
            </w:r>
            <w:r>
              <w:rPr>
                <w:sz w:val="20"/>
                <w:szCs w:val="20"/>
              </w:rPr>
              <w:t>with 200–400 mg of oral doxycycline daily for 10–14 days were observed. The mean duration of LNB symptoms at study onset was 28 days (5-360 days). 60% (15 of 25) of patients were experiencing radiculitis at baseline; 3 patients were experiencing facial palsy. 23 patients (92%) had a positive antibody index.</w:t>
            </w:r>
          </w:p>
          <w:p w14:paraId="6F52CB54" w14:textId="77777777" w:rsidR="002D58E4" w:rsidRDefault="00F721D4">
            <w:pPr>
              <w:spacing w:after="120"/>
              <w:rPr>
                <w:sz w:val="20"/>
                <w:szCs w:val="20"/>
              </w:rPr>
            </w:pPr>
            <w:r>
              <w:rPr>
                <w:b/>
                <w:sz w:val="20"/>
                <w:szCs w:val="20"/>
              </w:rPr>
              <w:t>Cross-sectional:</w:t>
            </w:r>
            <w:r>
              <w:rPr>
                <w:sz w:val="20"/>
                <w:szCs w:val="20"/>
              </w:rPr>
              <w:t xml:space="preserve"> </w:t>
            </w:r>
            <w:r>
              <w:t xml:space="preserve"> P</w:t>
            </w:r>
            <w:r>
              <w:rPr>
                <w:sz w:val="20"/>
                <w:szCs w:val="20"/>
              </w:rPr>
              <w:t xml:space="preserve">atients with untreated LNB (N=16; CSF sampling prior to treatment initiation required), untreated HIV-1 infection (N= 27; asymptomatic infection, no antiretroviral treatment, no clinical signs of neurologic disease, </w:t>
            </w:r>
            <w:r>
              <w:rPr>
                <w:sz w:val="20"/>
                <w:szCs w:val="20"/>
                <w:u w:val="single"/>
              </w:rPr>
              <w:t>and</w:t>
            </w:r>
            <w:r>
              <w:rPr>
                <w:sz w:val="20"/>
                <w:szCs w:val="20"/>
              </w:rPr>
              <w:t xml:space="preserve"> no syphilis required),  and controls with no infectious or  inflammatory disease (two subgroups: </w:t>
            </w:r>
            <w:r>
              <w:t xml:space="preserve"> </w:t>
            </w:r>
            <w:r>
              <w:rPr>
                <w:sz w:val="20"/>
                <w:szCs w:val="20"/>
              </w:rPr>
              <w:t xml:space="preserve">patients with neurological symptoms such as headache, vertigo and radiculitic pain, where an underlying organic neurological disease had been ruled out and where CSF sampling had been undertaken, N=18; </w:t>
            </w:r>
            <w:r>
              <w:t xml:space="preserve"> </w:t>
            </w:r>
            <w:r>
              <w:rPr>
                <w:sz w:val="20"/>
                <w:szCs w:val="20"/>
              </w:rPr>
              <w:t>no neurological disease or symptoms who had undergone lumbar puncture for CSF sampling as part of a research project unrelated to this study, N=21).</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64F5A23" w14:textId="77777777" w:rsidR="002D58E4" w:rsidRDefault="00F721D4">
            <w:pPr>
              <w:rPr>
                <w:sz w:val="20"/>
                <w:szCs w:val="20"/>
              </w:rPr>
            </w:pPr>
            <w:r>
              <w:rPr>
                <w:sz w:val="20"/>
                <w:szCs w:val="20"/>
              </w:rPr>
              <w:t xml:space="preserve">CXCL13 was measured by ELISA. </w:t>
            </w:r>
            <w:r>
              <w:t xml:space="preserve"> </w:t>
            </w:r>
            <w:r>
              <w:rPr>
                <w:sz w:val="20"/>
                <w:szCs w:val="20"/>
              </w:rPr>
              <w:t>For the assessment of the diagnostic performance of CSF CXCL13, data on LNB patients from the cross-sectional study and the pre-treatment part of the longitudinal study were combined and analyzed against the combined group of HIV patients and controls.</w:t>
            </w:r>
          </w:p>
          <w:p w14:paraId="3D41DE09" w14:textId="77777777" w:rsidR="002D58E4" w:rsidRDefault="002D58E4">
            <w:pPr>
              <w:rPr>
                <w:sz w:val="20"/>
                <w:szCs w:val="20"/>
              </w:rPr>
            </w:pPr>
          </w:p>
          <w:p w14:paraId="22EFD9A3" w14:textId="77777777" w:rsidR="002D58E4" w:rsidRDefault="00F721D4">
            <w:pPr>
              <w:rPr>
                <w:sz w:val="20"/>
                <w:szCs w:val="20"/>
                <w:u w:val="single"/>
              </w:rPr>
            </w:pPr>
            <w:r>
              <w:rPr>
                <w:sz w:val="20"/>
                <w:szCs w:val="20"/>
                <w:u w:val="single"/>
              </w:rPr>
              <w:t xml:space="preserve">CSF CXCL13 (cut-off: 61 pg/mL): </w:t>
            </w:r>
          </w:p>
          <w:p w14:paraId="667CF7F0" w14:textId="77777777" w:rsidR="002D58E4" w:rsidRDefault="00F721D4">
            <w:pPr>
              <w:numPr>
                <w:ilvl w:val="0"/>
                <w:numId w:val="35"/>
              </w:numPr>
              <w:rPr>
                <w:sz w:val="20"/>
                <w:szCs w:val="20"/>
              </w:rPr>
            </w:pPr>
            <w:r>
              <w:rPr>
                <w:sz w:val="20"/>
                <w:szCs w:val="20"/>
              </w:rPr>
              <w:t>Sensitivity: 90%</w:t>
            </w:r>
          </w:p>
          <w:p w14:paraId="63409517" w14:textId="77777777" w:rsidR="002D58E4" w:rsidRDefault="00F721D4">
            <w:pPr>
              <w:numPr>
                <w:ilvl w:val="0"/>
                <w:numId w:val="35"/>
              </w:numPr>
              <w:rPr>
                <w:sz w:val="20"/>
                <w:szCs w:val="20"/>
              </w:rPr>
            </w:pPr>
            <w:r>
              <w:rPr>
                <w:sz w:val="20"/>
                <w:szCs w:val="20"/>
              </w:rPr>
              <w:t xml:space="preserve">Specificity: 88% </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FA48A91" w14:textId="77777777" w:rsidR="002D58E4" w:rsidRDefault="00F721D4">
            <w:pPr>
              <w:rPr>
                <w:sz w:val="20"/>
                <w:szCs w:val="20"/>
              </w:rPr>
            </w:pPr>
            <w:r>
              <w:rPr>
                <w:sz w:val="20"/>
                <w:szCs w:val="20"/>
              </w:rPr>
              <w:t>In the longitudinal LNB study, initially high CSF CXCL13 levels declined significantly (p&lt;0.001) after doxycycline treatment. The quotients before and after treatment of CSF CXCL13 and CSF mononuclear cells were calculated as (CSF</w:t>
            </w:r>
          </w:p>
          <w:p w14:paraId="2664B624" w14:textId="77777777" w:rsidR="002D58E4" w:rsidRDefault="00F721D4">
            <w:pPr>
              <w:rPr>
                <w:sz w:val="20"/>
                <w:szCs w:val="20"/>
              </w:rPr>
            </w:pPr>
            <w:r>
              <w:rPr>
                <w:sz w:val="20"/>
                <w:szCs w:val="20"/>
              </w:rPr>
              <w:t>CXCL13 before treatment)/(CSF CXCL13 after treatment)</w:t>
            </w:r>
            <w:r>
              <w:t xml:space="preserve"> </w:t>
            </w:r>
            <w:r>
              <w:rPr>
                <w:sz w:val="20"/>
                <w:szCs w:val="20"/>
              </w:rPr>
              <w:t>and (CSF mononuclear cell before treatment)/(CSF mononuclear cells after treatment). The quotients correlated significantly (p= 0.036)</w:t>
            </w:r>
          </w:p>
          <w:p w14:paraId="00AC5847" w14:textId="77777777" w:rsidR="002D58E4" w:rsidRDefault="002D58E4">
            <w:pPr>
              <w:rPr>
                <w:sz w:val="20"/>
                <w:szCs w:val="20"/>
              </w:rPr>
            </w:pPr>
          </w:p>
          <w:p w14:paraId="6EC33D0F" w14:textId="77777777" w:rsidR="002D58E4" w:rsidRDefault="00F721D4">
            <w:pPr>
              <w:rPr>
                <w:sz w:val="20"/>
                <w:szCs w:val="20"/>
              </w:rPr>
            </w:pPr>
            <w:r>
              <w:rPr>
                <w:sz w:val="20"/>
                <w:szCs w:val="20"/>
              </w:rPr>
              <w:t>In the cross-sectional study, all the LNB patients had CSF CXCL13 levels elevated above the lowest standard point of the assay (7.8 pg/mL); of HIV patients, 52% had elevated CSF CXCL13 levels. There was a clear overlap in CSF CXCL13 concentrations between LNB patients and asymptomatic HIV patients. 38 of the 39 controls had CSF CXCL13 levels below 7.8 pg/mL.</w:t>
            </w:r>
          </w:p>
          <w:p w14:paraId="530A5B2A" w14:textId="77777777" w:rsidR="002D58E4" w:rsidRDefault="002D58E4">
            <w:pPr>
              <w:rPr>
                <w:sz w:val="20"/>
                <w:szCs w:val="20"/>
              </w:rPr>
            </w:pPr>
          </w:p>
          <w:p w14:paraId="4F58433B" w14:textId="77777777" w:rsidR="002D58E4" w:rsidRDefault="00F721D4">
            <w:pPr>
              <w:rPr>
                <w:sz w:val="20"/>
                <w:szCs w:val="20"/>
              </w:rPr>
            </w:pPr>
            <w:r>
              <w:rPr>
                <w:sz w:val="20"/>
                <w:szCs w:val="20"/>
              </w:rPr>
              <w:t>For LNB patients, the correlation</w:t>
            </w:r>
            <w:r>
              <w:t xml:space="preserve"> </w:t>
            </w:r>
            <w:r>
              <w:rPr>
                <w:sz w:val="20"/>
                <w:szCs w:val="20"/>
              </w:rPr>
              <w:t>between CSF mononuclear cells and CXCL13 was significant both in the cross-sectional study and in the pre-treatment part of the longitudinal study. The combined analysis of the two groups of untreated LNB patients also produced a significant correlation (Spearman r= 0.55, p&lt;0.001). For LNB patients, there was no significant correlation between the duration of neurological symptoms and CSF CXCL13 levels, either in the longitudinal study or the cross-sectional study.</w:t>
            </w:r>
          </w:p>
          <w:p w14:paraId="08181AA2" w14:textId="77777777" w:rsidR="002D58E4" w:rsidRDefault="002D58E4">
            <w:pPr>
              <w:rPr>
                <w:sz w:val="20"/>
                <w:szCs w:val="20"/>
              </w:rPr>
            </w:pPr>
          </w:p>
          <w:p w14:paraId="1FC2776B" w14:textId="77777777" w:rsidR="002D58E4" w:rsidRDefault="00F721D4">
            <w:pPr>
              <w:rPr>
                <w:sz w:val="20"/>
                <w:szCs w:val="20"/>
              </w:rPr>
            </w:pPr>
            <w:r>
              <w:rPr>
                <w:sz w:val="20"/>
                <w:szCs w:val="20"/>
              </w:rPr>
              <w:t>The authors note that when prior proposed cut-offs for CXCL13 levels (such as 142 pg/mL or 1,229 pg/mL) were used in their study, they resulted in sensitivity below 83%, making them less useful. A cut-off value at a low level of 61 pg/mL was needed to obtain acceptable sensitivity in their study, when LNB was compared with a mixed population of non-infectious controls and asymptomatic HIV patients.</w:t>
            </w:r>
          </w:p>
        </w:tc>
      </w:tr>
      <w:tr w:rsidR="002D58E4" w14:paraId="28BE21BA" w14:textId="77777777" w:rsidTr="003D1C11">
        <w:trPr>
          <w:trHeight w:val="15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6D6D6A6" w14:textId="77777777" w:rsidR="002D58E4" w:rsidRPr="002914A2" w:rsidRDefault="00F721D4">
            <w:pPr>
              <w:rPr>
                <w:sz w:val="20"/>
                <w:szCs w:val="20"/>
                <w:lang w:val="fr-CA"/>
              </w:rPr>
            </w:pPr>
            <w:r w:rsidRPr="002914A2">
              <w:rPr>
                <w:sz w:val="20"/>
                <w:szCs w:val="20"/>
                <w:lang w:val="fr-CA"/>
              </w:rPr>
              <w:t>Hytönen, et al., 2014</w:t>
            </w:r>
          </w:p>
          <w:p w14:paraId="7AF55740" w14:textId="77777777" w:rsidR="002D58E4" w:rsidRPr="002914A2" w:rsidRDefault="002D58E4">
            <w:pPr>
              <w:rPr>
                <w:sz w:val="20"/>
                <w:szCs w:val="20"/>
                <w:lang w:val="fr-CA"/>
              </w:rPr>
            </w:pPr>
          </w:p>
          <w:p w14:paraId="312124E2" w14:textId="77777777" w:rsidR="002D58E4" w:rsidRPr="002914A2" w:rsidRDefault="00F721D4">
            <w:pPr>
              <w:rPr>
                <w:sz w:val="20"/>
                <w:szCs w:val="20"/>
                <w:lang w:val="fr-CA"/>
              </w:rPr>
            </w:pPr>
            <w:r w:rsidRPr="002914A2">
              <w:rPr>
                <w:sz w:val="20"/>
                <w:szCs w:val="20"/>
                <w:lang w:val="fr-CA"/>
              </w:rPr>
              <w:t>Turku, Finland</w:t>
            </w:r>
          </w:p>
        </w:tc>
        <w:tc>
          <w:tcPr>
            <w:tcW w:w="876" w:type="dxa"/>
            <w:tcBorders>
              <w:top w:val="single" w:sz="6" w:space="0" w:color="AEAEAE"/>
              <w:left w:val="single" w:sz="6" w:space="0" w:color="AEAEAE"/>
              <w:bottom w:val="single" w:sz="6" w:space="0" w:color="AEAEAE"/>
              <w:right w:val="single" w:sz="6" w:space="0" w:color="AEAEAE"/>
            </w:tcBorders>
            <w:vAlign w:val="center"/>
          </w:tcPr>
          <w:p w14:paraId="5F90B95B" w14:textId="77777777" w:rsidR="002D58E4" w:rsidRDefault="00F721D4">
            <w:pPr>
              <w:rPr>
                <w:sz w:val="20"/>
                <w:szCs w:val="20"/>
              </w:rPr>
            </w:pPr>
            <w:r>
              <w:rPr>
                <w:sz w:val="20"/>
                <w:szCs w:val="20"/>
              </w:rPr>
              <w:t>Retrospective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4E23CE4B"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4EAE0536" w14:textId="77777777" w:rsidR="002D58E4" w:rsidRDefault="00F721D4">
            <w:pPr>
              <w:spacing w:after="120"/>
              <w:rPr>
                <w:sz w:val="20"/>
                <w:szCs w:val="20"/>
              </w:rPr>
            </w:pPr>
            <w:r>
              <w:rPr>
                <w:sz w:val="20"/>
                <w:szCs w:val="20"/>
              </w:rPr>
              <w:t xml:space="preserve">390 cerebrospinal fluid (CSF) samples from 366 individuals were retrospectively analyzed for neuroborreliosis (LNB), tick-borne encephalitis, central nervous system (CNS) varicella zoster, CNS Herpes simplex virus 1 and 2, CNS human Herpesvirus 6, CNS enterovirus, neurosyphillis, multiple sclerosis, all of which were untreated. </w:t>
            </w:r>
          </w:p>
          <w:p w14:paraId="050ACD06" w14:textId="77777777" w:rsidR="002D58E4" w:rsidRDefault="00F721D4">
            <w:pPr>
              <w:spacing w:after="120"/>
              <w:rPr>
                <w:sz w:val="20"/>
                <w:szCs w:val="20"/>
              </w:rPr>
            </w:pPr>
            <w:r>
              <w:rPr>
                <w:sz w:val="20"/>
                <w:szCs w:val="20"/>
              </w:rPr>
              <w:t xml:space="preserve">31 samples were </w:t>
            </w:r>
            <w:r>
              <w:rPr>
                <w:i/>
                <w:sz w:val="20"/>
                <w:szCs w:val="20"/>
              </w:rPr>
              <w:t>B. burgdorferi</w:t>
            </w:r>
            <w:r>
              <w:rPr>
                <w:sz w:val="20"/>
                <w:szCs w:val="20"/>
              </w:rPr>
              <w:t xml:space="preserve"> antibody positive and were confirmed to have come from LNB patients; of these 31, 24 post-treatment CSF samples were available for CXCL13. LNB patients were diagnosed using the following criteria: 1) The patients had symptoms consistent with LNB, 2) other relevant diagnoses were excluded, 3) there was mononuclear pleocytosis in CSF, 4) CSF samples were at a positive level for </w:t>
            </w:r>
            <w:r>
              <w:rPr>
                <w:i/>
                <w:sz w:val="20"/>
                <w:szCs w:val="20"/>
              </w:rPr>
              <w:t>Borrelia</w:t>
            </w:r>
            <w:r>
              <w:rPr>
                <w:sz w:val="20"/>
                <w:szCs w:val="20"/>
              </w:rPr>
              <w:t xml:space="preserve"> specific antibodies of IgM and/or IgG by whole </w:t>
            </w:r>
            <w:r>
              <w:rPr>
                <w:i/>
                <w:sz w:val="20"/>
                <w:szCs w:val="20"/>
              </w:rPr>
              <w:t>Borrelia</w:t>
            </w:r>
            <w:r>
              <w:rPr>
                <w:sz w:val="20"/>
                <w:szCs w:val="20"/>
              </w:rPr>
              <w:t xml:space="preserve"> antigen (I B31 sonicate) ELISA and/or with the commercial C6-peptide based assay, and 5) intrathecal antibody production as indicated by a positive antibody index (AI).</w:t>
            </w:r>
          </w:p>
          <w:p w14:paraId="0A6821F2" w14:textId="77777777" w:rsidR="002D58E4" w:rsidRDefault="00F721D4">
            <w:pPr>
              <w:rPr>
                <w:sz w:val="20"/>
                <w:szCs w:val="20"/>
              </w:rPr>
            </w:pPr>
            <w:r>
              <w:rPr>
                <w:sz w:val="20"/>
                <w:szCs w:val="20"/>
              </w:rPr>
              <w:t>The presenting symptom in 30 of the LNB patients was radiculitis or pain radiating to the upper or lower limbs or to the trunk. Nineteen patients had facial nerve paralysis. Thirteen patients had both symptoms. The median duration of symptoms before the first CSF sample was 30 days (range 0-120 days).</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7EAEE52" w14:textId="77777777" w:rsidR="002D58E4" w:rsidRDefault="00F721D4">
            <w:pPr>
              <w:rPr>
                <w:sz w:val="20"/>
                <w:szCs w:val="20"/>
              </w:rPr>
            </w:pPr>
            <w:r>
              <w:rPr>
                <w:sz w:val="20"/>
                <w:szCs w:val="20"/>
              </w:rPr>
              <w:t>A CXCL13 cut-off 415 pg/ml resulted in nearly perfect discrimination between the LNB patients and the other groups:</w:t>
            </w:r>
          </w:p>
          <w:p w14:paraId="6AC59C79" w14:textId="77777777" w:rsidR="002D58E4" w:rsidRDefault="00F721D4">
            <w:pPr>
              <w:numPr>
                <w:ilvl w:val="0"/>
                <w:numId w:val="9"/>
              </w:numPr>
              <w:rPr>
                <w:sz w:val="20"/>
                <w:szCs w:val="20"/>
              </w:rPr>
            </w:pPr>
            <w:r>
              <w:rPr>
                <w:sz w:val="20"/>
                <w:szCs w:val="20"/>
              </w:rPr>
              <w:t xml:space="preserve">Sensitivity: 100% </w:t>
            </w:r>
          </w:p>
          <w:p w14:paraId="3A10C23F" w14:textId="77777777" w:rsidR="002D58E4" w:rsidRDefault="00F721D4">
            <w:pPr>
              <w:numPr>
                <w:ilvl w:val="0"/>
                <w:numId w:val="9"/>
              </w:numPr>
              <w:rPr>
                <w:sz w:val="20"/>
                <w:szCs w:val="20"/>
              </w:rPr>
            </w:pPr>
            <w:r>
              <w:rPr>
                <w:sz w:val="20"/>
                <w:szCs w:val="20"/>
              </w:rPr>
              <w:t>Specificity: 99.7%</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FF8C121" w14:textId="77777777" w:rsidR="002D58E4" w:rsidRDefault="00F721D4">
            <w:pPr>
              <w:rPr>
                <w:sz w:val="20"/>
                <w:szCs w:val="20"/>
              </w:rPr>
            </w:pPr>
            <w:r>
              <w:rPr>
                <w:sz w:val="20"/>
                <w:szCs w:val="20"/>
              </w:rPr>
              <w:t>LNB patients were treated with either intravenous ceftriaxone, oral doxycycline, or with a combination of both of these drugs. The decline in CSF CXCL13 levels during and after the treatment was statistically significant (p&lt;0.001).</w:t>
            </w:r>
          </w:p>
          <w:p w14:paraId="7515EB72" w14:textId="77777777" w:rsidR="002D58E4" w:rsidRDefault="002D58E4">
            <w:pPr>
              <w:rPr>
                <w:sz w:val="20"/>
                <w:szCs w:val="20"/>
              </w:rPr>
            </w:pPr>
          </w:p>
          <w:p w14:paraId="64F67A29" w14:textId="77777777" w:rsidR="002D58E4" w:rsidRDefault="00F721D4">
            <w:pPr>
              <w:rPr>
                <w:sz w:val="20"/>
                <w:szCs w:val="20"/>
              </w:rPr>
            </w:pPr>
            <w:r>
              <w:rPr>
                <w:sz w:val="20"/>
                <w:szCs w:val="20"/>
              </w:rPr>
              <w:t xml:space="preserve">The difference in CSF CXCL13 concentrations between the untreated LNB patients and the non-LNB group was statistically significant (p&lt;0.001). The statistical difference between the viral CNS infection samples and the LNB samples was highly significant, with p values of 0.0013 or less in all cases. CSF CXCL13 concentrations in the 34 samples from patients with non-infectious neuroinflammatory conditions was also significantly different from those from LNB patients (p&lt;0.001). </w:t>
            </w:r>
          </w:p>
          <w:p w14:paraId="5EB95993" w14:textId="77777777" w:rsidR="002D58E4" w:rsidRDefault="002D58E4">
            <w:pPr>
              <w:rPr>
                <w:sz w:val="20"/>
                <w:szCs w:val="20"/>
              </w:rPr>
            </w:pPr>
          </w:p>
          <w:p w14:paraId="07AE3EB6" w14:textId="77777777" w:rsidR="002D58E4" w:rsidRDefault="00F721D4">
            <w:pPr>
              <w:rPr>
                <w:sz w:val="20"/>
                <w:szCs w:val="20"/>
              </w:rPr>
            </w:pPr>
            <w:r>
              <w:rPr>
                <w:sz w:val="20"/>
                <w:szCs w:val="20"/>
              </w:rPr>
              <w:t xml:space="preserve">Neurosyphilis was the only other disease among the conditions investigated in this study that led to markedly increased CSF CXCL13 concentration. </w:t>
            </w:r>
          </w:p>
          <w:p w14:paraId="42A88B95" w14:textId="77777777" w:rsidR="002D58E4" w:rsidRDefault="002D58E4">
            <w:pPr>
              <w:rPr>
                <w:sz w:val="20"/>
                <w:szCs w:val="20"/>
              </w:rPr>
            </w:pPr>
          </w:p>
          <w:p w14:paraId="56FFA733" w14:textId="77777777" w:rsidR="002D58E4" w:rsidRDefault="00F721D4">
            <w:pPr>
              <w:rPr>
                <w:sz w:val="20"/>
                <w:szCs w:val="20"/>
              </w:rPr>
            </w:pPr>
            <w:r>
              <w:rPr>
                <w:sz w:val="20"/>
                <w:szCs w:val="20"/>
              </w:rPr>
              <w:t>The level of CSF CXCL13 was highly elevated in patients with untreated LNB and decreased rapidly after treatment, which is consistent with other studies which measure treatment progress using CXCL13.</w:t>
            </w:r>
            <w:r>
              <w:t xml:space="preserve"> </w:t>
            </w:r>
            <w:r>
              <w:rPr>
                <w:sz w:val="20"/>
                <w:szCs w:val="20"/>
              </w:rPr>
              <w:t>The authors concluded that CSF CXCL13 may be an excellent biomarker in differentiating LNB from viral CNS infections and from other neuroinflammatory conditions when locally determined cut-offs are used, and that it may also be a useful tool for follow-up of LNB patients after antibiotic treatment. The authors recommend that CSF CXCL13 results be interpreted in conjunction with intrathecal antibody production, CSF pleocytosis, and ideally also borrelia nucleic acid amplification result.</w:t>
            </w:r>
          </w:p>
        </w:tc>
      </w:tr>
      <w:tr w:rsidR="002D58E4" w14:paraId="522DFC62" w14:textId="77777777" w:rsidTr="003D1C11">
        <w:trPr>
          <w:trHeight w:val="22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1209A04" w14:textId="77777777" w:rsidR="002D58E4" w:rsidRPr="002914A2" w:rsidRDefault="00F721D4">
            <w:pPr>
              <w:rPr>
                <w:sz w:val="20"/>
                <w:szCs w:val="20"/>
                <w:lang w:val="fr-CA"/>
              </w:rPr>
            </w:pPr>
            <w:r w:rsidRPr="002914A2">
              <w:rPr>
                <w:sz w:val="20"/>
                <w:szCs w:val="20"/>
                <w:lang w:val="fr-CA"/>
              </w:rPr>
              <w:t>Rupprecht, et al., 2014</w:t>
            </w:r>
          </w:p>
          <w:p w14:paraId="7AC13CD4" w14:textId="77777777" w:rsidR="002D58E4" w:rsidRPr="002914A2" w:rsidRDefault="002D58E4">
            <w:pPr>
              <w:rPr>
                <w:sz w:val="20"/>
                <w:szCs w:val="20"/>
                <w:lang w:val="fr-CA"/>
              </w:rPr>
            </w:pPr>
          </w:p>
          <w:p w14:paraId="624785C1" w14:textId="77777777" w:rsidR="002D58E4" w:rsidRPr="002914A2" w:rsidRDefault="00F721D4">
            <w:pPr>
              <w:rPr>
                <w:sz w:val="20"/>
                <w:szCs w:val="20"/>
                <w:lang w:val="fr-CA"/>
              </w:rPr>
            </w:pPr>
            <w:r w:rsidRPr="002914A2">
              <w:rPr>
                <w:sz w:val="20"/>
                <w:szCs w:val="20"/>
                <w:lang w:val="fr-CA"/>
              </w:rPr>
              <w:t>Dachau, Germany</w:t>
            </w:r>
          </w:p>
        </w:tc>
        <w:tc>
          <w:tcPr>
            <w:tcW w:w="876" w:type="dxa"/>
            <w:tcBorders>
              <w:top w:val="single" w:sz="6" w:space="0" w:color="AEAEAE"/>
              <w:left w:val="single" w:sz="6" w:space="0" w:color="AEAEAE"/>
              <w:bottom w:val="single" w:sz="6" w:space="0" w:color="AEAEAE"/>
              <w:right w:val="single" w:sz="6" w:space="0" w:color="AEAEAE"/>
            </w:tcBorders>
            <w:vAlign w:val="center"/>
          </w:tcPr>
          <w:p w14:paraId="6CE316F3" w14:textId="77777777" w:rsidR="002D58E4" w:rsidRDefault="00F721D4">
            <w:pPr>
              <w:rPr>
                <w:sz w:val="20"/>
                <w:szCs w:val="20"/>
              </w:rPr>
            </w:pPr>
            <w:r>
              <w:rPr>
                <w:sz w:val="20"/>
                <w:szCs w:val="20"/>
              </w:rPr>
              <w:t>Case-control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5EF46050"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601FB69A" w14:textId="77777777" w:rsidR="002D58E4" w:rsidRDefault="00F721D4">
            <w:pPr>
              <w:spacing w:after="120"/>
              <w:rPr>
                <w:sz w:val="20"/>
                <w:szCs w:val="20"/>
              </w:rPr>
            </w:pPr>
            <w:r>
              <w:rPr>
                <w:sz w:val="20"/>
                <w:szCs w:val="20"/>
              </w:rPr>
              <w:t xml:space="preserve">CSF samples from all patients (N=204) with suspected acute neuroborreliosis (LNB) were analyzed. </w:t>
            </w:r>
          </w:p>
          <w:p w14:paraId="3BAD0E1C" w14:textId="77777777" w:rsidR="002D58E4" w:rsidRDefault="00F721D4">
            <w:pPr>
              <w:spacing w:after="120"/>
              <w:rPr>
                <w:sz w:val="20"/>
                <w:szCs w:val="20"/>
              </w:rPr>
            </w:pPr>
            <w:r>
              <w:rPr>
                <w:sz w:val="20"/>
                <w:szCs w:val="20"/>
              </w:rPr>
              <w:t>This study included 179 patients who were not pretreated with antibiotics. Of these patients, 15 were defined as having “definite LNB”, 3 had “probable LNB”, and all had a CXCL13 value above the cut-off level. Only 2 of the 161 patients with a non-LNB diagnosis (both with a lymphoma) had a CXCL13 value in the CSF higher than 250 pg/ml.</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9030BAE" w14:textId="77777777" w:rsidR="002D58E4" w:rsidRDefault="00F721D4">
            <w:pPr>
              <w:rPr>
                <w:sz w:val="20"/>
                <w:szCs w:val="20"/>
              </w:rPr>
            </w:pPr>
            <w:r>
              <w:rPr>
                <w:sz w:val="20"/>
                <w:szCs w:val="20"/>
              </w:rPr>
              <w:t xml:space="preserve">The CXCL13 cut-off level for acute LNB was set at 250 pg/m. </w:t>
            </w:r>
          </w:p>
          <w:p w14:paraId="04E4054E" w14:textId="77777777" w:rsidR="002D58E4" w:rsidRDefault="002D58E4">
            <w:pPr>
              <w:rPr>
                <w:sz w:val="20"/>
                <w:szCs w:val="20"/>
              </w:rPr>
            </w:pPr>
          </w:p>
          <w:p w14:paraId="3AAC34D0" w14:textId="77777777" w:rsidR="002D58E4" w:rsidRDefault="00F721D4">
            <w:pPr>
              <w:rPr>
                <w:sz w:val="20"/>
                <w:szCs w:val="20"/>
              </w:rPr>
            </w:pPr>
            <w:r>
              <w:rPr>
                <w:sz w:val="20"/>
                <w:szCs w:val="20"/>
              </w:rPr>
              <w:t xml:space="preserve">The biomarker CXCL13 has a higher sensitivity (100% vs. 87%) with a specificity (99%) comparable with the established diagnostic markers for LNB, e.g. CSF pleocytosis and </w:t>
            </w:r>
            <w:r>
              <w:rPr>
                <w:i/>
                <w:sz w:val="20"/>
                <w:szCs w:val="20"/>
              </w:rPr>
              <w:t>Borrelia</w:t>
            </w:r>
            <w:r>
              <w:rPr>
                <w:sz w:val="20"/>
                <w:szCs w:val="20"/>
              </w:rPr>
              <w:t xml:space="preserve">-AI in the investigated patient population. </w:t>
            </w:r>
          </w:p>
          <w:p w14:paraId="7B72E13B" w14:textId="77777777" w:rsidR="002D58E4" w:rsidRDefault="002D58E4">
            <w:pPr>
              <w:rPr>
                <w:sz w:val="20"/>
                <w:szCs w:val="20"/>
              </w:rPr>
            </w:pPr>
          </w:p>
          <w:p w14:paraId="01379431" w14:textId="77777777" w:rsidR="002D58E4" w:rsidRDefault="00F721D4">
            <w:pPr>
              <w:rPr>
                <w:sz w:val="20"/>
                <w:szCs w:val="20"/>
              </w:rPr>
            </w:pPr>
            <w:r>
              <w:rPr>
                <w:sz w:val="20"/>
                <w:szCs w:val="20"/>
              </w:rPr>
              <w:t xml:space="preserve">The negative predictive value of CXCL13 is 100%. </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C3CC3BD" w14:textId="77777777" w:rsidR="002D58E4" w:rsidRDefault="00F721D4">
            <w:pPr>
              <w:rPr>
                <w:sz w:val="20"/>
                <w:szCs w:val="20"/>
              </w:rPr>
            </w:pPr>
            <w:r>
              <w:rPr>
                <w:sz w:val="20"/>
                <w:szCs w:val="20"/>
              </w:rPr>
              <w:t>The authors conclude that a normal CXCL13 level virtually excludes LNB. They consider CXCL13 to be a valuable tool in clinical practice and a practical diagnostic marker for LNB which can even detect an acute LNB in patients without CSF pleocytosis.</w:t>
            </w:r>
          </w:p>
        </w:tc>
      </w:tr>
      <w:tr w:rsidR="002D58E4" w14:paraId="37563D56" w14:textId="77777777" w:rsidTr="003D1C11">
        <w:trPr>
          <w:trHeight w:val="407"/>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9380EEC" w14:textId="77777777" w:rsidR="002D58E4" w:rsidRPr="002914A2" w:rsidRDefault="00F721D4">
            <w:pPr>
              <w:rPr>
                <w:sz w:val="20"/>
                <w:szCs w:val="20"/>
                <w:lang w:val="fr-CA"/>
              </w:rPr>
            </w:pPr>
            <w:r w:rsidRPr="002914A2">
              <w:rPr>
                <w:sz w:val="20"/>
                <w:szCs w:val="20"/>
                <w:lang w:val="fr-CA"/>
              </w:rPr>
              <w:t>Wutte, et al., 2014</w:t>
            </w:r>
          </w:p>
          <w:p w14:paraId="06A14CFA" w14:textId="77777777" w:rsidR="002D58E4" w:rsidRPr="002914A2" w:rsidRDefault="002D58E4">
            <w:pPr>
              <w:rPr>
                <w:sz w:val="20"/>
                <w:szCs w:val="20"/>
                <w:lang w:val="fr-CA"/>
              </w:rPr>
            </w:pPr>
          </w:p>
          <w:p w14:paraId="7512D31B" w14:textId="77777777" w:rsidR="002D58E4" w:rsidRPr="002914A2" w:rsidRDefault="00F721D4">
            <w:pPr>
              <w:rPr>
                <w:sz w:val="20"/>
                <w:szCs w:val="20"/>
                <w:lang w:val="fr-CA"/>
              </w:rPr>
            </w:pPr>
            <w:r w:rsidRPr="002914A2">
              <w:rPr>
                <w:sz w:val="20"/>
                <w:szCs w:val="20"/>
                <w:lang w:val="fr-CA"/>
              </w:rPr>
              <w:t>Graz, Austria</w:t>
            </w:r>
          </w:p>
        </w:tc>
        <w:tc>
          <w:tcPr>
            <w:tcW w:w="876" w:type="dxa"/>
            <w:tcBorders>
              <w:top w:val="single" w:sz="6" w:space="0" w:color="AEAEAE"/>
              <w:left w:val="single" w:sz="6" w:space="0" w:color="AEAEAE"/>
              <w:bottom w:val="single" w:sz="6" w:space="0" w:color="AEAEAE"/>
              <w:right w:val="single" w:sz="6" w:space="0" w:color="AEAEAE"/>
            </w:tcBorders>
            <w:vAlign w:val="center"/>
          </w:tcPr>
          <w:p w14:paraId="6E39AD2A" w14:textId="77777777" w:rsidR="002D58E4" w:rsidRDefault="00F721D4">
            <w:pPr>
              <w:rPr>
                <w:sz w:val="20"/>
                <w:szCs w:val="20"/>
              </w:rPr>
            </w:pPr>
            <w:r>
              <w:rPr>
                <w:sz w:val="20"/>
                <w:szCs w:val="20"/>
              </w:rPr>
              <w:t>Cross-sectional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35B515ED"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7F16EDB3" w14:textId="77777777" w:rsidR="002D58E4" w:rsidRDefault="00F721D4">
            <w:pPr>
              <w:spacing w:after="120"/>
              <w:rPr>
                <w:sz w:val="20"/>
                <w:szCs w:val="20"/>
              </w:rPr>
            </w:pPr>
            <w:r>
              <w:rPr>
                <w:sz w:val="20"/>
                <w:szCs w:val="20"/>
              </w:rPr>
              <w:t>50 patients (56% male; 54% adult; median age 11 years, range 6-69) clinically classified as having neuroborreliosis (LNB) (N=22) or as neurologic control patients with suspected viral meningitis, or facial palsy (N=31) were assessed. “Definite LNB” was defined by both CSF pleocytosis and intrathecal antibody production as determined by ELISA. “Possible LNB” was defined in one of two ways: 1) one CSF test was positive without pleocytosis and 2) pleocytosis was present and CSF tests were negative. 80% of patients showed CSF pleocytosis.</w:t>
            </w:r>
          </w:p>
          <w:p w14:paraId="2DA9EC9B" w14:textId="77777777" w:rsidR="002D58E4" w:rsidRDefault="00F721D4">
            <w:pPr>
              <w:spacing w:after="120"/>
              <w:rPr>
                <w:sz w:val="20"/>
                <w:szCs w:val="20"/>
              </w:rPr>
            </w:pPr>
            <w:r>
              <w:rPr>
                <w:sz w:val="20"/>
                <w:szCs w:val="20"/>
              </w:rPr>
              <w:t>The median disease duration for adults was 4 days, and 77% recalled a tick bite 2 weeks to 4 months before onset of neurologic symptoms.37% of adult patients had evidence of erythema migrans. The median disease duration for children was 3 days, and 52% recalled a tick bite 2 weeks to 4 months before onset of neurologic symptoms. 34.7% of children had evidence of erythema migrans.</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AE6C475" w14:textId="77777777" w:rsidR="002D58E4" w:rsidRDefault="00F721D4">
            <w:pPr>
              <w:rPr>
                <w:sz w:val="20"/>
                <w:szCs w:val="20"/>
              </w:rPr>
            </w:pPr>
            <w:r>
              <w:rPr>
                <w:sz w:val="20"/>
                <w:szCs w:val="20"/>
              </w:rPr>
              <w:t xml:space="preserve">Patients were tested for </w:t>
            </w:r>
            <w:r>
              <w:rPr>
                <w:i/>
                <w:sz w:val="20"/>
                <w:szCs w:val="20"/>
              </w:rPr>
              <w:t>Borrelia</w:t>
            </w:r>
            <w:r>
              <w:rPr>
                <w:sz w:val="20"/>
                <w:szCs w:val="20"/>
              </w:rPr>
              <w:t xml:space="preserve">-specific intrathecal antibodies by flagellum ELISA antibody index (flELISA-AI), a recombinant ELISA antibody index (rELISA-AI), immunoblot, and CXCL13 levels were tested by ELISA. Antibody indices for both ELISAs were considered positive ≥1.5. </w:t>
            </w:r>
          </w:p>
          <w:p w14:paraId="320BA7A7" w14:textId="77777777" w:rsidR="002D58E4" w:rsidRDefault="002D58E4">
            <w:pPr>
              <w:rPr>
                <w:sz w:val="20"/>
                <w:szCs w:val="20"/>
              </w:rPr>
            </w:pPr>
          </w:p>
          <w:p w14:paraId="042B81EC" w14:textId="77777777" w:rsidR="002D58E4" w:rsidRDefault="00F721D4">
            <w:pPr>
              <w:rPr>
                <w:sz w:val="20"/>
                <w:szCs w:val="20"/>
                <w:u w:val="single"/>
              </w:rPr>
            </w:pPr>
            <w:r>
              <w:rPr>
                <w:sz w:val="20"/>
                <w:szCs w:val="20"/>
                <w:u w:val="single"/>
              </w:rPr>
              <w:t>rELISA-AI:</w:t>
            </w:r>
          </w:p>
          <w:p w14:paraId="1423DC75" w14:textId="77777777" w:rsidR="002D58E4" w:rsidRDefault="00F721D4">
            <w:pPr>
              <w:numPr>
                <w:ilvl w:val="0"/>
                <w:numId w:val="9"/>
              </w:numPr>
              <w:rPr>
                <w:sz w:val="20"/>
                <w:szCs w:val="20"/>
              </w:rPr>
            </w:pPr>
            <w:r>
              <w:rPr>
                <w:sz w:val="20"/>
                <w:szCs w:val="20"/>
              </w:rPr>
              <w:t>Sensitivity: 58%</w:t>
            </w:r>
          </w:p>
          <w:p w14:paraId="3ECD1DF1" w14:textId="77777777" w:rsidR="002D58E4" w:rsidRDefault="00F721D4">
            <w:pPr>
              <w:numPr>
                <w:ilvl w:val="0"/>
                <w:numId w:val="9"/>
              </w:numPr>
              <w:rPr>
                <w:sz w:val="20"/>
                <w:szCs w:val="20"/>
              </w:rPr>
            </w:pPr>
            <w:r>
              <w:rPr>
                <w:sz w:val="20"/>
                <w:szCs w:val="20"/>
              </w:rPr>
              <w:t>Specificity: 82%</w:t>
            </w:r>
          </w:p>
          <w:p w14:paraId="5E026B2F" w14:textId="77777777" w:rsidR="002D58E4" w:rsidRDefault="002D58E4">
            <w:pPr>
              <w:rPr>
                <w:sz w:val="20"/>
                <w:szCs w:val="20"/>
              </w:rPr>
            </w:pPr>
          </w:p>
          <w:p w14:paraId="1DD6D29A" w14:textId="77777777" w:rsidR="002D58E4" w:rsidRDefault="00F721D4">
            <w:pPr>
              <w:rPr>
                <w:sz w:val="20"/>
                <w:szCs w:val="20"/>
                <w:u w:val="single"/>
              </w:rPr>
            </w:pPr>
            <w:r>
              <w:rPr>
                <w:sz w:val="20"/>
                <w:szCs w:val="20"/>
                <w:u w:val="single"/>
              </w:rPr>
              <w:t>fELISA-AI:</w:t>
            </w:r>
          </w:p>
          <w:p w14:paraId="555A2055" w14:textId="77777777" w:rsidR="002D58E4" w:rsidRDefault="00F721D4">
            <w:pPr>
              <w:numPr>
                <w:ilvl w:val="0"/>
                <w:numId w:val="9"/>
              </w:numPr>
              <w:rPr>
                <w:sz w:val="20"/>
                <w:szCs w:val="20"/>
              </w:rPr>
            </w:pPr>
            <w:r>
              <w:rPr>
                <w:sz w:val="20"/>
                <w:szCs w:val="20"/>
              </w:rPr>
              <w:t>Sensitivity: 34%</w:t>
            </w:r>
          </w:p>
          <w:p w14:paraId="7D97342B" w14:textId="77777777" w:rsidR="002D58E4" w:rsidRDefault="00F721D4">
            <w:pPr>
              <w:numPr>
                <w:ilvl w:val="0"/>
                <w:numId w:val="9"/>
              </w:numPr>
              <w:rPr>
                <w:sz w:val="20"/>
                <w:szCs w:val="20"/>
              </w:rPr>
            </w:pPr>
            <w:r>
              <w:rPr>
                <w:sz w:val="20"/>
                <w:szCs w:val="20"/>
              </w:rPr>
              <w:t>Specificity: 80%</w:t>
            </w:r>
          </w:p>
          <w:p w14:paraId="2CB946EA" w14:textId="77777777" w:rsidR="002D58E4" w:rsidRDefault="002D58E4">
            <w:pPr>
              <w:rPr>
                <w:sz w:val="20"/>
                <w:szCs w:val="20"/>
              </w:rPr>
            </w:pPr>
          </w:p>
          <w:p w14:paraId="5AE24B0F" w14:textId="77777777" w:rsidR="002D58E4" w:rsidRDefault="00F721D4">
            <w:pPr>
              <w:rPr>
                <w:sz w:val="20"/>
                <w:szCs w:val="20"/>
                <w:u w:val="single"/>
              </w:rPr>
            </w:pPr>
            <w:r>
              <w:rPr>
                <w:sz w:val="20"/>
                <w:szCs w:val="20"/>
                <w:u w:val="single"/>
              </w:rPr>
              <w:t>Immunoblot:</w:t>
            </w:r>
          </w:p>
          <w:p w14:paraId="3666664D" w14:textId="77777777" w:rsidR="002D58E4" w:rsidRDefault="00F721D4">
            <w:pPr>
              <w:numPr>
                <w:ilvl w:val="0"/>
                <w:numId w:val="9"/>
              </w:numPr>
              <w:rPr>
                <w:sz w:val="20"/>
                <w:szCs w:val="20"/>
              </w:rPr>
            </w:pPr>
            <w:r>
              <w:rPr>
                <w:sz w:val="20"/>
                <w:szCs w:val="20"/>
              </w:rPr>
              <w:t>Sensitivity: 40%</w:t>
            </w:r>
          </w:p>
          <w:p w14:paraId="116F6860" w14:textId="77777777" w:rsidR="002D58E4" w:rsidRDefault="00F721D4">
            <w:pPr>
              <w:numPr>
                <w:ilvl w:val="0"/>
                <w:numId w:val="9"/>
              </w:numPr>
              <w:rPr>
                <w:sz w:val="20"/>
                <w:szCs w:val="20"/>
              </w:rPr>
            </w:pPr>
            <w:r>
              <w:rPr>
                <w:sz w:val="20"/>
                <w:szCs w:val="20"/>
              </w:rPr>
              <w:t>Specificity: 82%</w:t>
            </w:r>
          </w:p>
          <w:p w14:paraId="7A03DA87" w14:textId="77777777" w:rsidR="002D58E4" w:rsidRDefault="002D58E4">
            <w:pPr>
              <w:rPr>
                <w:sz w:val="20"/>
                <w:szCs w:val="20"/>
              </w:rPr>
            </w:pPr>
          </w:p>
          <w:p w14:paraId="00E35AF8" w14:textId="77777777" w:rsidR="002D58E4" w:rsidRDefault="00F721D4">
            <w:pPr>
              <w:rPr>
                <w:sz w:val="20"/>
                <w:szCs w:val="20"/>
                <w:u w:val="single"/>
              </w:rPr>
            </w:pPr>
            <w:r>
              <w:rPr>
                <w:sz w:val="20"/>
                <w:szCs w:val="20"/>
                <w:u w:val="single"/>
              </w:rPr>
              <w:t xml:space="preserve">CSF CXCL13: </w:t>
            </w:r>
          </w:p>
          <w:p w14:paraId="2D257B31" w14:textId="77777777" w:rsidR="002D58E4" w:rsidRDefault="00F721D4">
            <w:pPr>
              <w:numPr>
                <w:ilvl w:val="0"/>
                <w:numId w:val="9"/>
              </w:numPr>
              <w:rPr>
                <w:sz w:val="20"/>
                <w:szCs w:val="20"/>
              </w:rPr>
            </w:pPr>
            <w:r>
              <w:rPr>
                <w:sz w:val="20"/>
                <w:szCs w:val="20"/>
              </w:rPr>
              <w:t>Sensitivity: 44%</w:t>
            </w:r>
          </w:p>
          <w:p w14:paraId="11F3C8E4" w14:textId="77777777" w:rsidR="002D58E4" w:rsidRDefault="00F721D4">
            <w:pPr>
              <w:numPr>
                <w:ilvl w:val="0"/>
                <w:numId w:val="9"/>
              </w:numPr>
              <w:rPr>
                <w:sz w:val="20"/>
                <w:szCs w:val="20"/>
              </w:rPr>
            </w:pPr>
            <w:r>
              <w:rPr>
                <w:sz w:val="20"/>
                <w:szCs w:val="20"/>
              </w:rPr>
              <w:t>Specificity: 80%</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06E99BF" w14:textId="77777777" w:rsidR="002D58E4" w:rsidRDefault="00F721D4">
            <w:pPr>
              <w:rPr>
                <w:sz w:val="20"/>
                <w:szCs w:val="20"/>
              </w:rPr>
            </w:pPr>
            <w:r>
              <w:rPr>
                <w:sz w:val="20"/>
                <w:szCs w:val="20"/>
              </w:rPr>
              <w:t>CSF CXCL13 was elevated above the cut-off in 22 patients with definite LNB (44%). No control patient or possible LNB patient was positive by CXCL13 testing. Antibody index results were more often positive with rELISA than with immunoblot (p=0.039) or compared to CXCL13 levels (p=0.022). There were no significant differences when agreement between flELISA, immunoblot, and CXCL13 was calculated.</w:t>
            </w:r>
          </w:p>
          <w:p w14:paraId="3E0D1E73" w14:textId="77777777" w:rsidR="002D58E4" w:rsidRDefault="002D58E4">
            <w:pPr>
              <w:rPr>
                <w:sz w:val="20"/>
                <w:szCs w:val="20"/>
              </w:rPr>
            </w:pPr>
          </w:p>
          <w:p w14:paraId="1855ECB5" w14:textId="77777777" w:rsidR="002D58E4" w:rsidRDefault="00F721D4">
            <w:pPr>
              <w:rPr>
                <w:sz w:val="20"/>
                <w:szCs w:val="20"/>
              </w:rPr>
            </w:pPr>
            <w:r>
              <w:rPr>
                <w:sz w:val="20"/>
                <w:szCs w:val="20"/>
              </w:rPr>
              <w:t>The authors found that the rELISA-AI test appeared to be the most sensitive and that the flELISA-AI was the least sensitive. When the ELISA-AIs were confirmed by immunoblot, different patients were identified as LNB, while only 26% were identified by all test methods.</w:t>
            </w:r>
          </w:p>
          <w:p w14:paraId="3366A7CF" w14:textId="77777777" w:rsidR="002D58E4" w:rsidRDefault="002D58E4">
            <w:pPr>
              <w:rPr>
                <w:sz w:val="20"/>
                <w:szCs w:val="20"/>
              </w:rPr>
            </w:pPr>
          </w:p>
          <w:p w14:paraId="044071B1" w14:textId="77777777" w:rsidR="002D58E4" w:rsidRDefault="00F721D4">
            <w:pPr>
              <w:rPr>
                <w:sz w:val="20"/>
                <w:szCs w:val="20"/>
              </w:rPr>
            </w:pPr>
            <w:r>
              <w:rPr>
                <w:sz w:val="20"/>
                <w:szCs w:val="20"/>
              </w:rPr>
              <w:t>All patients classified as “definite LNB”, and only those patients, had elevated CXCL13 levels, but classification of the patients was not influenced by CXCL13 levels.</w:t>
            </w:r>
            <w:r>
              <w:t xml:space="preserve"> </w:t>
            </w:r>
            <w:r>
              <w:rPr>
                <w:sz w:val="20"/>
                <w:szCs w:val="20"/>
              </w:rPr>
              <w:t>The authors concluded that immunoblot could be an important supplement to recombinant ELISA antibody index to rule out the diagnosis of LNB in children and adults suggestive symptoms or in unclear clinical cases. The authors also noted that CXCL13 levels in CSF may be useful as an additional non-</w:t>
            </w:r>
            <w:r>
              <w:rPr>
                <w:i/>
                <w:sz w:val="20"/>
                <w:szCs w:val="20"/>
              </w:rPr>
              <w:t>Borrelia</w:t>
            </w:r>
            <w:r>
              <w:rPr>
                <w:sz w:val="20"/>
                <w:szCs w:val="20"/>
              </w:rPr>
              <w:t xml:space="preserve"> specific determinant in early NB.</w:t>
            </w:r>
          </w:p>
        </w:tc>
      </w:tr>
      <w:tr w:rsidR="002D58E4" w14:paraId="4F3B5836" w14:textId="77777777" w:rsidTr="003D1C11">
        <w:trPr>
          <w:trHeight w:val="909"/>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27BE244" w14:textId="77777777" w:rsidR="002D58E4" w:rsidRDefault="00F721D4">
            <w:pPr>
              <w:rPr>
                <w:sz w:val="20"/>
                <w:szCs w:val="20"/>
              </w:rPr>
            </w:pPr>
            <w:r>
              <w:rPr>
                <w:sz w:val="20"/>
                <w:szCs w:val="20"/>
              </w:rPr>
              <w:t>Lindström, et al., 2016</w:t>
            </w:r>
          </w:p>
          <w:p w14:paraId="65A3EBE5" w14:textId="77777777" w:rsidR="002D58E4" w:rsidRDefault="002D58E4">
            <w:pPr>
              <w:rPr>
                <w:sz w:val="20"/>
                <w:szCs w:val="20"/>
              </w:rPr>
            </w:pPr>
          </w:p>
          <w:p w14:paraId="5C9D9BF0" w14:textId="77777777" w:rsidR="002D58E4" w:rsidRDefault="00F721D4">
            <w:pPr>
              <w:rPr>
                <w:sz w:val="20"/>
                <w:szCs w:val="20"/>
              </w:rPr>
            </w:pPr>
            <w:r>
              <w:rPr>
                <w:sz w:val="20"/>
                <w:szCs w:val="20"/>
              </w:rPr>
              <w:t>Gothenburg, Sweden</w:t>
            </w:r>
          </w:p>
        </w:tc>
        <w:tc>
          <w:tcPr>
            <w:tcW w:w="876" w:type="dxa"/>
            <w:tcBorders>
              <w:top w:val="single" w:sz="6" w:space="0" w:color="AEAEAE"/>
              <w:left w:val="single" w:sz="6" w:space="0" w:color="AEAEAE"/>
              <w:bottom w:val="single" w:sz="6" w:space="0" w:color="AEAEAE"/>
              <w:right w:val="single" w:sz="6" w:space="0" w:color="AEAEAE"/>
            </w:tcBorders>
            <w:vAlign w:val="center"/>
          </w:tcPr>
          <w:p w14:paraId="25743EAD" w14:textId="77777777" w:rsidR="002D58E4" w:rsidRDefault="00F721D4">
            <w:pPr>
              <w:rPr>
                <w:sz w:val="20"/>
                <w:szCs w:val="20"/>
              </w:rPr>
            </w:pPr>
            <w:r>
              <w:rPr>
                <w:sz w:val="20"/>
                <w:szCs w:val="20"/>
              </w:rPr>
              <w:t>Retrospective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77952951"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305F0AA7" w14:textId="77777777" w:rsidR="002D58E4" w:rsidRDefault="00F721D4">
            <w:pPr>
              <w:spacing w:after="120"/>
              <w:rPr>
                <w:sz w:val="20"/>
                <w:szCs w:val="20"/>
              </w:rPr>
            </w:pPr>
            <w:r>
              <w:rPr>
                <w:sz w:val="20"/>
                <w:szCs w:val="20"/>
              </w:rPr>
              <w:t>28 patients with varicella zoster facial palsy, which was diagnosed by detection of varicella zoster DNA in cerebrospinal fluid (CSF) by PCR, and 21 patients with facial palsy caused by neuroborreliosis (LNB), who were included from two patient cohorts previously included in unrelated prospective studies on LNB, were retrospectively assessed.  A control group with 52 patients without central nervous system infection was included.</w:t>
            </w:r>
          </w:p>
          <w:p w14:paraId="492876D1" w14:textId="77777777" w:rsidR="002D58E4" w:rsidRDefault="00F721D4">
            <w:pPr>
              <w:rPr>
                <w:sz w:val="20"/>
                <w:szCs w:val="20"/>
              </w:rPr>
            </w:pPr>
            <w:r>
              <w:rPr>
                <w:sz w:val="20"/>
                <w:szCs w:val="20"/>
              </w:rPr>
              <w:t>The median number of days between onset of facial palsy and CSF sampling was 2 days for varicella zoster patients and 4 days for LNB patients.</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0631B13" w14:textId="77777777" w:rsidR="002D58E4" w:rsidRDefault="00F721D4">
            <w:pPr>
              <w:rPr>
                <w:sz w:val="20"/>
                <w:szCs w:val="20"/>
              </w:rPr>
            </w:pPr>
            <w:r>
              <w:rPr>
                <w:sz w:val="20"/>
                <w:szCs w:val="20"/>
              </w:rPr>
              <w:t>Median CSF concentrations of CXCL13 for facial palsy caused by LNB were 1808 pg/mL, and for VZV facial palsy were 9 pg/mL. All control samples except one were below the detection limit.</w:t>
            </w:r>
          </w:p>
          <w:p w14:paraId="65127800" w14:textId="77777777" w:rsidR="002D58E4" w:rsidRDefault="002D58E4">
            <w:pPr>
              <w:rPr>
                <w:sz w:val="20"/>
                <w:szCs w:val="20"/>
              </w:rPr>
            </w:pPr>
          </w:p>
          <w:p w14:paraId="10927883" w14:textId="77777777" w:rsidR="002D58E4" w:rsidRDefault="002D58E4">
            <w:pPr>
              <w:rPr>
                <w:sz w:val="20"/>
                <w:szCs w:val="20"/>
              </w:rPr>
            </w:pPr>
          </w:p>
          <w:p w14:paraId="5E25EB44" w14:textId="77777777" w:rsidR="002D58E4" w:rsidRDefault="00F721D4">
            <w:pPr>
              <w:rPr>
                <w:sz w:val="20"/>
                <w:szCs w:val="20"/>
                <w:u w:val="single"/>
              </w:rPr>
            </w:pPr>
            <w:r>
              <w:rPr>
                <w:sz w:val="20"/>
                <w:szCs w:val="20"/>
                <w:u w:val="single"/>
              </w:rPr>
              <w:t xml:space="preserve">CSF CXCL13 (cut-off: 34.5 pg/mL): </w:t>
            </w:r>
          </w:p>
          <w:p w14:paraId="6FBF79F3" w14:textId="77777777" w:rsidR="002D58E4" w:rsidRDefault="00F721D4">
            <w:pPr>
              <w:numPr>
                <w:ilvl w:val="0"/>
                <w:numId w:val="9"/>
              </w:numPr>
              <w:rPr>
                <w:sz w:val="20"/>
                <w:szCs w:val="20"/>
              </w:rPr>
            </w:pPr>
            <w:r>
              <w:rPr>
                <w:sz w:val="20"/>
                <w:szCs w:val="20"/>
              </w:rPr>
              <w:t>Sensitivity: 82.6%</w:t>
            </w:r>
          </w:p>
          <w:p w14:paraId="1FB64ED9" w14:textId="77777777" w:rsidR="002D58E4" w:rsidRDefault="00F721D4">
            <w:pPr>
              <w:numPr>
                <w:ilvl w:val="0"/>
                <w:numId w:val="9"/>
              </w:numPr>
              <w:rPr>
                <w:sz w:val="20"/>
                <w:szCs w:val="20"/>
              </w:rPr>
            </w:pPr>
            <w:r>
              <w:rPr>
                <w:sz w:val="20"/>
                <w:szCs w:val="20"/>
              </w:rPr>
              <w:t>Specificity: 82.1%</w:t>
            </w:r>
          </w:p>
          <w:p w14:paraId="2FFBA024" w14:textId="77777777" w:rsidR="002D58E4" w:rsidRDefault="002D58E4">
            <w:pPr>
              <w:rPr>
                <w:sz w:val="20"/>
                <w:szCs w:val="20"/>
              </w:rPr>
            </w:pPr>
          </w:p>
          <w:p w14:paraId="633B5F97" w14:textId="77777777" w:rsidR="002D58E4" w:rsidRDefault="00F721D4">
            <w:pPr>
              <w:rPr>
                <w:sz w:val="20"/>
                <w:szCs w:val="20"/>
                <w:u w:val="single"/>
              </w:rPr>
            </w:pPr>
            <w:r>
              <w:rPr>
                <w:sz w:val="20"/>
                <w:szCs w:val="20"/>
                <w:u w:val="single"/>
              </w:rPr>
              <w:t xml:space="preserve">Patients whose CSF was sampled within one week of facial palsy onset CXCL13 (cut-off: 61 pg/mL): </w:t>
            </w:r>
          </w:p>
          <w:p w14:paraId="77CF0DE0" w14:textId="77777777" w:rsidR="002D58E4" w:rsidRDefault="00F721D4">
            <w:pPr>
              <w:numPr>
                <w:ilvl w:val="0"/>
                <w:numId w:val="9"/>
              </w:numPr>
              <w:rPr>
                <w:sz w:val="20"/>
                <w:szCs w:val="20"/>
              </w:rPr>
            </w:pPr>
            <w:r>
              <w:rPr>
                <w:sz w:val="20"/>
                <w:szCs w:val="20"/>
              </w:rPr>
              <w:t>Sensitivity: 92.9%</w:t>
            </w:r>
          </w:p>
          <w:p w14:paraId="5D544B66" w14:textId="77777777" w:rsidR="002D58E4" w:rsidRDefault="002D58E4">
            <w:pPr>
              <w:rPr>
                <w:sz w:val="20"/>
                <w:szCs w:val="20"/>
              </w:rPr>
            </w:pPr>
          </w:p>
          <w:p w14:paraId="05DD802B" w14:textId="77777777" w:rsidR="002D58E4" w:rsidRDefault="00F721D4">
            <w:pPr>
              <w:rPr>
                <w:sz w:val="20"/>
                <w:szCs w:val="20"/>
                <w:u w:val="single"/>
              </w:rPr>
            </w:pPr>
            <w:r>
              <w:rPr>
                <w:sz w:val="20"/>
                <w:szCs w:val="20"/>
                <w:u w:val="single"/>
              </w:rPr>
              <w:t xml:space="preserve">Patients whose CSF was sampled within one week of facial palsy onset CXCL13 (cut-off: 1,224 pg/mL): </w:t>
            </w:r>
          </w:p>
          <w:p w14:paraId="1D8AAB9E" w14:textId="77777777" w:rsidR="002D58E4" w:rsidRDefault="00F721D4">
            <w:pPr>
              <w:numPr>
                <w:ilvl w:val="0"/>
                <w:numId w:val="9"/>
              </w:numPr>
              <w:rPr>
                <w:sz w:val="20"/>
                <w:szCs w:val="20"/>
              </w:rPr>
            </w:pPr>
            <w:r>
              <w:rPr>
                <w:sz w:val="20"/>
                <w:szCs w:val="20"/>
              </w:rPr>
              <w:t>Sensitivity: 64.3%</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BE69680" w14:textId="77777777" w:rsidR="002D58E4" w:rsidRDefault="00F721D4">
            <w:pPr>
              <w:rPr>
                <w:sz w:val="20"/>
                <w:szCs w:val="20"/>
              </w:rPr>
            </w:pPr>
            <w:r>
              <w:rPr>
                <w:sz w:val="20"/>
                <w:szCs w:val="20"/>
              </w:rPr>
              <w:t xml:space="preserve">This was the first comparative study on CSF levels of CXCL13 in patients with facial palsy caused by LNB versus varicella zoster. The authors found significantly higher concentrations of CXCL13 in CSF of patients with LNB compared to patients with varicella zoster. Previously proposed cut-off levels for CXCL13 have ranged from 61 pg/mL to 1,224 pg/mL, but since cutoffs this high would have led to unacceptably low sensitivity in this population, the authors derived a new cutoff of 34.5 pg/mL using receiver operating characteristic (ROC) analysis. </w:t>
            </w:r>
          </w:p>
          <w:p w14:paraId="08289EFF" w14:textId="77777777" w:rsidR="002D58E4" w:rsidRDefault="002D58E4">
            <w:pPr>
              <w:rPr>
                <w:sz w:val="20"/>
                <w:szCs w:val="20"/>
              </w:rPr>
            </w:pPr>
          </w:p>
          <w:p w14:paraId="19683EBB" w14:textId="77777777" w:rsidR="002D58E4" w:rsidRDefault="00F721D4">
            <w:pPr>
              <w:rPr>
                <w:sz w:val="20"/>
                <w:szCs w:val="20"/>
              </w:rPr>
            </w:pPr>
            <w:r>
              <w:rPr>
                <w:sz w:val="20"/>
                <w:szCs w:val="20"/>
              </w:rPr>
              <w:t>The authors suggest that further studies on CXCL13 concentrations in central nervous system infections need to be conducted in order to inform its use in a clinical setting, and that such studies should focus on central nervous symptom infections with similar clinical presentations.</w:t>
            </w:r>
          </w:p>
        </w:tc>
      </w:tr>
      <w:tr w:rsidR="002D58E4" w14:paraId="34344C1D" w14:textId="77777777" w:rsidTr="003D1C11">
        <w:trPr>
          <w:trHeight w:val="22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2B3E603" w14:textId="77777777" w:rsidR="002D58E4" w:rsidRDefault="00F721D4">
            <w:pPr>
              <w:rPr>
                <w:sz w:val="20"/>
                <w:szCs w:val="20"/>
              </w:rPr>
            </w:pPr>
            <w:r>
              <w:rPr>
                <w:sz w:val="20"/>
                <w:szCs w:val="20"/>
              </w:rPr>
              <w:t>Barstad, et al., 2017</w:t>
            </w:r>
          </w:p>
          <w:p w14:paraId="3A8BC520" w14:textId="77777777" w:rsidR="002D58E4" w:rsidRDefault="002D58E4">
            <w:pPr>
              <w:rPr>
                <w:sz w:val="20"/>
                <w:szCs w:val="20"/>
              </w:rPr>
            </w:pPr>
          </w:p>
          <w:p w14:paraId="1F1633C5" w14:textId="77777777" w:rsidR="002D58E4" w:rsidRDefault="00F721D4">
            <w:pPr>
              <w:rPr>
                <w:sz w:val="20"/>
                <w:szCs w:val="20"/>
              </w:rPr>
            </w:pPr>
            <w:r>
              <w:rPr>
                <w:sz w:val="20"/>
                <w:szCs w:val="20"/>
              </w:rPr>
              <w:t>Southwest Norway</w:t>
            </w:r>
          </w:p>
        </w:tc>
        <w:tc>
          <w:tcPr>
            <w:tcW w:w="876" w:type="dxa"/>
            <w:tcBorders>
              <w:top w:val="single" w:sz="6" w:space="0" w:color="AEAEAE"/>
              <w:left w:val="single" w:sz="6" w:space="0" w:color="AEAEAE"/>
              <w:bottom w:val="single" w:sz="6" w:space="0" w:color="AEAEAE"/>
              <w:right w:val="single" w:sz="6" w:space="0" w:color="AEAEAE"/>
            </w:tcBorders>
            <w:vAlign w:val="center"/>
          </w:tcPr>
          <w:p w14:paraId="31CCC98F" w14:textId="77777777" w:rsidR="002D58E4" w:rsidRDefault="00F721D4">
            <w:pPr>
              <w:rPr>
                <w:sz w:val="20"/>
                <w:szCs w:val="20"/>
              </w:rPr>
            </w:pPr>
            <w:r>
              <w:rPr>
                <w:sz w:val="20"/>
                <w:szCs w:val="20"/>
              </w:rPr>
              <w:t>Prospective cohort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185D473F"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4D82FCA0" w14:textId="77777777" w:rsidR="002D58E4" w:rsidRDefault="00F721D4">
            <w:pPr>
              <w:spacing w:after="120"/>
              <w:rPr>
                <w:sz w:val="20"/>
                <w:szCs w:val="20"/>
              </w:rPr>
            </w:pPr>
            <w:r>
              <w:rPr>
                <w:sz w:val="20"/>
                <w:szCs w:val="20"/>
              </w:rPr>
              <w:t xml:space="preserve">217 children who were hospitalized with symptoms suggestive of LNB were included, and 210 children were eligible for laboratory analysis and categorized into the following diagnostic groups: Confirmed LNB (n=59), “probable” LNB (n=18), “possible” LNB (n=7), Non-Lyme aseptic meningitis (NLAM) (n=12), “possible” peripheral LNB (n=7), non-meningitis (n=91), and negative controls (n=16). </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5225D91" w14:textId="77777777" w:rsidR="002D58E4" w:rsidRDefault="00F721D4">
            <w:pPr>
              <w:rPr>
                <w:sz w:val="20"/>
                <w:szCs w:val="20"/>
              </w:rPr>
            </w:pPr>
            <w:r>
              <w:rPr>
                <w:sz w:val="20"/>
                <w:szCs w:val="20"/>
              </w:rPr>
              <w:t xml:space="preserve">Serum and CSF analyses of </w:t>
            </w:r>
            <w:r>
              <w:rPr>
                <w:i/>
                <w:sz w:val="20"/>
                <w:szCs w:val="20"/>
              </w:rPr>
              <w:t xml:space="preserve">B. burgdorferi </w:t>
            </w:r>
            <w:r>
              <w:rPr>
                <w:sz w:val="20"/>
                <w:szCs w:val="20"/>
              </w:rPr>
              <w:t>antibody levels and antibody index were conducted using the Liaison Borrelia immunoglobulin (Ig)M and Borrelia IgG, Enzygnost Lymelink VlsE/IgG and Borreliose</w:t>
            </w:r>
          </w:p>
          <w:p w14:paraId="026C5C8B" w14:textId="77777777" w:rsidR="002D58E4" w:rsidRDefault="00F721D4">
            <w:pPr>
              <w:rPr>
                <w:sz w:val="20"/>
                <w:szCs w:val="20"/>
              </w:rPr>
            </w:pPr>
            <w:r>
              <w:rPr>
                <w:sz w:val="20"/>
                <w:szCs w:val="20"/>
              </w:rPr>
              <w:t>IgM tests. In addition, IDEIA Lyme Neuroborreliosis and Reibergram were used. CXCL13 analyses were performed by ELISA.</w:t>
            </w:r>
          </w:p>
          <w:p w14:paraId="1227044F" w14:textId="77777777" w:rsidR="002D58E4" w:rsidRDefault="002D58E4">
            <w:pPr>
              <w:rPr>
                <w:sz w:val="20"/>
                <w:szCs w:val="20"/>
              </w:rPr>
            </w:pPr>
          </w:p>
          <w:p w14:paraId="7DDD0CEF" w14:textId="77777777" w:rsidR="002D58E4" w:rsidRDefault="00F721D4">
            <w:pPr>
              <w:rPr>
                <w:sz w:val="20"/>
                <w:szCs w:val="20"/>
              </w:rPr>
            </w:pPr>
            <w:r>
              <w:rPr>
                <w:sz w:val="20"/>
                <w:szCs w:val="20"/>
              </w:rPr>
              <w:t xml:space="preserve">For this analysis, the highest combined sensitivity and specificity of 91% and 100%, respectively, were found with a CXCL13 cutoff level of 213 pg/mL. </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446338C" w14:textId="77777777" w:rsidR="002D58E4" w:rsidRDefault="00F721D4">
            <w:pPr>
              <w:rPr>
                <w:sz w:val="20"/>
                <w:szCs w:val="20"/>
              </w:rPr>
            </w:pPr>
            <w:r>
              <w:rPr>
                <w:sz w:val="20"/>
                <w:szCs w:val="20"/>
              </w:rPr>
              <w:t>CSF CXCL13 levels were substantially higher in children with LNB compared with children with other diagnoses. If a low CSF CXCL13 cutoff level is chosen to obtain a high sensitivity, the specificity to discriminate LNB from NLAM may be more moderate. This suggests that CSF CXCL13 should be used as a supplementary tool in the diagnosis of LNB in children.</w:t>
            </w:r>
            <w:r>
              <w:t xml:space="preserve"> </w:t>
            </w:r>
            <w:r>
              <w:rPr>
                <w:sz w:val="20"/>
                <w:szCs w:val="20"/>
              </w:rPr>
              <w:t>With a low cutoff level, CSF CXCL13 had a high sensitivity to diagnose LNB but a more moderate specificity to discriminate LNB from NLAM.</w:t>
            </w:r>
          </w:p>
        </w:tc>
      </w:tr>
      <w:tr w:rsidR="002D58E4" w14:paraId="06B77EFB" w14:textId="77777777" w:rsidTr="003D1C11">
        <w:trPr>
          <w:trHeight w:val="1539"/>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558CE99" w14:textId="77777777" w:rsidR="002D58E4" w:rsidRDefault="00F721D4">
            <w:pPr>
              <w:rPr>
                <w:sz w:val="20"/>
                <w:szCs w:val="20"/>
              </w:rPr>
            </w:pPr>
            <w:r>
              <w:rPr>
                <w:sz w:val="20"/>
                <w:szCs w:val="20"/>
              </w:rPr>
              <w:t>Gyllemark, et al., 2017</w:t>
            </w:r>
          </w:p>
          <w:p w14:paraId="4AFAAA29" w14:textId="77777777" w:rsidR="002D58E4" w:rsidRDefault="002D58E4">
            <w:pPr>
              <w:rPr>
                <w:sz w:val="20"/>
                <w:szCs w:val="20"/>
              </w:rPr>
            </w:pPr>
          </w:p>
          <w:p w14:paraId="0D5EB3ED" w14:textId="77777777" w:rsidR="002D58E4" w:rsidRDefault="00F721D4">
            <w:pPr>
              <w:rPr>
                <w:sz w:val="20"/>
                <w:szCs w:val="20"/>
              </w:rPr>
            </w:pPr>
            <w:r>
              <w:rPr>
                <w:sz w:val="20"/>
                <w:szCs w:val="20"/>
              </w:rPr>
              <w:t>Jönköping County, Sweden</w:t>
            </w:r>
          </w:p>
        </w:tc>
        <w:tc>
          <w:tcPr>
            <w:tcW w:w="876" w:type="dxa"/>
            <w:tcBorders>
              <w:top w:val="single" w:sz="6" w:space="0" w:color="AEAEAE"/>
              <w:left w:val="single" w:sz="6" w:space="0" w:color="AEAEAE"/>
              <w:bottom w:val="single" w:sz="6" w:space="0" w:color="AEAEAE"/>
              <w:right w:val="single" w:sz="6" w:space="0" w:color="AEAEAE"/>
            </w:tcBorders>
            <w:vAlign w:val="center"/>
          </w:tcPr>
          <w:p w14:paraId="05293416" w14:textId="77777777" w:rsidR="002D58E4" w:rsidRDefault="00F721D4">
            <w:pPr>
              <w:rPr>
                <w:sz w:val="20"/>
                <w:szCs w:val="20"/>
              </w:rPr>
            </w:pPr>
            <w:r>
              <w:rPr>
                <w:sz w:val="20"/>
                <w:szCs w:val="20"/>
              </w:rPr>
              <w:t>Retrospective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18BFF12F"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16944C9A" w14:textId="77777777" w:rsidR="002D58E4" w:rsidRDefault="00F721D4">
            <w:pPr>
              <w:spacing w:after="120"/>
              <w:rPr>
                <w:sz w:val="20"/>
                <w:szCs w:val="20"/>
              </w:rPr>
            </w:pPr>
            <w:r>
              <w:rPr>
                <w:sz w:val="20"/>
                <w:szCs w:val="20"/>
              </w:rPr>
              <w:t>165 patients who had been investigated by lumbar puncture (LP) and blood sampling during 2007–2009 for suspected LNB were assessed.</w:t>
            </w:r>
            <w:r>
              <w:t xml:space="preserve"> </w:t>
            </w:r>
            <w:r>
              <w:rPr>
                <w:sz w:val="20"/>
                <w:szCs w:val="20"/>
              </w:rPr>
              <w:t xml:space="preserve">Patients in group 1 (“definite” LNB, n= 49) had CSF pleocytosis and </w:t>
            </w:r>
            <w:r>
              <w:rPr>
                <w:i/>
                <w:sz w:val="20"/>
                <w:szCs w:val="20"/>
              </w:rPr>
              <w:t>Borrelia</w:t>
            </w:r>
            <w:r>
              <w:rPr>
                <w:sz w:val="20"/>
                <w:szCs w:val="20"/>
              </w:rPr>
              <w:t xml:space="preserve">-specific antibodies. Group 2 (“possible” LNB pleocytosis, n= 14) had short duration of symptoms and CSF pleocytosis but no </w:t>
            </w:r>
            <w:r>
              <w:rPr>
                <w:i/>
                <w:sz w:val="20"/>
                <w:szCs w:val="20"/>
              </w:rPr>
              <w:t>Borrelia</w:t>
            </w:r>
            <w:r>
              <w:rPr>
                <w:sz w:val="20"/>
                <w:szCs w:val="20"/>
              </w:rPr>
              <w:t>-specific antibodies. Group 3 (“possible” LNB Ab+, n= 14) had Borrelia specific antibodies in CSF, but no pleocytosis and</w:t>
            </w:r>
            <w:r>
              <w:t xml:space="preserve"> </w:t>
            </w:r>
            <w:r>
              <w:rPr>
                <w:sz w:val="20"/>
                <w:szCs w:val="20"/>
              </w:rPr>
              <w:t xml:space="preserve">less suggestive symptoms. </w:t>
            </w:r>
          </w:p>
          <w:p w14:paraId="524B7015" w14:textId="77777777" w:rsidR="002D58E4" w:rsidRDefault="00F721D4">
            <w:pPr>
              <w:spacing w:after="120"/>
              <w:rPr>
                <w:sz w:val="20"/>
                <w:szCs w:val="20"/>
              </w:rPr>
            </w:pPr>
            <w:r>
              <w:rPr>
                <w:sz w:val="20"/>
                <w:szCs w:val="20"/>
              </w:rPr>
              <w:t>88 gender- and age-matched patients from the same cohort were selected as a reference group: neurological diagnosis unverified (n= 56), Bell’s palsy (n= 18), Alzheimer’s disease/Parkinson’s disease/stroke (n= 14).</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317C20D" w14:textId="77777777" w:rsidR="002D58E4" w:rsidRDefault="00F721D4">
            <w:pPr>
              <w:rPr>
                <w:sz w:val="20"/>
                <w:szCs w:val="20"/>
              </w:rPr>
            </w:pPr>
            <w:r>
              <w:rPr>
                <w:sz w:val="20"/>
                <w:szCs w:val="20"/>
              </w:rPr>
              <w:t>CSF levels of CXCL13 were significantly elevated in all LNB groups compared to the non-LNB group, while there were no differences in serum.</w:t>
            </w:r>
            <w:r>
              <w:t xml:space="preserve"> C</w:t>
            </w:r>
            <w:r>
              <w:rPr>
                <w:sz w:val="20"/>
                <w:szCs w:val="20"/>
              </w:rPr>
              <w:t>hildren &lt;15 years of age in groups 1, 2 and 3 (n= 34) had significantly higher levels of CXCL13 in serum and CSF (920 pg/mL, 398–1706, p= 0.03) compared to adults. CXCL13 in CSF was positively correlated with pleocytosis (rho= 0.55, p&lt;0.001).</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17C4032" w14:textId="77777777" w:rsidR="002D58E4" w:rsidRDefault="00F721D4">
            <w:pPr>
              <w:rPr>
                <w:sz w:val="20"/>
                <w:szCs w:val="20"/>
              </w:rPr>
            </w:pPr>
            <w:r>
              <w:rPr>
                <w:sz w:val="20"/>
                <w:szCs w:val="20"/>
              </w:rPr>
              <w:t>Levels of CXCL13 are raised in CSF from patients with LNB, strengthening the involvement of B cell immunity in LNB.</w:t>
            </w:r>
            <w:r>
              <w:t xml:space="preserve"> </w:t>
            </w:r>
            <w:r>
              <w:rPr>
                <w:sz w:val="20"/>
                <w:szCs w:val="20"/>
              </w:rPr>
              <w:t>The lack of correlations between cytokine/chemokine levels in serum versus CSF indicates an intrathecal source of the cytokines and chemokines present in CSF, thus reflecting the pathological process in the CNS.</w:t>
            </w:r>
          </w:p>
        </w:tc>
      </w:tr>
      <w:tr w:rsidR="002D58E4" w14:paraId="4FE539AA" w14:textId="77777777" w:rsidTr="003D1C11">
        <w:trPr>
          <w:trHeight w:val="22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88F1B3B" w14:textId="77777777" w:rsidR="002D58E4" w:rsidRDefault="00F721D4">
            <w:pPr>
              <w:rPr>
                <w:sz w:val="20"/>
                <w:szCs w:val="20"/>
              </w:rPr>
            </w:pPr>
            <w:r>
              <w:rPr>
                <w:sz w:val="20"/>
                <w:szCs w:val="20"/>
              </w:rPr>
              <w:t>Remy, et al., 2017</w:t>
            </w:r>
          </w:p>
          <w:p w14:paraId="35147B2E" w14:textId="77777777" w:rsidR="002D58E4" w:rsidRDefault="002D58E4">
            <w:pPr>
              <w:rPr>
                <w:sz w:val="20"/>
                <w:szCs w:val="20"/>
              </w:rPr>
            </w:pPr>
          </w:p>
          <w:p w14:paraId="6DC657E5" w14:textId="77777777" w:rsidR="002D58E4" w:rsidRDefault="00F721D4">
            <w:pPr>
              <w:rPr>
                <w:sz w:val="20"/>
                <w:szCs w:val="20"/>
              </w:rPr>
            </w:pPr>
            <w:r>
              <w:rPr>
                <w:sz w:val="20"/>
                <w:szCs w:val="20"/>
              </w:rPr>
              <w:t>Bern, Switzerland</w:t>
            </w:r>
          </w:p>
        </w:tc>
        <w:tc>
          <w:tcPr>
            <w:tcW w:w="876" w:type="dxa"/>
            <w:tcBorders>
              <w:top w:val="single" w:sz="6" w:space="0" w:color="AEAEAE"/>
              <w:left w:val="single" w:sz="6" w:space="0" w:color="AEAEAE"/>
              <w:bottom w:val="single" w:sz="6" w:space="0" w:color="AEAEAE"/>
              <w:right w:val="single" w:sz="6" w:space="0" w:color="AEAEAE"/>
            </w:tcBorders>
            <w:vAlign w:val="center"/>
          </w:tcPr>
          <w:p w14:paraId="6D26D144" w14:textId="77777777" w:rsidR="002D58E4" w:rsidRDefault="00F721D4">
            <w:pPr>
              <w:rPr>
                <w:sz w:val="20"/>
                <w:szCs w:val="20"/>
              </w:rPr>
            </w:pPr>
            <w:r>
              <w:rPr>
                <w:sz w:val="20"/>
                <w:szCs w:val="20"/>
              </w:rPr>
              <w:t>Retrospective case-control</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05371F42"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2EB6DCB4" w14:textId="77777777" w:rsidR="002D58E4" w:rsidRDefault="00F721D4">
            <w:pPr>
              <w:spacing w:after="120"/>
              <w:rPr>
                <w:sz w:val="20"/>
                <w:szCs w:val="20"/>
              </w:rPr>
            </w:pPr>
            <w:r>
              <w:rPr>
                <w:sz w:val="20"/>
                <w:szCs w:val="20"/>
              </w:rPr>
              <w:t xml:space="preserve">CSF of 185 children with suspected LNB was analyzed for CXCL13. 53 patients (29%) were diagnosed with “definite LNB,” while 91 patients (49%) were classified as controls in a “non-LNB” group (negative AI and no pleocytosis or presence of a differential diagnosis). Some control patients had viral meningitis or encephalitis due to varicella-zoster virus (VZV, n= 4), enterovirus (n= 20), or tick-borne encephalitis virus (TBEV, n= 5), while others had inflammatory diseases (n= 8), idiopathic facial palsy (n= 19), primary headache (n= 11), or other diseases (n= 29). Forty-one additional patients (22%) were classified as “possible LNB” as they fulfilled only two out of three criteria for LNB. </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83DA1EF" w14:textId="77777777" w:rsidR="002D58E4" w:rsidRDefault="00F721D4">
            <w:pPr>
              <w:rPr>
                <w:sz w:val="20"/>
                <w:szCs w:val="20"/>
              </w:rPr>
            </w:pPr>
            <w:r>
              <w:rPr>
                <w:sz w:val="20"/>
                <w:szCs w:val="20"/>
              </w:rPr>
              <w:t xml:space="preserve">ELISA was used to measure CXCL13 concentrations in the CSF. </w:t>
            </w:r>
          </w:p>
          <w:p w14:paraId="2F7A1EAC" w14:textId="77777777" w:rsidR="002D58E4" w:rsidRDefault="002D58E4">
            <w:pPr>
              <w:rPr>
                <w:sz w:val="20"/>
                <w:szCs w:val="20"/>
              </w:rPr>
            </w:pPr>
          </w:p>
          <w:p w14:paraId="7AF785F2" w14:textId="77777777" w:rsidR="002D58E4" w:rsidRDefault="00F721D4">
            <w:pPr>
              <w:rPr>
                <w:sz w:val="20"/>
                <w:szCs w:val="20"/>
              </w:rPr>
            </w:pPr>
            <w:r>
              <w:rPr>
                <w:sz w:val="20"/>
                <w:szCs w:val="20"/>
              </w:rPr>
              <w:t>The median CXCL13 concentration in the CSF of patients with definite LNB was 774.7 pg/ml and values ranged from 58.9 to 13487.0 pg/ml. In comparison, non-LNB patients including patients with other confirmed CNS diseases had a median CSF CXCL13 concentration of 4.5 pg/ml (range 4.5–816 pg/ml). Means were significantly different (p&lt;0.001)</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4DA907A" w14:textId="77777777" w:rsidR="002D58E4" w:rsidRDefault="00F721D4">
            <w:pPr>
              <w:rPr>
                <w:sz w:val="20"/>
                <w:szCs w:val="20"/>
              </w:rPr>
            </w:pPr>
            <w:r>
              <w:rPr>
                <w:sz w:val="20"/>
                <w:szCs w:val="20"/>
              </w:rPr>
              <w:t>CSF CXCL13 is highly elevated in children during early LNB, as previously shown in adults. CXCL13 is a highly sensitive and specific marker that helps to differentiate LNB from other CNS affections in children.</w:t>
            </w:r>
          </w:p>
        </w:tc>
      </w:tr>
      <w:tr w:rsidR="002D58E4" w14:paraId="5801C51C" w14:textId="77777777" w:rsidTr="003D1C11">
        <w:trPr>
          <w:trHeight w:val="369"/>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7E20214" w14:textId="77777777" w:rsidR="002D58E4" w:rsidRDefault="00F721D4">
            <w:pPr>
              <w:rPr>
                <w:sz w:val="20"/>
                <w:szCs w:val="20"/>
              </w:rPr>
            </w:pPr>
            <w:r>
              <w:rPr>
                <w:sz w:val="20"/>
                <w:szCs w:val="20"/>
              </w:rPr>
              <w:t>Skogman, et la., 2017</w:t>
            </w:r>
          </w:p>
          <w:p w14:paraId="24769282" w14:textId="77777777" w:rsidR="002D58E4" w:rsidRDefault="002D58E4">
            <w:pPr>
              <w:rPr>
                <w:sz w:val="20"/>
                <w:szCs w:val="20"/>
              </w:rPr>
            </w:pPr>
          </w:p>
          <w:p w14:paraId="73DF4583" w14:textId="77777777" w:rsidR="002D58E4" w:rsidRDefault="00F721D4">
            <w:pPr>
              <w:rPr>
                <w:sz w:val="20"/>
                <w:szCs w:val="20"/>
              </w:rPr>
            </w:pPr>
            <w:r>
              <w:rPr>
                <w:sz w:val="20"/>
                <w:szCs w:val="20"/>
              </w:rPr>
              <w:t>Central and Southeast Sweden</w:t>
            </w:r>
          </w:p>
        </w:tc>
        <w:tc>
          <w:tcPr>
            <w:tcW w:w="876" w:type="dxa"/>
            <w:tcBorders>
              <w:top w:val="single" w:sz="6" w:space="0" w:color="AEAEAE"/>
              <w:left w:val="single" w:sz="6" w:space="0" w:color="AEAEAE"/>
              <w:bottom w:val="single" w:sz="6" w:space="0" w:color="AEAEAE"/>
              <w:right w:val="single" w:sz="6" w:space="0" w:color="AEAEAE"/>
            </w:tcBorders>
            <w:vAlign w:val="center"/>
          </w:tcPr>
          <w:p w14:paraId="577AACF2" w14:textId="77777777" w:rsidR="002D58E4" w:rsidRDefault="00F721D4">
            <w:pPr>
              <w:rPr>
                <w:sz w:val="20"/>
                <w:szCs w:val="20"/>
              </w:rPr>
            </w:pPr>
            <w:r>
              <w:rPr>
                <w:sz w:val="20"/>
                <w:szCs w:val="20"/>
              </w:rPr>
              <w:t>Prospective laboratory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1849B195"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5E2E69A8" w14:textId="77777777" w:rsidR="002D58E4" w:rsidRDefault="00F721D4">
            <w:pPr>
              <w:spacing w:after="120"/>
              <w:rPr>
                <w:sz w:val="20"/>
                <w:szCs w:val="20"/>
              </w:rPr>
            </w:pPr>
            <w:r>
              <w:rPr>
                <w:sz w:val="20"/>
                <w:szCs w:val="20"/>
              </w:rPr>
              <w:t xml:space="preserve">146 children who were evaluated for LNB at seven pediatric departments in a Lyme endemic area in Central and Southeast Sweden during the years 2010–2013 were included in the study. 37 children were diagnosed with “definite” LNB, and 21 children were diagnosed with “possible” LNB (neurological symptoms and pleocytosis). 88 children without LNB were included as controls, and an additional 15 children with other confirmed diagnoses were included as a reference. </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5984BA4" w14:textId="77777777" w:rsidR="002D58E4" w:rsidRDefault="00F721D4">
            <w:pPr>
              <w:rPr>
                <w:sz w:val="20"/>
                <w:szCs w:val="20"/>
              </w:rPr>
            </w:pPr>
            <w:r>
              <w:rPr>
                <w:sz w:val="20"/>
                <w:szCs w:val="20"/>
              </w:rPr>
              <w:t xml:space="preserve">Definite LNB (n=37): </w:t>
            </w:r>
          </w:p>
          <w:p w14:paraId="2E9AA4DA" w14:textId="77777777" w:rsidR="002D58E4" w:rsidRDefault="00F721D4">
            <w:pPr>
              <w:numPr>
                <w:ilvl w:val="0"/>
                <w:numId w:val="37"/>
              </w:numPr>
              <w:pBdr>
                <w:top w:val="nil"/>
                <w:left w:val="nil"/>
                <w:bottom w:val="nil"/>
                <w:right w:val="nil"/>
                <w:between w:val="nil"/>
              </w:pBdr>
              <w:spacing w:after="200" w:line="276" w:lineRule="auto"/>
              <w:rPr>
                <w:color w:val="000000"/>
                <w:sz w:val="20"/>
                <w:szCs w:val="20"/>
              </w:rPr>
            </w:pPr>
            <w:r>
              <w:rPr>
                <w:color w:val="000000"/>
                <w:sz w:val="20"/>
                <w:szCs w:val="20"/>
              </w:rPr>
              <w:t>Sensitivity: 89%</w:t>
            </w:r>
          </w:p>
          <w:p w14:paraId="7DB3039A" w14:textId="77777777" w:rsidR="002D58E4" w:rsidRDefault="002D58E4">
            <w:pPr>
              <w:rPr>
                <w:sz w:val="20"/>
                <w:szCs w:val="20"/>
              </w:rPr>
            </w:pPr>
          </w:p>
          <w:p w14:paraId="579E24ED" w14:textId="77777777" w:rsidR="002D58E4" w:rsidRDefault="00F721D4">
            <w:pPr>
              <w:rPr>
                <w:sz w:val="20"/>
                <w:szCs w:val="20"/>
              </w:rPr>
            </w:pPr>
            <w:r>
              <w:rPr>
                <w:sz w:val="20"/>
                <w:szCs w:val="20"/>
              </w:rPr>
              <w:t xml:space="preserve">Possible LNB (n-21): </w:t>
            </w:r>
          </w:p>
          <w:p w14:paraId="68FB8D35" w14:textId="77777777" w:rsidR="002D58E4" w:rsidRDefault="00F721D4">
            <w:pPr>
              <w:numPr>
                <w:ilvl w:val="0"/>
                <w:numId w:val="37"/>
              </w:numPr>
              <w:pBdr>
                <w:top w:val="nil"/>
                <w:left w:val="nil"/>
                <w:bottom w:val="nil"/>
                <w:right w:val="nil"/>
                <w:between w:val="nil"/>
              </w:pBdr>
              <w:spacing w:after="200" w:line="276" w:lineRule="auto"/>
              <w:rPr>
                <w:color w:val="000000"/>
                <w:sz w:val="20"/>
                <w:szCs w:val="20"/>
              </w:rPr>
            </w:pPr>
            <w:r>
              <w:rPr>
                <w:color w:val="000000"/>
                <w:sz w:val="20"/>
                <w:szCs w:val="20"/>
              </w:rPr>
              <w:t>Sensitivity: 48%</w:t>
            </w:r>
          </w:p>
          <w:p w14:paraId="156526CA" w14:textId="77777777" w:rsidR="002D58E4" w:rsidRDefault="002D58E4">
            <w:pPr>
              <w:rPr>
                <w:sz w:val="20"/>
                <w:szCs w:val="20"/>
              </w:rPr>
            </w:pPr>
          </w:p>
          <w:p w14:paraId="648DC283" w14:textId="77777777" w:rsidR="002D58E4" w:rsidRDefault="00F721D4">
            <w:pPr>
              <w:rPr>
                <w:sz w:val="20"/>
                <w:szCs w:val="20"/>
              </w:rPr>
            </w:pPr>
            <w:r>
              <w:rPr>
                <w:sz w:val="20"/>
                <w:szCs w:val="20"/>
              </w:rPr>
              <w:t xml:space="preserve">Non-LNB (n=88): </w:t>
            </w:r>
          </w:p>
          <w:p w14:paraId="2D6BFF19" w14:textId="77777777" w:rsidR="002D58E4" w:rsidRDefault="00F721D4">
            <w:pPr>
              <w:numPr>
                <w:ilvl w:val="0"/>
                <w:numId w:val="37"/>
              </w:numPr>
              <w:pBdr>
                <w:top w:val="nil"/>
                <w:left w:val="nil"/>
                <w:bottom w:val="nil"/>
                <w:right w:val="nil"/>
                <w:between w:val="nil"/>
              </w:pBdr>
              <w:spacing w:after="200" w:line="276" w:lineRule="auto"/>
              <w:rPr>
                <w:color w:val="000000"/>
                <w:sz w:val="20"/>
                <w:szCs w:val="20"/>
              </w:rPr>
            </w:pPr>
            <w:r>
              <w:rPr>
                <w:color w:val="000000"/>
                <w:sz w:val="20"/>
                <w:szCs w:val="20"/>
              </w:rPr>
              <w:t>Specificity: 97%</w:t>
            </w:r>
          </w:p>
          <w:p w14:paraId="23261DF4" w14:textId="77777777" w:rsidR="002D58E4" w:rsidRDefault="002D58E4">
            <w:pPr>
              <w:rPr>
                <w:sz w:val="20"/>
                <w:szCs w:val="20"/>
              </w:rPr>
            </w:pPr>
          </w:p>
          <w:p w14:paraId="0857D224" w14:textId="77777777" w:rsidR="002D58E4" w:rsidRDefault="00F721D4">
            <w:pPr>
              <w:rPr>
                <w:sz w:val="20"/>
                <w:szCs w:val="20"/>
              </w:rPr>
            </w:pPr>
            <w:r>
              <w:rPr>
                <w:sz w:val="20"/>
                <w:szCs w:val="20"/>
              </w:rPr>
              <w:t xml:space="preserve">Other diagnoses (n=15): </w:t>
            </w:r>
          </w:p>
          <w:p w14:paraId="2C2560E8" w14:textId="77777777" w:rsidR="002D58E4" w:rsidRDefault="00F721D4">
            <w:pPr>
              <w:numPr>
                <w:ilvl w:val="0"/>
                <w:numId w:val="37"/>
              </w:numPr>
              <w:pBdr>
                <w:top w:val="nil"/>
                <w:left w:val="nil"/>
                <w:bottom w:val="nil"/>
                <w:right w:val="nil"/>
                <w:between w:val="nil"/>
              </w:pBdr>
              <w:spacing w:after="200" w:line="276" w:lineRule="auto"/>
              <w:rPr>
                <w:color w:val="000000"/>
                <w:sz w:val="20"/>
                <w:szCs w:val="20"/>
              </w:rPr>
            </w:pPr>
            <w:r>
              <w:rPr>
                <w:color w:val="000000"/>
                <w:sz w:val="20"/>
                <w:szCs w:val="20"/>
              </w:rPr>
              <w:t>Specificity: 100%</w:t>
            </w:r>
          </w:p>
          <w:p w14:paraId="3103761B" w14:textId="77777777" w:rsidR="002D58E4" w:rsidRDefault="002D58E4">
            <w:pPr>
              <w:rPr>
                <w:sz w:val="20"/>
                <w:szCs w:val="20"/>
              </w:rPr>
            </w:pPr>
          </w:p>
          <w:p w14:paraId="6CD6AAC5" w14:textId="77777777" w:rsidR="002D58E4" w:rsidRDefault="00F721D4">
            <w:pPr>
              <w:rPr>
                <w:sz w:val="20"/>
                <w:szCs w:val="20"/>
              </w:rPr>
            </w:pPr>
            <w:r>
              <w:rPr>
                <w:sz w:val="20"/>
                <w:szCs w:val="20"/>
              </w:rPr>
              <w:t xml:space="preserve">Overall Performance: </w:t>
            </w:r>
          </w:p>
          <w:p w14:paraId="026233EB" w14:textId="77777777" w:rsidR="002D58E4" w:rsidRDefault="00F721D4">
            <w:pPr>
              <w:numPr>
                <w:ilvl w:val="0"/>
                <w:numId w:val="37"/>
              </w:numPr>
              <w:pBdr>
                <w:top w:val="nil"/>
                <w:left w:val="nil"/>
                <w:bottom w:val="nil"/>
                <w:right w:val="nil"/>
                <w:between w:val="nil"/>
              </w:pBdr>
              <w:spacing w:line="276" w:lineRule="auto"/>
              <w:rPr>
                <w:color w:val="000000"/>
                <w:sz w:val="20"/>
                <w:szCs w:val="20"/>
              </w:rPr>
            </w:pPr>
            <w:r>
              <w:rPr>
                <w:color w:val="000000"/>
                <w:sz w:val="20"/>
                <w:szCs w:val="20"/>
              </w:rPr>
              <w:t>Sensitivity: 74%</w:t>
            </w:r>
          </w:p>
          <w:p w14:paraId="0C6E64AA" w14:textId="77777777" w:rsidR="002D58E4" w:rsidRDefault="00F721D4">
            <w:pPr>
              <w:numPr>
                <w:ilvl w:val="0"/>
                <w:numId w:val="37"/>
              </w:numPr>
              <w:pBdr>
                <w:top w:val="nil"/>
                <w:left w:val="nil"/>
                <w:bottom w:val="nil"/>
                <w:right w:val="nil"/>
                <w:between w:val="nil"/>
              </w:pBdr>
              <w:spacing w:after="200" w:line="276" w:lineRule="auto"/>
              <w:rPr>
                <w:color w:val="000000"/>
                <w:sz w:val="20"/>
                <w:szCs w:val="20"/>
              </w:rPr>
            </w:pPr>
            <w:r>
              <w:rPr>
                <w:color w:val="000000"/>
                <w:sz w:val="20"/>
                <w:szCs w:val="20"/>
              </w:rPr>
              <w:t>Specificity: 97%</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2187A46" w14:textId="77777777" w:rsidR="002D58E4" w:rsidRDefault="00F721D4">
            <w:pPr>
              <w:rPr>
                <w:sz w:val="20"/>
                <w:szCs w:val="20"/>
              </w:rPr>
            </w:pPr>
            <w:r>
              <w:rPr>
                <w:sz w:val="20"/>
                <w:szCs w:val="20"/>
              </w:rPr>
              <w:t xml:space="preserve">The recomBead Borrelia antibody index (AI) assay performs with moderate sensitivity in pediatric LNB patient, with the major advantage being increased sensitivity in the “possible” LNB group compared to the IDEIA assay. The recomBead Borrelia AI assay is more expensive and requires measurements of albumin and total immunoglobulin levels in serum and cerebrospinal fluid (CSF). </w:t>
            </w:r>
          </w:p>
          <w:p w14:paraId="00176F7E" w14:textId="77777777" w:rsidR="002D58E4" w:rsidRDefault="002D58E4">
            <w:pPr>
              <w:rPr>
                <w:sz w:val="20"/>
                <w:szCs w:val="20"/>
              </w:rPr>
            </w:pPr>
          </w:p>
          <w:p w14:paraId="1E1CF578" w14:textId="77777777" w:rsidR="002D58E4" w:rsidRDefault="00F721D4">
            <w:pPr>
              <w:rPr>
                <w:sz w:val="20"/>
                <w:szCs w:val="20"/>
              </w:rPr>
            </w:pPr>
            <w:r>
              <w:rPr>
                <w:sz w:val="20"/>
                <w:szCs w:val="20"/>
              </w:rPr>
              <w:t>The authors suggest that the recomBead Borrelia antibody index (AI) assay may be recommended in IDEIA-negative pediatric patients with CSF pleocytosis. The diagnostic sensitivity may be further increased by using a combination of early markers, such as CXCL13 in CSF and total IgM index.</w:t>
            </w:r>
          </w:p>
        </w:tc>
      </w:tr>
      <w:tr w:rsidR="002D58E4" w14:paraId="0A98A887" w14:textId="77777777" w:rsidTr="003D1C11">
        <w:trPr>
          <w:trHeight w:val="22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6F39C8F" w14:textId="77777777" w:rsidR="002D58E4" w:rsidRDefault="00F721D4">
            <w:pPr>
              <w:rPr>
                <w:sz w:val="20"/>
                <w:szCs w:val="20"/>
              </w:rPr>
            </w:pPr>
            <w:r>
              <w:rPr>
                <w:sz w:val="20"/>
                <w:szCs w:val="20"/>
              </w:rPr>
              <w:t>Rupprecht, et al., 2018</w:t>
            </w:r>
          </w:p>
        </w:tc>
        <w:tc>
          <w:tcPr>
            <w:tcW w:w="876" w:type="dxa"/>
            <w:tcBorders>
              <w:top w:val="single" w:sz="6" w:space="0" w:color="AEAEAE"/>
              <w:left w:val="single" w:sz="6" w:space="0" w:color="AEAEAE"/>
              <w:bottom w:val="single" w:sz="6" w:space="0" w:color="AEAEAE"/>
              <w:right w:val="single" w:sz="6" w:space="0" w:color="AEAEAE"/>
            </w:tcBorders>
            <w:vAlign w:val="center"/>
          </w:tcPr>
          <w:p w14:paraId="5ACA0E89" w14:textId="77777777" w:rsidR="002D58E4" w:rsidRDefault="00F721D4">
            <w:pPr>
              <w:rPr>
                <w:sz w:val="20"/>
                <w:szCs w:val="20"/>
              </w:rPr>
            </w:pPr>
            <w:r>
              <w:rPr>
                <w:sz w:val="20"/>
                <w:szCs w:val="20"/>
              </w:rPr>
              <w:t>Meta-analysis</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149C8FE3"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5548C371" w14:textId="77777777" w:rsidR="002D58E4" w:rsidRDefault="00F721D4">
            <w:pPr>
              <w:spacing w:after="120"/>
              <w:rPr>
                <w:sz w:val="20"/>
                <w:szCs w:val="20"/>
              </w:rPr>
            </w:pPr>
            <w:r>
              <w:rPr>
                <w:sz w:val="20"/>
                <w:szCs w:val="20"/>
              </w:rPr>
              <w:t xml:space="preserve">The literature research identified 200 potential articles on CXCL13. Ultimately, 18 studies involving a total of 2944 individuals (618 with LNB and 2326 non-LNB patients) were included. </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37EA6EE" w14:textId="77777777" w:rsidR="002D58E4" w:rsidRDefault="00F721D4">
            <w:pPr>
              <w:rPr>
                <w:sz w:val="20"/>
                <w:szCs w:val="20"/>
              </w:rPr>
            </w:pPr>
            <w:r>
              <w:rPr>
                <w:sz w:val="20"/>
                <w:szCs w:val="20"/>
              </w:rPr>
              <w:t>In all included studies, CXCL13 was determined by commercially available ELISA kits. An optimal cut-off of 162 pg/mL was identified. Its corresponding sensitivities and specificities were 89% and 96%, respectively.</w:t>
            </w:r>
          </w:p>
          <w:p w14:paraId="0CD6F359" w14:textId="77777777" w:rsidR="002D58E4" w:rsidRDefault="002D58E4">
            <w:pPr>
              <w:rPr>
                <w:sz w:val="20"/>
                <w:szCs w:val="20"/>
              </w:rPr>
            </w:pPr>
          </w:p>
          <w:p w14:paraId="2D424C9D" w14:textId="77777777" w:rsidR="002D58E4" w:rsidRDefault="00F721D4">
            <w:pPr>
              <w:rPr>
                <w:sz w:val="20"/>
                <w:szCs w:val="20"/>
              </w:rPr>
            </w:pPr>
            <w:r>
              <w:rPr>
                <w:sz w:val="20"/>
                <w:szCs w:val="20"/>
              </w:rPr>
              <w:t>With respect to the optimal CSF CXCL13 cut-off of 162 pg/mL, the overall specificity was low when considering individuals suffering from neurosyphilis (16%) or CNS lymphoma (18%).</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381EE1D" w14:textId="77777777" w:rsidR="002D58E4" w:rsidRDefault="00F721D4">
            <w:pPr>
              <w:rPr>
                <w:sz w:val="20"/>
                <w:szCs w:val="20"/>
              </w:rPr>
            </w:pPr>
            <w:r>
              <w:rPr>
                <w:sz w:val="20"/>
                <w:szCs w:val="20"/>
              </w:rPr>
              <w:t>The overall sensitivity and specificity of CSF CXCL13 were 89% and 96%, respectively, indicating a sufficient level for overall diagnostic accuracy.</w:t>
            </w:r>
          </w:p>
        </w:tc>
      </w:tr>
      <w:tr w:rsidR="002D58E4" w14:paraId="791E3DDD" w14:textId="77777777" w:rsidTr="003D1C11">
        <w:trPr>
          <w:trHeight w:val="639"/>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D85FC4A" w14:textId="77777777" w:rsidR="002D58E4" w:rsidRDefault="00F721D4">
            <w:pPr>
              <w:rPr>
                <w:sz w:val="20"/>
                <w:szCs w:val="20"/>
              </w:rPr>
            </w:pPr>
            <w:r>
              <w:rPr>
                <w:sz w:val="20"/>
                <w:szCs w:val="20"/>
              </w:rPr>
              <w:t>Henningsson, et al., 2018</w:t>
            </w:r>
          </w:p>
          <w:p w14:paraId="382C7408" w14:textId="77777777" w:rsidR="002D58E4" w:rsidRDefault="002D58E4">
            <w:pPr>
              <w:rPr>
                <w:sz w:val="20"/>
                <w:szCs w:val="20"/>
              </w:rPr>
            </w:pPr>
          </w:p>
          <w:p w14:paraId="1C6C25E2" w14:textId="77777777" w:rsidR="002D58E4" w:rsidRDefault="00F721D4">
            <w:pPr>
              <w:rPr>
                <w:sz w:val="20"/>
                <w:szCs w:val="20"/>
              </w:rPr>
            </w:pPr>
            <w:r>
              <w:rPr>
                <w:sz w:val="20"/>
                <w:szCs w:val="20"/>
              </w:rPr>
              <w:t>Southeast Sweden</w:t>
            </w:r>
          </w:p>
        </w:tc>
        <w:tc>
          <w:tcPr>
            <w:tcW w:w="876" w:type="dxa"/>
            <w:tcBorders>
              <w:top w:val="single" w:sz="6" w:space="0" w:color="AEAEAE"/>
              <w:left w:val="single" w:sz="6" w:space="0" w:color="AEAEAE"/>
              <w:bottom w:val="single" w:sz="6" w:space="0" w:color="AEAEAE"/>
              <w:right w:val="single" w:sz="6" w:space="0" w:color="AEAEAE"/>
            </w:tcBorders>
            <w:vAlign w:val="center"/>
          </w:tcPr>
          <w:p w14:paraId="7BF613CF" w14:textId="77777777" w:rsidR="002D58E4" w:rsidRDefault="00F721D4">
            <w:pPr>
              <w:rPr>
                <w:sz w:val="20"/>
                <w:szCs w:val="20"/>
              </w:rPr>
            </w:pPr>
            <w:r>
              <w:rPr>
                <w:sz w:val="20"/>
                <w:szCs w:val="20"/>
              </w:rPr>
              <w:t>Prospective observational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2A62DBB2"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2D92F9EE" w14:textId="77777777" w:rsidR="002D58E4" w:rsidRDefault="00F721D4">
            <w:pPr>
              <w:spacing w:after="120"/>
              <w:rPr>
                <w:sz w:val="20"/>
                <w:szCs w:val="20"/>
              </w:rPr>
            </w:pPr>
            <w:r>
              <w:rPr>
                <w:sz w:val="20"/>
                <w:szCs w:val="20"/>
              </w:rPr>
              <w:t>Children with suspected LNB were recruited from seven pediatric clinics in a Lyme endemic area in southeast Sweden during the period 2010 to 2014. Patients were clinically evaluated on admission and underwent a lumbar puncture as part of the routine investigation. Additional blood and CSF samples were taken at the same occasion for the purposes of this study.</w:t>
            </w:r>
            <w:r>
              <w:t xml:space="preserve"> </w:t>
            </w:r>
            <w:r>
              <w:rPr>
                <w:sz w:val="20"/>
                <w:szCs w:val="20"/>
              </w:rPr>
              <w:t xml:space="preserve">All children in the study were followed for 2 months. 44 patients had “definite” LNB, 22 had “possible” LNB, 102 children did not have LNB, and 23 had other neurological diagnoses. </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A8AF720" w14:textId="77777777" w:rsidR="002D58E4" w:rsidRDefault="00F721D4">
            <w:r>
              <w:rPr>
                <w:sz w:val="20"/>
                <w:szCs w:val="20"/>
              </w:rPr>
              <w:t>The difference in CXCL13 concentrations between LNB patients (“definite” and “possible” LNB) and controls (non-LNB and other specific diagnoses) was statistically significant (p&lt;0.001).</w:t>
            </w:r>
            <w:r>
              <w:t xml:space="preserve"> </w:t>
            </w:r>
          </w:p>
          <w:p w14:paraId="40377465" w14:textId="77777777" w:rsidR="002D58E4" w:rsidRDefault="002D58E4"/>
          <w:p w14:paraId="2A792494" w14:textId="77777777" w:rsidR="002D58E4" w:rsidRDefault="00F721D4">
            <w:pPr>
              <w:rPr>
                <w:sz w:val="20"/>
                <w:szCs w:val="20"/>
              </w:rPr>
            </w:pPr>
            <w:r>
              <w:rPr>
                <w:sz w:val="20"/>
                <w:szCs w:val="20"/>
              </w:rPr>
              <w:t>Overall performance of the CXCL13 recomBead test in CSF:</w:t>
            </w:r>
          </w:p>
          <w:p w14:paraId="047D0C19" w14:textId="77777777" w:rsidR="002D58E4" w:rsidRDefault="00F721D4">
            <w:pPr>
              <w:numPr>
                <w:ilvl w:val="0"/>
                <w:numId w:val="38"/>
              </w:numPr>
              <w:pBdr>
                <w:top w:val="nil"/>
                <w:left w:val="nil"/>
                <w:bottom w:val="nil"/>
                <w:right w:val="nil"/>
                <w:between w:val="nil"/>
              </w:pBdr>
              <w:spacing w:line="276" w:lineRule="auto"/>
              <w:rPr>
                <w:color w:val="000000"/>
                <w:sz w:val="20"/>
                <w:szCs w:val="20"/>
              </w:rPr>
            </w:pPr>
            <w:r>
              <w:rPr>
                <w:color w:val="000000"/>
                <w:sz w:val="20"/>
                <w:szCs w:val="20"/>
              </w:rPr>
              <w:t>Sensitivity of 88%</w:t>
            </w:r>
          </w:p>
          <w:p w14:paraId="4C45D5C0" w14:textId="77777777" w:rsidR="002D58E4" w:rsidRDefault="00F721D4">
            <w:pPr>
              <w:numPr>
                <w:ilvl w:val="0"/>
                <w:numId w:val="38"/>
              </w:numPr>
              <w:pBdr>
                <w:top w:val="nil"/>
                <w:left w:val="nil"/>
                <w:bottom w:val="nil"/>
                <w:right w:val="nil"/>
                <w:between w:val="nil"/>
              </w:pBdr>
              <w:spacing w:after="200" w:line="276" w:lineRule="auto"/>
              <w:rPr>
                <w:color w:val="000000"/>
                <w:sz w:val="20"/>
                <w:szCs w:val="20"/>
              </w:rPr>
            </w:pPr>
            <w:r>
              <w:rPr>
                <w:color w:val="000000"/>
                <w:sz w:val="20"/>
                <w:szCs w:val="20"/>
              </w:rPr>
              <w:t>Specificity of 89%.</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E260935" w14:textId="77777777" w:rsidR="002D58E4" w:rsidRDefault="00F721D4">
            <w:pPr>
              <w:rPr>
                <w:sz w:val="20"/>
                <w:szCs w:val="20"/>
              </w:rPr>
            </w:pPr>
            <w:r>
              <w:rPr>
                <w:sz w:val="20"/>
                <w:szCs w:val="20"/>
              </w:rPr>
              <w:t>Concentrations of CXCL13 in CSF were significantly higher in LNB patients compared to controls.</w:t>
            </w:r>
            <w:r>
              <w:t xml:space="preserve"> </w:t>
            </w:r>
            <w:r>
              <w:rPr>
                <w:sz w:val="20"/>
                <w:szCs w:val="20"/>
              </w:rPr>
              <w:t xml:space="preserve">The overall sensitivity (88%) and overall specificity (89%) observed in this study were moderate, compared to previous studies on CXCL13 in CSF which reported sensitivities ranging between 88 and 100% and specificities between 89 and 100%. </w:t>
            </w:r>
          </w:p>
          <w:p w14:paraId="043C03A9" w14:textId="77777777" w:rsidR="002D58E4" w:rsidRDefault="002D58E4">
            <w:pPr>
              <w:rPr>
                <w:sz w:val="20"/>
                <w:szCs w:val="20"/>
              </w:rPr>
            </w:pPr>
          </w:p>
          <w:p w14:paraId="0D650FDD" w14:textId="77777777" w:rsidR="002D58E4" w:rsidRDefault="00F721D4">
            <w:pPr>
              <w:rPr>
                <w:sz w:val="20"/>
                <w:szCs w:val="20"/>
              </w:rPr>
            </w:pPr>
            <w:r>
              <w:rPr>
                <w:sz w:val="20"/>
                <w:szCs w:val="20"/>
              </w:rPr>
              <w:t>In assessing the “definite” LNB group exclusively, the sensitivity of CXCL13 in CSF was very high (95%). The sensitivity in the “possible” LNB group was as high as 73%.</w:t>
            </w:r>
          </w:p>
        </w:tc>
      </w:tr>
      <w:tr w:rsidR="002D58E4" w14:paraId="0F7246BB" w14:textId="77777777" w:rsidTr="003D1C11">
        <w:trPr>
          <w:trHeight w:val="22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8384A6A" w14:textId="77777777" w:rsidR="002D58E4" w:rsidRPr="002914A2" w:rsidRDefault="00F721D4">
            <w:pPr>
              <w:spacing w:after="200" w:line="276" w:lineRule="auto"/>
              <w:rPr>
                <w:sz w:val="20"/>
                <w:szCs w:val="20"/>
                <w:lang w:val="fr-CA"/>
              </w:rPr>
            </w:pPr>
            <w:r w:rsidRPr="002914A2">
              <w:rPr>
                <w:sz w:val="20"/>
                <w:szCs w:val="20"/>
                <w:lang w:val="fr-CA"/>
              </w:rPr>
              <w:t>Maric, et al., 2018</w:t>
            </w:r>
          </w:p>
          <w:p w14:paraId="428B7330" w14:textId="77777777" w:rsidR="002D58E4" w:rsidRPr="002914A2" w:rsidRDefault="002D58E4">
            <w:pPr>
              <w:spacing w:after="200" w:line="276" w:lineRule="auto"/>
              <w:rPr>
                <w:sz w:val="20"/>
                <w:szCs w:val="20"/>
                <w:lang w:val="fr-CA"/>
              </w:rPr>
            </w:pPr>
          </w:p>
          <w:p w14:paraId="7ACED87E" w14:textId="77777777" w:rsidR="002D58E4" w:rsidRPr="002914A2" w:rsidRDefault="00F721D4">
            <w:pPr>
              <w:spacing w:after="200" w:line="276" w:lineRule="auto"/>
              <w:rPr>
                <w:sz w:val="20"/>
                <w:szCs w:val="20"/>
                <w:lang w:val="fr-CA"/>
              </w:rPr>
            </w:pPr>
            <w:r w:rsidRPr="002914A2">
              <w:rPr>
                <w:sz w:val="20"/>
                <w:szCs w:val="20"/>
                <w:lang w:val="fr-CA"/>
              </w:rPr>
              <w:t>Zagreb, Croatia</w:t>
            </w:r>
          </w:p>
        </w:tc>
        <w:tc>
          <w:tcPr>
            <w:tcW w:w="876" w:type="dxa"/>
            <w:tcBorders>
              <w:top w:val="single" w:sz="6" w:space="0" w:color="AEAEAE"/>
              <w:left w:val="single" w:sz="6" w:space="0" w:color="AEAEAE"/>
              <w:bottom w:val="single" w:sz="6" w:space="0" w:color="AEAEAE"/>
              <w:right w:val="single" w:sz="6" w:space="0" w:color="AEAEAE"/>
            </w:tcBorders>
            <w:vAlign w:val="center"/>
          </w:tcPr>
          <w:p w14:paraId="6C5454BA" w14:textId="77777777" w:rsidR="002D58E4" w:rsidRDefault="00F721D4">
            <w:pPr>
              <w:rPr>
                <w:sz w:val="20"/>
                <w:szCs w:val="20"/>
              </w:rPr>
            </w:pPr>
            <w:r>
              <w:rPr>
                <w:sz w:val="20"/>
                <w:szCs w:val="20"/>
              </w:rPr>
              <w:t>Prospective observational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7A43669E"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06C4AFC4" w14:textId="77777777" w:rsidR="002D58E4" w:rsidRDefault="00F721D4">
            <w:pPr>
              <w:spacing w:after="120"/>
              <w:rPr>
                <w:sz w:val="20"/>
                <w:szCs w:val="20"/>
              </w:rPr>
            </w:pPr>
            <w:r>
              <w:rPr>
                <w:sz w:val="20"/>
                <w:szCs w:val="20"/>
              </w:rPr>
              <w:t>84 children were included: 23 with acute disseminated encephalomyelitis (ADEM), 20 with non-polio enterovirus aseptic meningitis (NPEVAM), 21 with LNB, and 20 controls (acute infectious disease not affecting the CNS).</w:t>
            </w:r>
            <w:r>
              <w:t xml:space="preserve"> </w:t>
            </w:r>
            <w:r>
              <w:rPr>
                <w:sz w:val="20"/>
                <w:szCs w:val="20"/>
              </w:rPr>
              <w:t>Only patients who fulfilled criteria for definite or possible LNB were included in the study. In all LNB patients, enterovirus infection was excluded by negative CSF NPEV PCR.</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297A920" w14:textId="77777777" w:rsidR="002D58E4" w:rsidRDefault="00F721D4">
            <w:pPr>
              <w:rPr>
                <w:sz w:val="20"/>
                <w:szCs w:val="20"/>
              </w:rPr>
            </w:pPr>
            <w:r>
              <w:rPr>
                <w:sz w:val="20"/>
                <w:szCs w:val="20"/>
              </w:rPr>
              <w:t>Serum and CSF concentrations of CXCL13 ranged widely in all four groups.</w:t>
            </w:r>
            <w:r>
              <w:rPr>
                <w:rFonts w:ascii="QjhhbrAdvTT3713a231" w:eastAsia="QjhhbrAdvTT3713a231" w:hAnsi="QjhhbrAdvTT3713a231" w:cs="QjhhbrAdvTT3713a231"/>
                <w:color w:val="131413"/>
                <w:sz w:val="20"/>
                <w:szCs w:val="20"/>
              </w:rPr>
              <w:t xml:space="preserve"> </w:t>
            </w:r>
            <w:r>
              <w:rPr>
                <w:sz w:val="20"/>
                <w:szCs w:val="20"/>
              </w:rPr>
              <w:t xml:space="preserve">CSF concentrations of CXCL13 distinguished between children with LNB and all other children. </w:t>
            </w:r>
          </w:p>
          <w:p w14:paraId="4F400FEF" w14:textId="77777777" w:rsidR="002D58E4" w:rsidRDefault="002D58E4">
            <w:pPr>
              <w:rPr>
                <w:sz w:val="20"/>
                <w:szCs w:val="20"/>
              </w:rPr>
            </w:pPr>
          </w:p>
          <w:p w14:paraId="67B01F76" w14:textId="77777777" w:rsidR="002D58E4" w:rsidRDefault="00F721D4">
            <w:pPr>
              <w:rPr>
                <w:sz w:val="20"/>
                <w:szCs w:val="20"/>
              </w:rPr>
            </w:pPr>
            <w:r>
              <w:rPr>
                <w:sz w:val="20"/>
                <w:szCs w:val="20"/>
              </w:rPr>
              <w:t>At the optimal cut-off concentration, the sensitivity was low, but specificity was 96.8%, resulting in reasonably high positive and negative predictive values.</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AB3D153" w14:textId="77777777" w:rsidR="002D58E4" w:rsidRDefault="00F721D4">
            <w:pPr>
              <w:rPr>
                <w:sz w:val="20"/>
                <w:szCs w:val="20"/>
              </w:rPr>
            </w:pPr>
            <w:r>
              <w:rPr>
                <w:sz w:val="20"/>
                <w:szCs w:val="20"/>
              </w:rPr>
              <w:t>The potential use of chemokines may aid in the differential diagnosis of conditions that largely overlap in (early) clinical and laboratory presentation. CSF levels of CXCL13 may help to discriminate between LNB and other conditions with high specificity and sensitivity</w:t>
            </w:r>
          </w:p>
        </w:tc>
      </w:tr>
      <w:tr w:rsidR="002D58E4" w14:paraId="707F3395" w14:textId="77777777" w:rsidTr="003D1C11">
        <w:trPr>
          <w:trHeight w:val="2079"/>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E1024CA" w14:textId="77777777" w:rsidR="002D58E4" w:rsidRDefault="00F721D4">
            <w:pPr>
              <w:rPr>
                <w:sz w:val="20"/>
                <w:szCs w:val="20"/>
              </w:rPr>
            </w:pPr>
            <w:r>
              <w:rPr>
                <w:sz w:val="20"/>
                <w:szCs w:val="20"/>
              </w:rPr>
              <w:t>Markowicz, et al., 2018</w:t>
            </w:r>
          </w:p>
        </w:tc>
        <w:tc>
          <w:tcPr>
            <w:tcW w:w="876" w:type="dxa"/>
            <w:tcBorders>
              <w:top w:val="single" w:sz="6" w:space="0" w:color="AEAEAE"/>
              <w:left w:val="single" w:sz="6" w:space="0" w:color="AEAEAE"/>
              <w:bottom w:val="single" w:sz="6" w:space="0" w:color="AEAEAE"/>
              <w:right w:val="single" w:sz="6" w:space="0" w:color="AEAEAE"/>
            </w:tcBorders>
            <w:vAlign w:val="center"/>
          </w:tcPr>
          <w:p w14:paraId="3C601D58" w14:textId="77777777" w:rsidR="002D58E4" w:rsidRDefault="00F721D4">
            <w:pPr>
              <w:rPr>
                <w:sz w:val="20"/>
                <w:szCs w:val="20"/>
              </w:rPr>
            </w:pPr>
            <w:r>
              <w:rPr>
                <w:sz w:val="20"/>
                <w:szCs w:val="20"/>
              </w:rPr>
              <w:t>Retrospective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4E528924"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4F64118E" w14:textId="77777777" w:rsidR="002D58E4" w:rsidRDefault="00F721D4">
            <w:pPr>
              <w:spacing w:after="120"/>
              <w:rPr>
                <w:sz w:val="20"/>
                <w:szCs w:val="20"/>
              </w:rPr>
            </w:pPr>
            <w:r>
              <w:rPr>
                <w:sz w:val="20"/>
                <w:szCs w:val="20"/>
              </w:rPr>
              <w:t xml:space="preserve">100 CSF specimens were obtained from patients with “proven LNB” (n=25), “suspected LNB” (n= 25), tick-borne encephalitis (TBE) (n= 25), and aseptic meningitis/meningoencephalitis other than TBE (n= 25). </w:t>
            </w:r>
          </w:p>
          <w:p w14:paraId="4D024881" w14:textId="77777777" w:rsidR="002D58E4" w:rsidRDefault="00F721D4">
            <w:pPr>
              <w:spacing w:after="120"/>
              <w:rPr>
                <w:sz w:val="20"/>
                <w:szCs w:val="20"/>
              </w:rPr>
            </w:pPr>
            <w:r>
              <w:rPr>
                <w:sz w:val="20"/>
                <w:szCs w:val="20"/>
              </w:rPr>
              <w:t xml:space="preserve">CSF specimens from 45 women and 55 men were included in the study. The median age of the patients was 45 years. The median duration of neurological symptoms prior to CSF examination was 7 days. The longest duration of neurological symptoms prior to LNB was observed in the LNB group (median 30 days). All 25 patients in the “suspected” LNB group and 13 patients in the </w:t>
            </w:r>
            <w:r>
              <w:rPr>
                <w:sz w:val="20"/>
                <w:szCs w:val="20"/>
              </w:rPr>
              <w:br/>
              <w:t>“proven” LNB group reported EM. The median time that elapsed from the onset of EM to lumbar puncture was 17 days. Eleven patients received antibiotics prior to lumbar puncture.</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BA4677C" w14:textId="77777777" w:rsidR="002D58E4" w:rsidRDefault="00F721D4">
            <w:pPr>
              <w:rPr>
                <w:sz w:val="20"/>
                <w:szCs w:val="20"/>
              </w:rPr>
            </w:pPr>
            <w:r>
              <w:rPr>
                <w:sz w:val="20"/>
                <w:szCs w:val="20"/>
              </w:rPr>
              <w:t>RecomBead CXCL13 assay and CXCL13-ELISA were used to determine the concentration of CXCL13 in CSF.</w:t>
            </w:r>
          </w:p>
          <w:p w14:paraId="1D22EC19" w14:textId="77777777" w:rsidR="002D58E4" w:rsidRDefault="002D58E4">
            <w:pPr>
              <w:rPr>
                <w:sz w:val="20"/>
                <w:szCs w:val="20"/>
              </w:rPr>
            </w:pPr>
          </w:p>
          <w:p w14:paraId="5FC82BDC" w14:textId="77777777" w:rsidR="002D58E4" w:rsidRDefault="00F721D4">
            <w:pPr>
              <w:rPr>
                <w:sz w:val="20"/>
                <w:szCs w:val="20"/>
              </w:rPr>
            </w:pPr>
            <w:r>
              <w:rPr>
                <w:sz w:val="20"/>
                <w:szCs w:val="20"/>
              </w:rPr>
              <w:t>Overall performance of the CXCL13 recomBead assay in CSF:</w:t>
            </w:r>
          </w:p>
          <w:p w14:paraId="1D477A47" w14:textId="77777777" w:rsidR="002D58E4" w:rsidRDefault="00F721D4">
            <w:pPr>
              <w:numPr>
                <w:ilvl w:val="0"/>
                <w:numId w:val="41"/>
              </w:numPr>
              <w:pBdr>
                <w:top w:val="nil"/>
                <w:left w:val="nil"/>
                <w:bottom w:val="nil"/>
                <w:right w:val="nil"/>
                <w:between w:val="nil"/>
              </w:pBdr>
              <w:spacing w:line="276" w:lineRule="auto"/>
              <w:rPr>
                <w:color w:val="000000"/>
                <w:sz w:val="20"/>
                <w:szCs w:val="20"/>
              </w:rPr>
            </w:pPr>
            <w:r>
              <w:rPr>
                <w:color w:val="000000"/>
                <w:sz w:val="20"/>
                <w:szCs w:val="20"/>
              </w:rPr>
              <w:t>Sensitivity: 88% (68.8–97.5%)</w:t>
            </w:r>
          </w:p>
          <w:p w14:paraId="5A2ACA16" w14:textId="77777777" w:rsidR="002D58E4" w:rsidRDefault="00F721D4">
            <w:pPr>
              <w:numPr>
                <w:ilvl w:val="0"/>
                <w:numId w:val="41"/>
              </w:numPr>
              <w:pBdr>
                <w:top w:val="nil"/>
                <w:left w:val="nil"/>
                <w:bottom w:val="nil"/>
                <w:right w:val="nil"/>
                <w:between w:val="nil"/>
              </w:pBdr>
              <w:spacing w:after="200" w:line="276" w:lineRule="auto"/>
              <w:rPr>
                <w:color w:val="000000"/>
                <w:sz w:val="20"/>
                <w:szCs w:val="20"/>
              </w:rPr>
            </w:pPr>
            <w:r>
              <w:rPr>
                <w:color w:val="000000"/>
                <w:sz w:val="20"/>
                <w:szCs w:val="20"/>
              </w:rPr>
              <w:t>Specificity: 94% (83.5–98.7%)</w:t>
            </w:r>
          </w:p>
          <w:p w14:paraId="36979518" w14:textId="77777777" w:rsidR="002D58E4" w:rsidRDefault="002D58E4">
            <w:pPr>
              <w:rPr>
                <w:sz w:val="20"/>
                <w:szCs w:val="20"/>
              </w:rPr>
            </w:pPr>
          </w:p>
          <w:p w14:paraId="703F9128" w14:textId="77777777" w:rsidR="002D58E4" w:rsidRDefault="00F721D4">
            <w:pPr>
              <w:spacing w:after="200" w:line="276" w:lineRule="auto"/>
              <w:rPr>
                <w:i/>
                <w:sz w:val="20"/>
                <w:szCs w:val="20"/>
              </w:rPr>
            </w:pPr>
            <w:r>
              <w:rPr>
                <w:i/>
                <w:sz w:val="20"/>
                <w:szCs w:val="20"/>
              </w:rPr>
              <w:t>After the inclusion of the CSF lymphocyte/monocyte cell count, the sensitivity of recomBead CXCL13 increased to 92% and specificity increased to 98%.</w:t>
            </w:r>
          </w:p>
          <w:p w14:paraId="51B0AAC2" w14:textId="77777777" w:rsidR="002D58E4" w:rsidRDefault="002D58E4">
            <w:pPr>
              <w:rPr>
                <w:sz w:val="20"/>
                <w:szCs w:val="20"/>
              </w:rPr>
            </w:pPr>
          </w:p>
          <w:p w14:paraId="0193BECE" w14:textId="77777777" w:rsidR="002D58E4" w:rsidRDefault="00F721D4">
            <w:pPr>
              <w:rPr>
                <w:sz w:val="20"/>
                <w:szCs w:val="20"/>
              </w:rPr>
            </w:pPr>
            <w:r>
              <w:rPr>
                <w:sz w:val="20"/>
                <w:szCs w:val="20"/>
              </w:rPr>
              <w:t>Overall performance of the CXCL13 ELISA:</w:t>
            </w:r>
          </w:p>
          <w:p w14:paraId="1C0B8EA6" w14:textId="77777777" w:rsidR="002D58E4" w:rsidRDefault="00F721D4">
            <w:pPr>
              <w:numPr>
                <w:ilvl w:val="0"/>
                <w:numId w:val="41"/>
              </w:numPr>
              <w:pBdr>
                <w:top w:val="nil"/>
                <w:left w:val="nil"/>
                <w:bottom w:val="nil"/>
                <w:right w:val="nil"/>
                <w:between w:val="nil"/>
              </w:pBdr>
              <w:spacing w:line="276" w:lineRule="auto"/>
              <w:rPr>
                <w:color w:val="000000"/>
                <w:sz w:val="20"/>
                <w:szCs w:val="20"/>
              </w:rPr>
            </w:pPr>
            <w:r>
              <w:rPr>
                <w:color w:val="000000"/>
                <w:sz w:val="20"/>
                <w:szCs w:val="20"/>
              </w:rPr>
              <w:t>Sensitivity: 98% (86–100%)</w:t>
            </w:r>
          </w:p>
          <w:p w14:paraId="026C376C" w14:textId="77777777" w:rsidR="002D58E4" w:rsidRDefault="00F721D4">
            <w:pPr>
              <w:numPr>
                <w:ilvl w:val="0"/>
                <w:numId w:val="41"/>
              </w:numPr>
              <w:pBdr>
                <w:top w:val="nil"/>
                <w:left w:val="nil"/>
                <w:bottom w:val="nil"/>
                <w:right w:val="nil"/>
                <w:between w:val="nil"/>
              </w:pBdr>
              <w:spacing w:after="200" w:line="276" w:lineRule="auto"/>
              <w:rPr>
                <w:color w:val="000000"/>
                <w:sz w:val="20"/>
                <w:szCs w:val="20"/>
              </w:rPr>
            </w:pPr>
            <w:r>
              <w:rPr>
                <w:color w:val="000000"/>
                <w:sz w:val="20"/>
                <w:szCs w:val="20"/>
              </w:rPr>
              <w:t>Specificity: 100% (93–100%)</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C96E34C" w14:textId="77777777" w:rsidR="002D58E4" w:rsidRDefault="00F721D4">
            <w:pPr>
              <w:rPr>
                <w:sz w:val="20"/>
                <w:szCs w:val="20"/>
              </w:rPr>
            </w:pPr>
            <w:r>
              <w:rPr>
                <w:sz w:val="20"/>
                <w:szCs w:val="20"/>
              </w:rPr>
              <w:t>Overall, both assays performed similarly in terms of time consumption, robustness and requirements on technical experience of the laboratory staff.</w:t>
            </w:r>
          </w:p>
          <w:p w14:paraId="139A8729" w14:textId="77777777" w:rsidR="002D58E4" w:rsidRDefault="002D58E4">
            <w:pPr>
              <w:rPr>
                <w:sz w:val="20"/>
                <w:szCs w:val="20"/>
              </w:rPr>
            </w:pPr>
          </w:p>
          <w:p w14:paraId="2A3FE69F" w14:textId="77777777" w:rsidR="002D58E4" w:rsidRDefault="00F721D4">
            <w:pPr>
              <w:rPr>
                <w:sz w:val="20"/>
                <w:szCs w:val="20"/>
              </w:rPr>
            </w:pPr>
            <w:r>
              <w:rPr>
                <w:sz w:val="20"/>
                <w:szCs w:val="20"/>
              </w:rPr>
              <w:t>CXCL13 may be useful for the diagnosis of LNB in particular in patients exhibiting pleocytosis. Both assays performed very well in excluding TBE. Aseptic meningitis other than TBE can be associated with mildly elevated CXCL13 CSF concentration, which suggests that the chemokine is not specific for LNB. The analysis demonstrated the combined dynamics of the concentrations of leukocytes/monocytes and CXCL13 in the CSF. Using linearized CXCL13 cut-off values depending on the CSF cell count may further improve the laboratory diagnosis of LNB.</w:t>
            </w:r>
          </w:p>
        </w:tc>
      </w:tr>
      <w:tr w:rsidR="002D58E4" w14:paraId="68E6EE43" w14:textId="77777777" w:rsidTr="003D1C11">
        <w:trPr>
          <w:trHeight w:val="22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AEAC274" w14:textId="77777777" w:rsidR="002D58E4" w:rsidRDefault="00F721D4">
            <w:pPr>
              <w:rPr>
                <w:sz w:val="20"/>
                <w:szCs w:val="20"/>
              </w:rPr>
            </w:pPr>
            <w:r>
              <w:rPr>
                <w:sz w:val="20"/>
                <w:szCs w:val="20"/>
              </w:rPr>
              <w:t>Wagner, et al., 2018</w:t>
            </w:r>
          </w:p>
        </w:tc>
        <w:tc>
          <w:tcPr>
            <w:tcW w:w="876" w:type="dxa"/>
            <w:tcBorders>
              <w:top w:val="single" w:sz="6" w:space="0" w:color="AEAEAE"/>
              <w:left w:val="single" w:sz="6" w:space="0" w:color="AEAEAE"/>
              <w:bottom w:val="single" w:sz="6" w:space="0" w:color="AEAEAE"/>
              <w:right w:val="single" w:sz="6" w:space="0" w:color="AEAEAE"/>
            </w:tcBorders>
            <w:vAlign w:val="center"/>
          </w:tcPr>
          <w:p w14:paraId="7B32C88F" w14:textId="77777777" w:rsidR="002D58E4" w:rsidRDefault="00F721D4">
            <w:pPr>
              <w:rPr>
                <w:sz w:val="20"/>
                <w:szCs w:val="20"/>
              </w:rPr>
            </w:pPr>
            <w:r>
              <w:rPr>
                <w:sz w:val="20"/>
                <w:szCs w:val="20"/>
              </w:rPr>
              <w:t>Retrospective study</w:t>
            </w:r>
          </w:p>
        </w:tc>
        <w:tc>
          <w:tcPr>
            <w:tcW w:w="540" w:type="dxa"/>
            <w:gridSpan w:val="2"/>
            <w:tcBorders>
              <w:top w:val="single" w:sz="6" w:space="0" w:color="AEAEAE"/>
              <w:left w:val="single" w:sz="6" w:space="0" w:color="AEAEAE"/>
              <w:bottom w:val="single" w:sz="6" w:space="0" w:color="AEAEAE"/>
              <w:right w:val="single" w:sz="6" w:space="0" w:color="AEAEAE"/>
            </w:tcBorders>
            <w:vAlign w:val="center"/>
          </w:tcPr>
          <w:p w14:paraId="66450FC8" w14:textId="77777777" w:rsidR="002D58E4" w:rsidRDefault="002D58E4">
            <w:pPr>
              <w:jc w:val="center"/>
              <w:rPr>
                <w:sz w:val="20"/>
                <w:szCs w:val="20"/>
              </w:rPr>
            </w:pPr>
          </w:p>
        </w:tc>
        <w:tc>
          <w:tcPr>
            <w:tcW w:w="4075" w:type="dxa"/>
            <w:gridSpan w:val="2"/>
            <w:tcBorders>
              <w:top w:val="single" w:sz="6" w:space="0" w:color="AEAEAE"/>
              <w:left w:val="single" w:sz="6" w:space="0" w:color="AEAEAE"/>
              <w:bottom w:val="single" w:sz="6" w:space="0" w:color="AEAEAE"/>
              <w:right w:val="single" w:sz="6" w:space="0" w:color="AEAEAE"/>
            </w:tcBorders>
            <w:vAlign w:val="center"/>
          </w:tcPr>
          <w:p w14:paraId="027B52FD" w14:textId="77777777" w:rsidR="002D58E4" w:rsidRDefault="00F721D4">
            <w:pPr>
              <w:spacing w:after="120"/>
              <w:rPr>
                <w:sz w:val="20"/>
                <w:szCs w:val="20"/>
              </w:rPr>
            </w:pPr>
            <w:r>
              <w:rPr>
                <w:sz w:val="20"/>
                <w:szCs w:val="20"/>
              </w:rPr>
              <w:t xml:space="preserve">459 patients in whom CSF analysis for CXCL13 was performed between May 2015 and November 2016 and for whom documentation on clinical symptoms and diagnosis was available were included. 255 (55.6%) patients were male, and the median age was 57 years. 20 patients were diagnosed with LNB. </w:t>
            </w:r>
          </w:p>
        </w:tc>
        <w:tc>
          <w:tcPr>
            <w:tcW w:w="4045"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02B5387" w14:textId="77777777" w:rsidR="002D58E4" w:rsidRDefault="00F721D4">
            <w:pPr>
              <w:rPr>
                <w:sz w:val="20"/>
                <w:szCs w:val="20"/>
              </w:rPr>
            </w:pPr>
            <w:r>
              <w:rPr>
                <w:sz w:val="20"/>
                <w:szCs w:val="20"/>
              </w:rPr>
              <w:t xml:space="preserve">The median CSF CXCL13 concentration in all patients was 10 pg/ml (range 0–6548 pg/ml), and 900 pg/ml (range 10–6500 pg/ml) in NB patients. Duration of symptoms in LNB and CSF CXCL13 concentration did not show a significant correlation. There was not a significant difference between patients with the diagnoses of “likely” and “confirmed” LNB. </w:t>
            </w:r>
          </w:p>
          <w:p w14:paraId="293054E9" w14:textId="77777777" w:rsidR="002D58E4" w:rsidRDefault="002D58E4">
            <w:pPr>
              <w:rPr>
                <w:sz w:val="20"/>
                <w:szCs w:val="20"/>
              </w:rPr>
            </w:pPr>
          </w:p>
          <w:p w14:paraId="3E364A95" w14:textId="77777777" w:rsidR="002D58E4" w:rsidRDefault="00F721D4">
            <w:pPr>
              <w:rPr>
                <w:sz w:val="20"/>
                <w:szCs w:val="20"/>
              </w:rPr>
            </w:pPr>
            <w:r>
              <w:rPr>
                <w:sz w:val="20"/>
                <w:szCs w:val="20"/>
              </w:rPr>
              <w:t>Performance of the CXCL13 ELISA (optimal cut-off point of 93.83 pg/ml):</w:t>
            </w:r>
          </w:p>
          <w:p w14:paraId="43D80B19" w14:textId="77777777" w:rsidR="002D58E4" w:rsidRDefault="00F721D4">
            <w:pPr>
              <w:numPr>
                <w:ilvl w:val="0"/>
                <w:numId w:val="53"/>
              </w:numPr>
              <w:pBdr>
                <w:top w:val="nil"/>
                <w:left w:val="nil"/>
                <w:bottom w:val="nil"/>
                <w:right w:val="nil"/>
                <w:between w:val="nil"/>
              </w:pBdr>
              <w:spacing w:line="276" w:lineRule="auto"/>
              <w:rPr>
                <w:color w:val="000000"/>
                <w:sz w:val="20"/>
                <w:szCs w:val="20"/>
              </w:rPr>
            </w:pPr>
            <w:r>
              <w:rPr>
                <w:color w:val="000000"/>
                <w:sz w:val="20"/>
                <w:szCs w:val="20"/>
              </w:rPr>
              <w:t>Sensitivity: 95%</w:t>
            </w:r>
          </w:p>
          <w:p w14:paraId="522E972C" w14:textId="77777777" w:rsidR="002D58E4" w:rsidRDefault="00F721D4">
            <w:pPr>
              <w:numPr>
                <w:ilvl w:val="0"/>
                <w:numId w:val="53"/>
              </w:numPr>
              <w:pBdr>
                <w:top w:val="nil"/>
                <w:left w:val="nil"/>
                <w:bottom w:val="nil"/>
                <w:right w:val="nil"/>
                <w:between w:val="nil"/>
              </w:pBdr>
              <w:spacing w:after="200" w:line="276" w:lineRule="auto"/>
              <w:rPr>
                <w:color w:val="000000"/>
                <w:sz w:val="20"/>
                <w:szCs w:val="20"/>
              </w:rPr>
            </w:pPr>
            <w:r>
              <w:rPr>
                <w:color w:val="000000"/>
                <w:sz w:val="20"/>
                <w:szCs w:val="20"/>
              </w:rPr>
              <w:t>Specificity: 97%</w:t>
            </w:r>
          </w:p>
        </w:tc>
        <w:tc>
          <w:tcPr>
            <w:tcW w:w="3814"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06A4BB3" w14:textId="77777777" w:rsidR="002D58E4" w:rsidRDefault="00F721D4">
            <w:pPr>
              <w:rPr>
                <w:sz w:val="20"/>
                <w:szCs w:val="20"/>
              </w:rPr>
            </w:pPr>
            <w:r>
              <w:rPr>
                <w:sz w:val="20"/>
                <w:szCs w:val="20"/>
              </w:rPr>
              <w:t xml:space="preserve">The results of the present study confirm the high diagnostic value of CSF CXCL13 in LNB, reproducing its high sensitivity and specificity in an unselected group of patients, with a similar specificity but higher sensitivity than Borrelia IgG/IgM-antibody index (97% vs. 89% and 95% vs. 80%, respectively) and a higher sensitivity than Borrelia burgdorferi PCR (95% vs. 15%). </w:t>
            </w:r>
          </w:p>
        </w:tc>
      </w:tr>
      <w:tr w:rsidR="002D58E4" w14:paraId="48B5E0AE" w14:textId="77777777" w:rsidTr="003D1C11">
        <w:trPr>
          <w:trHeight w:val="380"/>
        </w:trPr>
        <w:tc>
          <w:tcPr>
            <w:tcW w:w="14459" w:type="dxa"/>
            <w:gridSpan w:val="11"/>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7E4F712E" w14:textId="77777777" w:rsidR="002D58E4" w:rsidRDefault="00F721D4">
            <w:pPr>
              <w:jc w:val="center"/>
              <w:rPr>
                <w:b/>
                <w:i/>
                <w:sz w:val="20"/>
                <w:szCs w:val="20"/>
              </w:rPr>
            </w:pPr>
            <w:r>
              <w:rPr>
                <w:b/>
                <w:i/>
                <w:sz w:val="20"/>
                <w:szCs w:val="20"/>
              </w:rPr>
              <w:t>Serologic Testing Data</w:t>
            </w:r>
          </w:p>
        </w:tc>
      </w:tr>
      <w:tr w:rsidR="002D58E4" w14:paraId="70839F70" w14:textId="77777777" w:rsidTr="003D1C11">
        <w:trPr>
          <w:trHeight w:val="4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04794D81" w14:textId="77777777" w:rsidR="002D58E4" w:rsidRDefault="00F721D4">
            <w:pPr>
              <w:jc w:val="center"/>
              <w:rPr>
                <w:sz w:val="20"/>
                <w:szCs w:val="20"/>
              </w:rPr>
            </w:pPr>
            <w:r>
              <w:rPr>
                <w:b/>
                <w:color w:val="000000"/>
                <w:sz w:val="20"/>
                <w:szCs w:val="20"/>
              </w:rPr>
              <w:t>Study and Location</w:t>
            </w:r>
          </w:p>
        </w:tc>
        <w:tc>
          <w:tcPr>
            <w:tcW w:w="876" w:type="dxa"/>
            <w:tcBorders>
              <w:top w:val="single" w:sz="6" w:space="0" w:color="AEAEAE"/>
              <w:left w:val="single" w:sz="6" w:space="0" w:color="AEAEAE"/>
              <w:bottom w:val="single" w:sz="6" w:space="0" w:color="AEAEAE"/>
              <w:right w:val="single" w:sz="6" w:space="0" w:color="AEAEAE"/>
            </w:tcBorders>
            <w:shd w:val="clear" w:color="auto" w:fill="D9D9D9"/>
            <w:vAlign w:val="center"/>
          </w:tcPr>
          <w:p w14:paraId="3C9EFC9E" w14:textId="77777777" w:rsidR="002D58E4" w:rsidRDefault="00F721D4">
            <w:pPr>
              <w:jc w:val="center"/>
              <w:rPr>
                <w:b/>
                <w:color w:val="000000"/>
                <w:sz w:val="20"/>
                <w:szCs w:val="20"/>
              </w:rPr>
            </w:pPr>
            <w:r>
              <w:rPr>
                <w:b/>
                <w:color w:val="000000"/>
                <w:sz w:val="20"/>
                <w:szCs w:val="20"/>
              </w:rPr>
              <w:t>Study Design</w:t>
            </w:r>
          </w:p>
        </w:tc>
        <w:tc>
          <w:tcPr>
            <w:tcW w:w="630" w:type="dxa"/>
            <w:gridSpan w:val="3"/>
            <w:tcBorders>
              <w:top w:val="single" w:sz="6" w:space="0" w:color="AEAEAE"/>
              <w:left w:val="single" w:sz="6" w:space="0" w:color="AEAEAE"/>
              <w:bottom w:val="single" w:sz="6" w:space="0" w:color="AEAEAE"/>
              <w:right w:val="single" w:sz="6" w:space="0" w:color="AEAEAE"/>
            </w:tcBorders>
            <w:shd w:val="clear" w:color="auto" w:fill="D9D9D9"/>
            <w:vAlign w:val="center"/>
          </w:tcPr>
          <w:p w14:paraId="3A4E206D" w14:textId="77777777" w:rsidR="002D58E4" w:rsidRDefault="00F721D4">
            <w:pPr>
              <w:jc w:val="center"/>
              <w:rPr>
                <w:b/>
                <w:sz w:val="20"/>
                <w:szCs w:val="20"/>
              </w:rPr>
            </w:pPr>
            <w:r>
              <w:rPr>
                <w:b/>
                <w:sz w:val="20"/>
                <w:szCs w:val="20"/>
              </w:rPr>
              <w:t>Risk of bias*</w:t>
            </w:r>
          </w:p>
        </w:tc>
        <w:tc>
          <w:tcPr>
            <w:tcW w:w="3985" w:type="dxa"/>
            <w:tcBorders>
              <w:top w:val="single" w:sz="6" w:space="0" w:color="AEAEAE"/>
              <w:left w:val="single" w:sz="6" w:space="0" w:color="AEAEAE"/>
              <w:bottom w:val="single" w:sz="6" w:space="0" w:color="AEAEAE"/>
              <w:right w:val="single" w:sz="6" w:space="0" w:color="AEAEAE"/>
            </w:tcBorders>
            <w:shd w:val="clear" w:color="auto" w:fill="D9D9D9"/>
            <w:vAlign w:val="center"/>
          </w:tcPr>
          <w:p w14:paraId="623EC612" w14:textId="77777777" w:rsidR="002D58E4" w:rsidRDefault="00F721D4">
            <w:pPr>
              <w:jc w:val="center"/>
              <w:rPr>
                <w:b/>
                <w:sz w:val="20"/>
                <w:szCs w:val="20"/>
              </w:rPr>
            </w:pPr>
            <w:r>
              <w:rPr>
                <w:b/>
                <w:sz w:val="20"/>
                <w:szCs w:val="20"/>
              </w:rPr>
              <w:t>Population Characteristics</w:t>
            </w:r>
          </w:p>
        </w:tc>
        <w:tc>
          <w:tcPr>
            <w:tcW w:w="4135" w:type="dxa"/>
            <w:gridSpan w:val="4"/>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1D417D87" w14:textId="77777777" w:rsidR="002D58E4" w:rsidRDefault="00F721D4">
            <w:pPr>
              <w:jc w:val="center"/>
              <w:rPr>
                <w:b/>
                <w:sz w:val="20"/>
                <w:szCs w:val="20"/>
              </w:rPr>
            </w:pPr>
            <w:r>
              <w:rPr>
                <w:b/>
                <w:sz w:val="20"/>
                <w:szCs w:val="20"/>
              </w:rPr>
              <w:t>Meta-analysis details</w:t>
            </w:r>
          </w:p>
        </w:tc>
        <w:tc>
          <w:tcPr>
            <w:tcW w:w="3724"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7479677A" w14:textId="77777777" w:rsidR="002D58E4" w:rsidRDefault="00F721D4">
            <w:pPr>
              <w:jc w:val="center"/>
              <w:rPr>
                <w:b/>
                <w:sz w:val="20"/>
                <w:szCs w:val="20"/>
              </w:rPr>
            </w:pPr>
            <w:r>
              <w:rPr>
                <w:b/>
                <w:sz w:val="20"/>
                <w:szCs w:val="20"/>
              </w:rPr>
              <w:t>Results and Study Conclusions</w:t>
            </w:r>
          </w:p>
        </w:tc>
      </w:tr>
      <w:tr w:rsidR="002D58E4" w14:paraId="32DF677A" w14:textId="77777777" w:rsidTr="003D1C11">
        <w:trPr>
          <w:trHeight w:val="228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4889017" w14:textId="77777777" w:rsidR="002D58E4" w:rsidRDefault="00F721D4">
            <w:pPr>
              <w:rPr>
                <w:sz w:val="20"/>
                <w:szCs w:val="20"/>
              </w:rPr>
            </w:pPr>
            <w:r>
              <w:rPr>
                <w:sz w:val="20"/>
                <w:szCs w:val="20"/>
              </w:rPr>
              <w:t>Waddell, et al., 2016</w:t>
            </w:r>
          </w:p>
        </w:tc>
        <w:tc>
          <w:tcPr>
            <w:tcW w:w="876" w:type="dxa"/>
            <w:tcBorders>
              <w:top w:val="single" w:sz="6" w:space="0" w:color="AEAEAE"/>
              <w:left w:val="single" w:sz="6" w:space="0" w:color="AEAEAE"/>
              <w:bottom w:val="single" w:sz="6" w:space="0" w:color="AEAEAE"/>
              <w:right w:val="single" w:sz="6" w:space="0" w:color="AEAEAE"/>
            </w:tcBorders>
            <w:vAlign w:val="center"/>
          </w:tcPr>
          <w:p w14:paraId="060C7456" w14:textId="77777777" w:rsidR="002D58E4" w:rsidRDefault="00F721D4">
            <w:pPr>
              <w:rPr>
                <w:sz w:val="20"/>
                <w:szCs w:val="20"/>
              </w:rPr>
            </w:pPr>
            <w:r>
              <w:rPr>
                <w:sz w:val="20"/>
                <w:szCs w:val="20"/>
              </w:rPr>
              <w:t>Systematic Review and Meta-analysis</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26D7C0A4" w14:textId="77777777" w:rsidR="002D58E4" w:rsidRDefault="00F721D4">
            <w:pPr>
              <w:rPr>
                <w:sz w:val="20"/>
                <w:szCs w:val="20"/>
              </w:rPr>
            </w:pPr>
            <w:r>
              <w:rPr>
                <w:sz w:val="20"/>
                <w:szCs w:val="20"/>
              </w:rPr>
              <w:t>*see footnote</w:t>
            </w:r>
          </w:p>
        </w:tc>
        <w:tc>
          <w:tcPr>
            <w:tcW w:w="3985" w:type="dxa"/>
            <w:tcBorders>
              <w:top w:val="single" w:sz="6" w:space="0" w:color="AEAEAE"/>
              <w:left w:val="single" w:sz="6" w:space="0" w:color="AEAEAE"/>
              <w:bottom w:val="single" w:sz="6" w:space="0" w:color="AEAEAE"/>
              <w:right w:val="single" w:sz="6" w:space="0" w:color="AEAEAE"/>
            </w:tcBorders>
            <w:vAlign w:val="center"/>
          </w:tcPr>
          <w:p w14:paraId="3E060C4D" w14:textId="77777777" w:rsidR="002D58E4" w:rsidRDefault="00F721D4">
            <w:pPr>
              <w:rPr>
                <w:sz w:val="20"/>
                <w:szCs w:val="20"/>
              </w:rPr>
            </w:pPr>
            <w:r>
              <w:rPr>
                <w:sz w:val="20"/>
                <w:szCs w:val="20"/>
              </w:rPr>
              <w:t>Searched from 1995 – Sep. 2013</w:t>
            </w:r>
          </w:p>
          <w:p w14:paraId="0912ACB5" w14:textId="77777777" w:rsidR="002D58E4" w:rsidRDefault="00F721D4">
            <w:pPr>
              <w:rPr>
                <w:sz w:val="20"/>
                <w:szCs w:val="20"/>
              </w:rPr>
            </w:pPr>
            <w:r>
              <w:rPr>
                <w:sz w:val="20"/>
                <w:szCs w:val="20"/>
              </w:rPr>
              <w:t>Included 48 North American diagnostic test studies that compared results of one test using a validated test panel, results of clinical diagnosis, or a gold standard test result or investigated inter-test agreement. No studies were excluded based on their quality assessment. Studies evaluating in-house tests were included; however, heterogeneity analyses on the impact of the non-commercial tests were performed, where applicable.</w:t>
            </w:r>
          </w:p>
          <w:p w14:paraId="2C786137" w14:textId="77777777" w:rsidR="002D58E4" w:rsidRDefault="00F721D4">
            <w:pPr>
              <w:rPr>
                <w:sz w:val="20"/>
                <w:szCs w:val="20"/>
              </w:rPr>
            </w:pPr>
            <w:r>
              <w:rPr>
                <w:sz w:val="20"/>
                <w:szCs w:val="20"/>
              </w:rPr>
              <w:t>The following disease stages were addressed: Early/acute (</w:t>
            </w:r>
            <w:r>
              <w:rPr>
                <w:i/>
                <w:sz w:val="20"/>
                <w:szCs w:val="20"/>
              </w:rPr>
              <w:t>Stage 1</w:t>
            </w:r>
            <w:r>
              <w:rPr>
                <w:sz w:val="20"/>
                <w:szCs w:val="20"/>
              </w:rPr>
              <w:t>; &lt;30 days; includes EM); Early disseminated (</w:t>
            </w:r>
            <w:r>
              <w:rPr>
                <w:i/>
                <w:sz w:val="20"/>
                <w:szCs w:val="20"/>
              </w:rPr>
              <w:t>Stage 2</w:t>
            </w:r>
            <w:r>
              <w:rPr>
                <w:sz w:val="20"/>
                <w:szCs w:val="20"/>
              </w:rPr>
              <w:t>) (neurologic/cardiac/multiple EM); Late (</w:t>
            </w:r>
            <w:r>
              <w:rPr>
                <w:i/>
                <w:sz w:val="20"/>
                <w:szCs w:val="20"/>
              </w:rPr>
              <w:t>Stage 3</w:t>
            </w:r>
            <w:r>
              <w:rPr>
                <w:sz w:val="20"/>
                <w:szCs w:val="20"/>
              </w:rPr>
              <w:t>) (late neuroborreliosis/arthritis).</w:t>
            </w:r>
          </w:p>
        </w:tc>
        <w:tc>
          <w:tcPr>
            <w:tcW w:w="4135"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1363D12" w14:textId="77777777" w:rsidR="002D58E4" w:rsidRDefault="00F721D4">
            <w:pPr>
              <w:rPr>
                <w:sz w:val="20"/>
                <w:szCs w:val="20"/>
              </w:rPr>
            </w:pPr>
            <w:r>
              <w:rPr>
                <w:sz w:val="20"/>
                <w:szCs w:val="20"/>
              </w:rPr>
              <w:t xml:space="preserve">The included tests were evaluated in the context of clinical diagnosis or compared with one another. No studies addressed serologic testing of cerebrospinal fluid (CSF). </w:t>
            </w:r>
          </w:p>
          <w:p w14:paraId="38D196F5" w14:textId="77777777" w:rsidR="002D58E4" w:rsidRDefault="00F721D4">
            <w:pPr>
              <w:rPr>
                <w:sz w:val="20"/>
                <w:szCs w:val="20"/>
              </w:rPr>
            </w:pPr>
            <w:r>
              <w:rPr>
                <w:sz w:val="20"/>
                <w:szCs w:val="20"/>
              </w:rPr>
              <w:t>Meta-analysis was conducted using hierarchical logistic regression and bivariate models that account for the correlation between sensitivity and specificity.</w:t>
            </w:r>
          </w:p>
          <w:p w14:paraId="5B99106A" w14:textId="77777777" w:rsidR="002D58E4" w:rsidRDefault="00F721D4">
            <w:pPr>
              <w:rPr>
                <w:sz w:val="20"/>
                <w:szCs w:val="20"/>
              </w:rPr>
            </w:pPr>
            <w:r>
              <w:rPr>
                <w:sz w:val="20"/>
                <w:szCs w:val="20"/>
              </w:rPr>
              <w:t>Due to broad inclusion criteria, many studies received downgraded risk of bias ratings in the selection, performance (inadequate blinding), reporting, and/or funding domains.</w:t>
            </w:r>
          </w:p>
        </w:tc>
        <w:tc>
          <w:tcPr>
            <w:tcW w:w="3724"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A17A36D" w14:textId="77777777" w:rsidR="002D58E4" w:rsidRDefault="00F721D4">
            <w:pPr>
              <w:numPr>
                <w:ilvl w:val="0"/>
                <w:numId w:val="22"/>
              </w:numPr>
              <w:spacing w:line="259" w:lineRule="auto"/>
              <w:ind w:left="360"/>
              <w:rPr>
                <w:sz w:val="20"/>
                <w:szCs w:val="20"/>
              </w:rPr>
            </w:pPr>
            <w:r>
              <w:rPr>
                <w:b/>
                <w:sz w:val="20"/>
                <w:szCs w:val="20"/>
              </w:rPr>
              <w:t>Two-tier test vs. clinical diagnosis</w:t>
            </w:r>
            <w:r>
              <w:rPr>
                <w:sz w:val="20"/>
                <w:szCs w:val="20"/>
              </w:rPr>
              <w:t xml:space="preserve"> </w:t>
            </w:r>
          </w:p>
          <w:p w14:paraId="17E55C2D" w14:textId="77777777" w:rsidR="002D58E4" w:rsidRDefault="00F721D4">
            <w:pPr>
              <w:rPr>
                <w:i/>
                <w:sz w:val="20"/>
                <w:szCs w:val="20"/>
              </w:rPr>
            </w:pPr>
            <w:r>
              <w:rPr>
                <w:i/>
                <w:sz w:val="20"/>
                <w:szCs w:val="20"/>
              </w:rPr>
              <w:t>Stage 2 (Early neurologic/cardiac)(N=8 studies):</w:t>
            </w:r>
          </w:p>
          <w:p w14:paraId="550DDA13" w14:textId="77777777" w:rsidR="002D58E4" w:rsidRDefault="00F721D4">
            <w:pPr>
              <w:numPr>
                <w:ilvl w:val="0"/>
                <w:numId w:val="10"/>
              </w:numPr>
              <w:spacing w:line="259" w:lineRule="auto"/>
              <w:rPr>
                <w:i/>
                <w:sz w:val="20"/>
                <w:szCs w:val="20"/>
              </w:rPr>
            </w:pPr>
            <w:r>
              <w:rPr>
                <w:sz w:val="20"/>
                <w:szCs w:val="20"/>
              </w:rPr>
              <w:t xml:space="preserve">Sensitivity 89.7% (95% CI: 78.3%-95.4%) </w:t>
            </w:r>
          </w:p>
          <w:p w14:paraId="0F73FFCB" w14:textId="77777777" w:rsidR="002D58E4" w:rsidRDefault="00F721D4">
            <w:pPr>
              <w:numPr>
                <w:ilvl w:val="0"/>
                <w:numId w:val="10"/>
              </w:numPr>
              <w:spacing w:line="259" w:lineRule="auto"/>
              <w:rPr>
                <w:i/>
                <w:sz w:val="20"/>
                <w:szCs w:val="20"/>
              </w:rPr>
            </w:pPr>
            <w:r>
              <w:rPr>
                <w:sz w:val="20"/>
                <w:szCs w:val="20"/>
              </w:rPr>
              <w:t>Specificity 99.7% (95% CI: 98.4%-99.9%)</w:t>
            </w:r>
          </w:p>
          <w:p w14:paraId="7028D002" w14:textId="77777777" w:rsidR="002D58E4" w:rsidRDefault="00F721D4">
            <w:pPr>
              <w:numPr>
                <w:ilvl w:val="0"/>
                <w:numId w:val="22"/>
              </w:numPr>
              <w:spacing w:line="259" w:lineRule="auto"/>
              <w:ind w:left="360"/>
              <w:rPr>
                <w:i/>
                <w:sz w:val="20"/>
                <w:szCs w:val="20"/>
              </w:rPr>
            </w:pPr>
            <w:r>
              <w:rPr>
                <w:b/>
                <w:sz w:val="20"/>
                <w:szCs w:val="20"/>
              </w:rPr>
              <w:t>EIA (1</w:t>
            </w:r>
            <w:r>
              <w:rPr>
                <w:b/>
                <w:sz w:val="20"/>
                <w:szCs w:val="20"/>
                <w:vertAlign w:val="superscript"/>
              </w:rPr>
              <w:t>st</w:t>
            </w:r>
            <w:r>
              <w:rPr>
                <w:b/>
                <w:sz w:val="20"/>
                <w:szCs w:val="20"/>
              </w:rPr>
              <w:t xml:space="preserve"> tier tests, including ELISA) vs. clinical diagnosis</w:t>
            </w:r>
            <w:r>
              <w:rPr>
                <w:sz w:val="20"/>
                <w:szCs w:val="20"/>
              </w:rPr>
              <w:t xml:space="preserve"> </w:t>
            </w:r>
          </w:p>
          <w:p w14:paraId="68C0BE95" w14:textId="77777777" w:rsidR="002D58E4" w:rsidRDefault="00F721D4">
            <w:pPr>
              <w:rPr>
                <w:i/>
                <w:sz w:val="20"/>
                <w:szCs w:val="20"/>
              </w:rPr>
            </w:pPr>
            <w:r>
              <w:rPr>
                <w:i/>
                <w:sz w:val="20"/>
                <w:szCs w:val="20"/>
              </w:rPr>
              <w:t xml:space="preserve">Stage 2 (Early neurologic or cardiac)(N=5 studies): </w:t>
            </w:r>
          </w:p>
          <w:p w14:paraId="455C3CA9" w14:textId="77777777" w:rsidR="002D58E4" w:rsidRDefault="00F721D4">
            <w:pPr>
              <w:numPr>
                <w:ilvl w:val="0"/>
                <w:numId w:val="26"/>
              </w:numPr>
              <w:spacing w:line="259" w:lineRule="auto"/>
              <w:rPr>
                <w:sz w:val="20"/>
                <w:szCs w:val="20"/>
              </w:rPr>
            </w:pPr>
            <w:r>
              <w:rPr>
                <w:sz w:val="20"/>
                <w:szCs w:val="20"/>
              </w:rPr>
              <w:t xml:space="preserve">Sensitivity 79.1% (95%CI: 66.1%-88.0%) </w:t>
            </w:r>
          </w:p>
          <w:p w14:paraId="7E8FF3C3" w14:textId="77777777" w:rsidR="002D58E4" w:rsidRDefault="00F721D4">
            <w:pPr>
              <w:numPr>
                <w:ilvl w:val="0"/>
                <w:numId w:val="26"/>
              </w:numPr>
              <w:spacing w:line="259" w:lineRule="auto"/>
              <w:rPr>
                <w:sz w:val="20"/>
                <w:szCs w:val="20"/>
              </w:rPr>
            </w:pPr>
            <w:r>
              <w:rPr>
                <w:sz w:val="20"/>
                <w:szCs w:val="20"/>
              </w:rPr>
              <w:t>Specificity 99.7% (95% CI: 96.8%-98.4%)</w:t>
            </w:r>
          </w:p>
          <w:p w14:paraId="73876DE8" w14:textId="77777777" w:rsidR="002D58E4" w:rsidRDefault="00F721D4">
            <w:pPr>
              <w:rPr>
                <w:sz w:val="20"/>
                <w:szCs w:val="20"/>
              </w:rPr>
            </w:pPr>
            <w:r>
              <w:rPr>
                <w:b/>
                <w:sz w:val="20"/>
                <w:szCs w:val="20"/>
              </w:rPr>
              <w:t xml:space="preserve">3. </w:t>
            </w:r>
            <w:r>
              <w:t xml:space="preserve"> </w:t>
            </w:r>
            <w:r>
              <w:rPr>
                <w:b/>
                <w:sz w:val="20"/>
                <w:szCs w:val="20"/>
              </w:rPr>
              <w:t>Nested PCR primer sets targeting OspA vs. Clinical diagnosis (N=1 study)</w:t>
            </w:r>
            <w:r>
              <w:rPr>
                <w:sz w:val="20"/>
                <w:szCs w:val="20"/>
              </w:rPr>
              <w:t xml:space="preserve"> </w:t>
            </w:r>
          </w:p>
          <w:p w14:paraId="2D90570B" w14:textId="77777777" w:rsidR="002D58E4" w:rsidRDefault="00F721D4">
            <w:pPr>
              <w:numPr>
                <w:ilvl w:val="0"/>
                <w:numId w:val="57"/>
              </w:numPr>
              <w:spacing w:line="259" w:lineRule="auto"/>
              <w:rPr>
                <w:sz w:val="20"/>
                <w:szCs w:val="20"/>
              </w:rPr>
            </w:pPr>
            <w:r>
              <w:rPr>
                <w:i/>
                <w:sz w:val="20"/>
                <w:szCs w:val="20"/>
              </w:rPr>
              <w:t>Acute Neurologic Lyme</w:t>
            </w:r>
            <w:r>
              <w:rPr>
                <w:sz w:val="20"/>
                <w:szCs w:val="20"/>
              </w:rPr>
              <w:t>: Sensitivity of 37.5% – 50%</w:t>
            </w:r>
          </w:p>
          <w:p w14:paraId="1567FAEB" w14:textId="77777777" w:rsidR="002D58E4" w:rsidRDefault="002D58E4">
            <w:pPr>
              <w:rPr>
                <w:sz w:val="20"/>
                <w:szCs w:val="20"/>
              </w:rPr>
            </w:pPr>
          </w:p>
          <w:p w14:paraId="5111CC82" w14:textId="77777777" w:rsidR="002D58E4" w:rsidRDefault="00F721D4">
            <w:pPr>
              <w:rPr>
                <w:sz w:val="20"/>
                <w:szCs w:val="20"/>
              </w:rPr>
            </w:pPr>
            <w:r>
              <w:rPr>
                <w:sz w:val="20"/>
                <w:szCs w:val="20"/>
              </w:rPr>
              <w:t>Across all studies, the sensitivity for C6 ELISA was highest, with the lowest variability over other tests and test protocols.</w:t>
            </w:r>
          </w:p>
        </w:tc>
      </w:tr>
      <w:tr w:rsidR="002D58E4" w14:paraId="1D660426" w14:textId="77777777" w:rsidTr="003D1C11">
        <w:trPr>
          <w:trHeight w:val="76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F917B67" w14:textId="77777777" w:rsidR="002D58E4" w:rsidRDefault="00F721D4">
            <w:pPr>
              <w:rPr>
                <w:sz w:val="20"/>
                <w:szCs w:val="20"/>
              </w:rPr>
            </w:pPr>
            <w:r>
              <w:rPr>
                <w:sz w:val="20"/>
                <w:szCs w:val="20"/>
              </w:rPr>
              <w:t>Cook and Puri, 2016</w:t>
            </w:r>
          </w:p>
        </w:tc>
        <w:tc>
          <w:tcPr>
            <w:tcW w:w="876" w:type="dxa"/>
            <w:tcBorders>
              <w:top w:val="single" w:sz="6" w:space="0" w:color="AEAEAE"/>
              <w:left w:val="single" w:sz="6" w:space="0" w:color="AEAEAE"/>
              <w:bottom w:val="single" w:sz="6" w:space="0" w:color="AEAEAE"/>
              <w:right w:val="single" w:sz="6" w:space="0" w:color="AEAEAE"/>
            </w:tcBorders>
            <w:vAlign w:val="center"/>
          </w:tcPr>
          <w:p w14:paraId="4B37EE37" w14:textId="77777777" w:rsidR="002D58E4" w:rsidRDefault="00F721D4">
            <w:pPr>
              <w:rPr>
                <w:sz w:val="20"/>
                <w:szCs w:val="20"/>
              </w:rPr>
            </w:pPr>
            <w:r>
              <w:rPr>
                <w:sz w:val="20"/>
                <w:szCs w:val="20"/>
              </w:rPr>
              <w:t>Meta-analysis</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3BBA9EFB" w14:textId="77777777" w:rsidR="002D58E4" w:rsidRDefault="00F721D4">
            <w:pPr>
              <w:rPr>
                <w:sz w:val="20"/>
                <w:szCs w:val="20"/>
              </w:rPr>
            </w:pPr>
            <w:r>
              <w:rPr>
                <w:sz w:val="20"/>
                <w:szCs w:val="20"/>
              </w:rPr>
              <w:t>High risk of bias for all studies</w:t>
            </w:r>
          </w:p>
        </w:tc>
        <w:tc>
          <w:tcPr>
            <w:tcW w:w="3985" w:type="dxa"/>
            <w:tcBorders>
              <w:top w:val="single" w:sz="6" w:space="0" w:color="AEAEAE"/>
              <w:left w:val="single" w:sz="6" w:space="0" w:color="AEAEAE"/>
              <w:bottom w:val="single" w:sz="6" w:space="0" w:color="AEAEAE"/>
              <w:right w:val="single" w:sz="6" w:space="0" w:color="AEAEAE"/>
            </w:tcBorders>
            <w:vAlign w:val="center"/>
          </w:tcPr>
          <w:p w14:paraId="0171C559" w14:textId="77777777" w:rsidR="002D58E4" w:rsidRDefault="00F721D4">
            <w:pPr>
              <w:rPr>
                <w:sz w:val="20"/>
                <w:szCs w:val="20"/>
              </w:rPr>
            </w:pPr>
            <w:r>
              <w:rPr>
                <w:sz w:val="20"/>
                <w:szCs w:val="20"/>
              </w:rPr>
              <w:t>Search dates unclear: 1995 - unknown (Latest included article was published in 2015; Epub in Jul 2014).</w:t>
            </w:r>
          </w:p>
          <w:p w14:paraId="04ACA9B9" w14:textId="77777777" w:rsidR="002D58E4" w:rsidRDefault="00F721D4">
            <w:pPr>
              <w:rPr>
                <w:sz w:val="20"/>
                <w:szCs w:val="20"/>
              </w:rPr>
            </w:pPr>
            <w:r>
              <w:rPr>
                <w:sz w:val="20"/>
                <w:szCs w:val="20"/>
              </w:rPr>
              <w:t xml:space="preserve">Included any studies (N=18 studies, 12 from US) evaluating commercially available serologic tests. </w:t>
            </w:r>
          </w:p>
          <w:p w14:paraId="6EF7CF22" w14:textId="77777777" w:rsidR="002D58E4" w:rsidRDefault="00F721D4">
            <w:pPr>
              <w:rPr>
                <w:sz w:val="20"/>
                <w:szCs w:val="20"/>
              </w:rPr>
            </w:pPr>
            <w:r>
              <w:rPr>
                <w:sz w:val="20"/>
                <w:szCs w:val="20"/>
              </w:rPr>
              <w:t>The included studies did not evaluate the tests in clinical settings, where the use of antibiotics or other factors may influence the antibody response. The review did not evaluate microscopy, culture, PCR, or novel technologies (LTT etc.).</w:t>
            </w:r>
          </w:p>
        </w:tc>
        <w:tc>
          <w:tcPr>
            <w:tcW w:w="4135"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3D24824" w14:textId="77777777" w:rsidR="002D58E4" w:rsidRDefault="00F721D4">
            <w:pPr>
              <w:rPr>
                <w:sz w:val="20"/>
                <w:szCs w:val="20"/>
              </w:rPr>
            </w:pPr>
            <w:r>
              <w:rPr>
                <w:sz w:val="20"/>
                <w:szCs w:val="20"/>
              </w:rPr>
              <w:t>Samples were proved positive based on records of erythema migrans, positive serology and/or culture, or CDC-certified panels.</w:t>
            </w:r>
          </w:p>
          <w:p w14:paraId="2526602D" w14:textId="77777777" w:rsidR="002D58E4" w:rsidRDefault="00F721D4">
            <w:pPr>
              <w:rPr>
                <w:sz w:val="20"/>
                <w:szCs w:val="20"/>
              </w:rPr>
            </w:pPr>
            <w:r>
              <w:rPr>
                <w:sz w:val="20"/>
                <w:szCs w:val="20"/>
              </w:rPr>
              <w:t>Only studies in which test specificity was reported to be at least 85% were included, to avoid overinflated sensitivity at the cost of lowered thresholds and too many false-positives.</w:t>
            </w:r>
          </w:p>
          <w:p w14:paraId="4C4462AF" w14:textId="77777777" w:rsidR="002D58E4" w:rsidRDefault="00F721D4">
            <w:pPr>
              <w:rPr>
                <w:sz w:val="20"/>
                <w:szCs w:val="20"/>
              </w:rPr>
            </w:pPr>
            <w:r>
              <w:rPr>
                <w:sz w:val="20"/>
                <w:szCs w:val="20"/>
              </w:rPr>
              <w:t xml:space="preserve">Sensitivities of each test were not evaluated within every stage of borreliosis due to the lack of standard definitions of disease stages and the possibility of retrospective selection bias.  </w:t>
            </w:r>
          </w:p>
        </w:tc>
        <w:tc>
          <w:tcPr>
            <w:tcW w:w="3724"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768AA039" w14:textId="77777777" w:rsidR="002D58E4" w:rsidRDefault="00F721D4">
            <w:pPr>
              <w:numPr>
                <w:ilvl w:val="0"/>
                <w:numId w:val="45"/>
              </w:numPr>
              <w:spacing w:line="259" w:lineRule="auto"/>
              <w:ind w:left="360"/>
              <w:rPr>
                <w:sz w:val="20"/>
                <w:szCs w:val="20"/>
              </w:rPr>
            </w:pPr>
            <w:r>
              <w:rPr>
                <w:b/>
                <w:sz w:val="20"/>
                <w:szCs w:val="20"/>
              </w:rPr>
              <w:t>Weighted mean (All studies, all disease stages)</w:t>
            </w:r>
            <w:r>
              <w:rPr>
                <w:sz w:val="20"/>
                <w:szCs w:val="20"/>
              </w:rPr>
              <w:t xml:space="preserve"> </w:t>
            </w:r>
          </w:p>
          <w:p w14:paraId="3F31A3F1" w14:textId="77777777" w:rsidR="002D58E4" w:rsidRDefault="00F721D4">
            <w:pPr>
              <w:numPr>
                <w:ilvl w:val="0"/>
                <w:numId w:val="13"/>
              </w:numPr>
              <w:spacing w:line="259" w:lineRule="auto"/>
              <w:rPr>
                <w:sz w:val="20"/>
                <w:szCs w:val="20"/>
              </w:rPr>
            </w:pPr>
            <w:r>
              <w:rPr>
                <w:sz w:val="20"/>
                <w:szCs w:val="20"/>
              </w:rPr>
              <w:t>Sensitivity 59.5% (95% CI: 55.6%-63.5%)</w:t>
            </w:r>
          </w:p>
          <w:p w14:paraId="6E6B2A7E" w14:textId="77777777" w:rsidR="002D58E4" w:rsidRDefault="00F721D4">
            <w:pPr>
              <w:numPr>
                <w:ilvl w:val="0"/>
                <w:numId w:val="13"/>
              </w:numPr>
              <w:spacing w:line="259" w:lineRule="auto"/>
              <w:rPr>
                <w:sz w:val="20"/>
                <w:szCs w:val="20"/>
              </w:rPr>
            </w:pPr>
            <w:r>
              <w:rPr>
                <w:sz w:val="20"/>
                <w:szCs w:val="20"/>
              </w:rPr>
              <w:t xml:space="preserve">Specificity 96.1% </w:t>
            </w:r>
          </w:p>
          <w:p w14:paraId="204A0ABA" w14:textId="77777777" w:rsidR="002D58E4" w:rsidRDefault="00F721D4">
            <w:pPr>
              <w:numPr>
                <w:ilvl w:val="0"/>
                <w:numId w:val="45"/>
              </w:numPr>
              <w:spacing w:line="259" w:lineRule="auto"/>
              <w:ind w:left="360"/>
              <w:rPr>
                <w:sz w:val="20"/>
                <w:szCs w:val="20"/>
              </w:rPr>
            </w:pPr>
            <w:r>
              <w:rPr>
                <w:b/>
                <w:sz w:val="20"/>
                <w:szCs w:val="20"/>
              </w:rPr>
              <w:t>Weighted Mean Sensitivities by test (all disease stages)</w:t>
            </w:r>
            <w:r>
              <w:rPr>
                <w:sz w:val="20"/>
                <w:szCs w:val="20"/>
              </w:rPr>
              <w:t xml:space="preserve"> </w:t>
            </w:r>
          </w:p>
          <w:p w14:paraId="538A4B39" w14:textId="77777777" w:rsidR="002D58E4" w:rsidRDefault="00F721D4">
            <w:pPr>
              <w:numPr>
                <w:ilvl w:val="0"/>
                <w:numId w:val="13"/>
              </w:numPr>
              <w:spacing w:line="259" w:lineRule="auto"/>
              <w:rPr>
                <w:sz w:val="20"/>
                <w:szCs w:val="20"/>
              </w:rPr>
            </w:pPr>
            <w:r>
              <w:rPr>
                <w:sz w:val="20"/>
                <w:szCs w:val="20"/>
              </w:rPr>
              <w:t>Western Blot: 62.4% (95% CI: 54.2%-70.7%)</w:t>
            </w:r>
          </w:p>
          <w:p w14:paraId="7B74B8BF" w14:textId="77777777" w:rsidR="002D58E4" w:rsidRDefault="00F721D4">
            <w:pPr>
              <w:numPr>
                <w:ilvl w:val="0"/>
                <w:numId w:val="13"/>
              </w:numPr>
              <w:spacing w:line="259" w:lineRule="auto"/>
              <w:rPr>
                <w:sz w:val="20"/>
                <w:szCs w:val="20"/>
              </w:rPr>
            </w:pPr>
            <w:r>
              <w:rPr>
                <w:sz w:val="20"/>
                <w:szCs w:val="20"/>
              </w:rPr>
              <w:t>ELISA (any variety): 62.3% (56.6-68.1)</w:t>
            </w:r>
          </w:p>
          <w:p w14:paraId="47E07EEF" w14:textId="77777777" w:rsidR="002D58E4" w:rsidRDefault="00F721D4">
            <w:pPr>
              <w:numPr>
                <w:ilvl w:val="0"/>
                <w:numId w:val="13"/>
              </w:numPr>
              <w:spacing w:line="259" w:lineRule="auto"/>
              <w:rPr>
                <w:sz w:val="20"/>
                <w:szCs w:val="20"/>
              </w:rPr>
            </w:pPr>
            <w:r>
              <w:rPr>
                <w:sz w:val="20"/>
                <w:szCs w:val="20"/>
              </w:rPr>
              <w:t>C6 ELISA: 53.9% (48.3-61.1)</w:t>
            </w:r>
          </w:p>
          <w:p w14:paraId="0A7260EF" w14:textId="77777777" w:rsidR="002D58E4" w:rsidRDefault="00F721D4">
            <w:pPr>
              <w:numPr>
                <w:ilvl w:val="0"/>
                <w:numId w:val="13"/>
              </w:numPr>
              <w:spacing w:line="259" w:lineRule="auto"/>
              <w:rPr>
                <w:sz w:val="20"/>
                <w:szCs w:val="20"/>
              </w:rPr>
            </w:pPr>
            <w:r>
              <w:rPr>
                <w:sz w:val="20"/>
                <w:szCs w:val="20"/>
              </w:rPr>
              <w:t>Two-tier: 53.7% (49.9-57.4)</w:t>
            </w:r>
          </w:p>
          <w:p w14:paraId="60FD5696" w14:textId="77777777" w:rsidR="002D58E4" w:rsidRDefault="00F721D4">
            <w:pPr>
              <w:numPr>
                <w:ilvl w:val="0"/>
                <w:numId w:val="45"/>
              </w:numPr>
              <w:spacing w:line="259" w:lineRule="auto"/>
              <w:ind w:left="360"/>
              <w:rPr>
                <w:sz w:val="20"/>
                <w:szCs w:val="20"/>
              </w:rPr>
            </w:pPr>
            <w:r>
              <w:rPr>
                <w:b/>
                <w:sz w:val="20"/>
                <w:szCs w:val="20"/>
              </w:rPr>
              <w:t>Weighed Sensitivities for Neurologic Lyme (all test types)</w:t>
            </w:r>
          </w:p>
          <w:p w14:paraId="71EFA74F" w14:textId="77777777" w:rsidR="002D58E4" w:rsidRDefault="00F721D4">
            <w:pPr>
              <w:numPr>
                <w:ilvl w:val="0"/>
                <w:numId w:val="13"/>
              </w:numPr>
              <w:spacing w:line="259" w:lineRule="auto"/>
              <w:rPr>
                <w:sz w:val="20"/>
                <w:szCs w:val="20"/>
              </w:rPr>
            </w:pPr>
            <w:r>
              <w:rPr>
                <w:sz w:val="20"/>
                <w:szCs w:val="20"/>
              </w:rPr>
              <w:t>Neurologic Lyme (stage unknown): 87.3% (95%CI: 71.4%-97.5%)</w:t>
            </w:r>
          </w:p>
          <w:p w14:paraId="11F27458" w14:textId="77777777" w:rsidR="002D58E4" w:rsidRDefault="00F721D4">
            <w:pPr>
              <w:numPr>
                <w:ilvl w:val="0"/>
                <w:numId w:val="13"/>
              </w:numPr>
              <w:spacing w:line="259" w:lineRule="auto"/>
              <w:rPr>
                <w:sz w:val="20"/>
                <w:szCs w:val="20"/>
              </w:rPr>
            </w:pPr>
            <w:r>
              <w:rPr>
                <w:sz w:val="20"/>
                <w:szCs w:val="20"/>
              </w:rPr>
              <w:t>Neurologic/arthritis/carditis: 92.2% (78.4-100.0)</w:t>
            </w:r>
          </w:p>
        </w:tc>
      </w:tr>
      <w:tr w:rsidR="002D58E4" w14:paraId="3DBD3CA1" w14:textId="77777777" w:rsidTr="003D1C11">
        <w:trPr>
          <w:trHeight w:val="541"/>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6DB9F7C6" w14:textId="77777777" w:rsidR="002D58E4" w:rsidRDefault="00F721D4">
            <w:pPr>
              <w:rPr>
                <w:sz w:val="20"/>
                <w:szCs w:val="20"/>
              </w:rPr>
            </w:pPr>
            <w:r>
              <w:rPr>
                <w:sz w:val="20"/>
                <w:szCs w:val="20"/>
              </w:rPr>
              <w:t>Leeflang, et al., 2016</w:t>
            </w:r>
          </w:p>
        </w:tc>
        <w:tc>
          <w:tcPr>
            <w:tcW w:w="876" w:type="dxa"/>
            <w:tcBorders>
              <w:top w:val="single" w:sz="6" w:space="0" w:color="AEAEAE"/>
              <w:left w:val="single" w:sz="6" w:space="0" w:color="AEAEAE"/>
              <w:bottom w:val="single" w:sz="6" w:space="0" w:color="AEAEAE"/>
              <w:right w:val="single" w:sz="6" w:space="0" w:color="AEAEAE"/>
            </w:tcBorders>
            <w:vAlign w:val="center"/>
          </w:tcPr>
          <w:p w14:paraId="12635C32" w14:textId="77777777" w:rsidR="002D58E4" w:rsidRDefault="00F721D4">
            <w:pPr>
              <w:rPr>
                <w:sz w:val="20"/>
                <w:szCs w:val="20"/>
              </w:rPr>
            </w:pPr>
            <w:r>
              <w:rPr>
                <w:sz w:val="20"/>
                <w:szCs w:val="20"/>
              </w:rPr>
              <w:t>Systematic Review and Meta-analysis</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08D4A7FC" w14:textId="77777777" w:rsidR="002D58E4" w:rsidRDefault="00F721D4">
            <w:pPr>
              <w:rPr>
                <w:sz w:val="20"/>
                <w:szCs w:val="20"/>
              </w:rPr>
            </w:pPr>
            <w:r>
              <w:rPr>
                <w:sz w:val="20"/>
                <w:szCs w:val="20"/>
              </w:rPr>
              <w:t>*see footnote</w:t>
            </w:r>
          </w:p>
        </w:tc>
        <w:tc>
          <w:tcPr>
            <w:tcW w:w="3985" w:type="dxa"/>
            <w:tcBorders>
              <w:top w:val="single" w:sz="6" w:space="0" w:color="AEAEAE"/>
              <w:left w:val="single" w:sz="6" w:space="0" w:color="AEAEAE"/>
              <w:bottom w:val="single" w:sz="6" w:space="0" w:color="AEAEAE"/>
              <w:right w:val="single" w:sz="6" w:space="0" w:color="AEAEAE"/>
            </w:tcBorders>
            <w:vAlign w:val="center"/>
          </w:tcPr>
          <w:p w14:paraId="613D1C67" w14:textId="77777777" w:rsidR="002D58E4" w:rsidRDefault="00F721D4">
            <w:pPr>
              <w:rPr>
                <w:sz w:val="20"/>
                <w:szCs w:val="20"/>
              </w:rPr>
            </w:pPr>
            <w:r>
              <w:rPr>
                <w:sz w:val="20"/>
                <w:szCs w:val="20"/>
              </w:rPr>
              <w:t>Last search date: Feb. 2014.</w:t>
            </w:r>
            <w:r>
              <w:rPr>
                <w:b/>
                <w:sz w:val="20"/>
                <w:szCs w:val="20"/>
              </w:rPr>
              <w:t xml:space="preserve"> </w:t>
            </w:r>
            <w:r>
              <w:rPr>
                <w:sz w:val="20"/>
                <w:szCs w:val="20"/>
              </w:rPr>
              <w:t>The oldest included study was published in 1987.</w:t>
            </w:r>
          </w:p>
          <w:p w14:paraId="00777B8E" w14:textId="77777777" w:rsidR="002D58E4" w:rsidRDefault="002D58E4">
            <w:pPr>
              <w:rPr>
                <w:sz w:val="20"/>
                <w:szCs w:val="20"/>
              </w:rPr>
            </w:pPr>
          </w:p>
          <w:p w14:paraId="02CBABCA" w14:textId="77777777" w:rsidR="002D58E4" w:rsidRDefault="00F721D4">
            <w:pPr>
              <w:rPr>
                <w:sz w:val="20"/>
                <w:szCs w:val="20"/>
              </w:rPr>
            </w:pPr>
            <w:r>
              <w:rPr>
                <w:sz w:val="20"/>
                <w:szCs w:val="20"/>
              </w:rPr>
              <w:t xml:space="preserve">Only European studies evaluating the diagnostic accuracy of serologic assays for Lyme borreliosis against a reference standard for clinical criteria (sometimes combined with positive serology) in “possible” or “suspected” Lyme patients were included (N=75 studies); these patients counted as “cases”. </w:t>
            </w:r>
          </w:p>
          <w:p w14:paraId="5A8A1682" w14:textId="77777777" w:rsidR="002D58E4" w:rsidRDefault="002D58E4">
            <w:pPr>
              <w:rPr>
                <w:sz w:val="20"/>
                <w:szCs w:val="20"/>
              </w:rPr>
            </w:pPr>
          </w:p>
          <w:p w14:paraId="7E8E726B" w14:textId="77777777" w:rsidR="002D58E4" w:rsidRDefault="00F721D4">
            <w:pPr>
              <w:rPr>
                <w:sz w:val="20"/>
                <w:szCs w:val="20"/>
              </w:rPr>
            </w:pPr>
            <w:r>
              <w:rPr>
                <w:sz w:val="20"/>
                <w:szCs w:val="20"/>
              </w:rPr>
              <w:t>Indirect fluorescent antibody assays were not evaluated because of the rare use in practice.</w:t>
            </w:r>
          </w:p>
        </w:tc>
        <w:tc>
          <w:tcPr>
            <w:tcW w:w="4135"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9C867C3" w14:textId="77777777" w:rsidR="002D58E4" w:rsidRDefault="00F721D4">
            <w:pPr>
              <w:rPr>
                <w:sz w:val="20"/>
                <w:szCs w:val="20"/>
              </w:rPr>
            </w:pPr>
            <w:r>
              <w:rPr>
                <w:sz w:val="20"/>
                <w:szCs w:val="20"/>
              </w:rPr>
              <w:t>Meta-analysis was performed using Hierarchical Summary ROC (HSROC) model, a hierarchical meta-regression method incorporating both sensitivity and specificity while taking into account the correlation between the two.</w:t>
            </w:r>
          </w:p>
          <w:p w14:paraId="5841651A" w14:textId="77777777" w:rsidR="002D58E4" w:rsidRDefault="00F721D4">
            <w:pPr>
              <w:rPr>
                <w:sz w:val="20"/>
                <w:szCs w:val="20"/>
              </w:rPr>
            </w:pPr>
            <w:r>
              <w:rPr>
                <w:sz w:val="20"/>
                <w:szCs w:val="20"/>
              </w:rPr>
              <w:t>The authors noted that the included studies had high levels of heterogeneity and bias and did not represent the tests in true clinical settings.</w:t>
            </w:r>
          </w:p>
        </w:tc>
        <w:tc>
          <w:tcPr>
            <w:tcW w:w="3724"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FD0784D" w14:textId="77777777" w:rsidR="002D58E4" w:rsidRDefault="00F721D4">
            <w:pPr>
              <w:rPr>
                <w:sz w:val="20"/>
                <w:szCs w:val="20"/>
              </w:rPr>
            </w:pPr>
            <w:r>
              <w:rPr>
                <w:sz w:val="20"/>
                <w:szCs w:val="20"/>
              </w:rPr>
              <w:t xml:space="preserve">20 case-control studies addressing diagnosis of neuroborreliosis included healthy controls. The overall sensitivity for serologic tests in neuroborreliosis patients was 77% (95%CI: 67%-85%), and overall specificity was 93% (95% CI: 88%-96%). </w:t>
            </w:r>
          </w:p>
          <w:p w14:paraId="5BA4045A" w14:textId="77777777" w:rsidR="002D58E4" w:rsidRDefault="00F721D4">
            <w:pPr>
              <w:rPr>
                <w:sz w:val="20"/>
                <w:szCs w:val="20"/>
              </w:rPr>
            </w:pPr>
            <w:r>
              <w:rPr>
                <w:sz w:val="20"/>
                <w:szCs w:val="20"/>
              </w:rPr>
              <w:t xml:space="preserve"> </w:t>
            </w:r>
          </w:p>
          <w:p w14:paraId="3E47DD7E" w14:textId="77777777" w:rsidR="002D58E4" w:rsidRDefault="00F721D4">
            <w:pPr>
              <w:rPr>
                <w:sz w:val="20"/>
                <w:szCs w:val="20"/>
              </w:rPr>
            </w:pPr>
            <w:r>
              <w:rPr>
                <w:sz w:val="20"/>
                <w:szCs w:val="20"/>
              </w:rPr>
              <w:t xml:space="preserve">The summary sensitivity for any serologic test done in serum in neuroborreliosis patients (N=6 studies) was 78% (53-92), and specificity was 78% (40-95).  Sensitivity was similar for IgG and IgM, with higher specificity for IgG.  </w:t>
            </w:r>
          </w:p>
          <w:p w14:paraId="6608FAB8" w14:textId="77777777" w:rsidR="002D58E4" w:rsidRDefault="002D58E4">
            <w:pPr>
              <w:rPr>
                <w:sz w:val="20"/>
                <w:szCs w:val="20"/>
              </w:rPr>
            </w:pPr>
          </w:p>
          <w:p w14:paraId="01875DC8" w14:textId="77777777" w:rsidR="002D58E4" w:rsidRDefault="00F721D4">
            <w:pPr>
              <w:rPr>
                <w:sz w:val="20"/>
                <w:szCs w:val="20"/>
              </w:rPr>
            </w:pPr>
            <w:r>
              <w:rPr>
                <w:sz w:val="20"/>
                <w:szCs w:val="20"/>
              </w:rPr>
              <w:t xml:space="preserve">Commercial ELISA tests (N=11 studies) had sensitivity of 81% (70-89) and specificity of 94% (91-96).  Sensitivity and specificity of two-tier testing (N=1 study) ranged from 41%-87% and 88%-94%, respectively.  6 studies addressed any ELISA done on CSF, and the sensitivity of ELISA of CSF was 74% (38-93), with specificity of 96% (85-99). </w:t>
            </w:r>
          </w:p>
          <w:p w14:paraId="41257B93" w14:textId="77777777" w:rsidR="002D58E4" w:rsidRDefault="002D58E4">
            <w:pPr>
              <w:rPr>
                <w:sz w:val="20"/>
                <w:szCs w:val="20"/>
              </w:rPr>
            </w:pPr>
          </w:p>
          <w:p w14:paraId="56029FE7" w14:textId="77777777" w:rsidR="002D58E4" w:rsidRDefault="00F721D4">
            <w:pPr>
              <w:rPr>
                <w:sz w:val="20"/>
                <w:szCs w:val="20"/>
              </w:rPr>
            </w:pPr>
            <w:r>
              <w:rPr>
                <w:sz w:val="20"/>
                <w:szCs w:val="20"/>
              </w:rPr>
              <w:t>Sensitivity and specificity of specific antibody index (AI) tests (serum/CSF) were analyzed by study type: for case-control (N=7 studies), Sensitivity was 86% (63-95), and Specificity was 94% (85-97); for cross-sectional (N=4 studies), Sensitivity was 79% (34-97) and Specificity was 96% (64-100).  Specific AI test did not outperform single tests.</w:t>
            </w:r>
          </w:p>
        </w:tc>
      </w:tr>
      <w:tr w:rsidR="002D58E4" w14:paraId="396A5D4E" w14:textId="77777777" w:rsidTr="003D1C11">
        <w:trPr>
          <w:trHeight w:val="260"/>
        </w:trPr>
        <w:tc>
          <w:tcPr>
            <w:tcW w:w="14459" w:type="dxa"/>
            <w:gridSpan w:val="11"/>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3920C676" w14:textId="77777777" w:rsidR="002D58E4" w:rsidRDefault="00F721D4">
            <w:pPr>
              <w:jc w:val="center"/>
              <w:rPr>
                <w:b/>
                <w:i/>
                <w:sz w:val="20"/>
                <w:szCs w:val="20"/>
              </w:rPr>
            </w:pPr>
            <w:r>
              <w:rPr>
                <w:b/>
                <w:i/>
              </w:rPr>
              <w:t>Serologic Testing in Neuroborreliosis</w:t>
            </w:r>
          </w:p>
        </w:tc>
      </w:tr>
      <w:tr w:rsidR="002D58E4" w14:paraId="5C0BC878" w14:textId="77777777" w:rsidTr="003D1C11">
        <w:trPr>
          <w:trHeight w:val="40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408A5B44" w14:textId="77777777" w:rsidR="002D58E4" w:rsidRDefault="00F721D4">
            <w:pPr>
              <w:jc w:val="center"/>
              <w:rPr>
                <w:sz w:val="20"/>
                <w:szCs w:val="20"/>
              </w:rPr>
            </w:pPr>
            <w:r>
              <w:rPr>
                <w:b/>
                <w:color w:val="000000"/>
                <w:sz w:val="20"/>
                <w:szCs w:val="20"/>
              </w:rPr>
              <w:t>Study and Location</w:t>
            </w:r>
          </w:p>
        </w:tc>
        <w:tc>
          <w:tcPr>
            <w:tcW w:w="876" w:type="dxa"/>
            <w:tcBorders>
              <w:top w:val="single" w:sz="6" w:space="0" w:color="AEAEAE"/>
              <w:left w:val="single" w:sz="6" w:space="0" w:color="AEAEAE"/>
              <w:bottom w:val="single" w:sz="6" w:space="0" w:color="AEAEAE"/>
              <w:right w:val="single" w:sz="6" w:space="0" w:color="AEAEAE"/>
            </w:tcBorders>
            <w:shd w:val="clear" w:color="auto" w:fill="D9D9D9"/>
          </w:tcPr>
          <w:p w14:paraId="16DC290E" w14:textId="77777777" w:rsidR="002D58E4" w:rsidRDefault="00F721D4">
            <w:pPr>
              <w:jc w:val="center"/>
              <w:rPr>
                <w:sz w:val="20"/>
                <w:szCs w:val="20"/>
              </w:rPr>
            </w:pPr>
            <w:r>
              <w:rPr>
                <w:b/>
                <w:color w:val="000000"/>
                <w:sz w:val="20"/>
                <w:szCs w:val="20"/>
              </w:rPr>
              <w:t>Study Design</w:t>
            </w:r>
          </w:p>
        </w:tc>
        <w:tc>
          <w:tcPr>
            <w:tcW w:w="630" w:type="dxa"/>
            <w:gridSpan w:val="3"/>
            <w:tcBorders>
              <w:top w:val="single" w:sz="6" w:space="0" w:color="AEAEAE"/>
              <w:left w:val="single" w:sz="6" w:space="0" w:color="AEAEAE"/>
              <w:bottom w:val="single" w:sz="6" w:space="0" w:color="AEAEAE"/>
              <w:right w:val="single" w:sz="6" w:space="0" w:color="AEAEAE"/>
            </w:tcBorders>
            <w:shd w:val="clear" w:color="auto" w:fill="D9D9D9"/>
          </w:tcPr>
          <w:p w14:paraId="171FC066" w14:textId="77777777" w:rsidR="002D58E4" w:rsidRDefault="00F721D4">
            <w:pPr>
              <w:jc w:val="center"/>
              <w:rPr>
                <w:sz w:val="20"/>
                <w:szCs w:val="20"/>
              </w:rPr>
            </w:pPr>
            <w:r>
              <w:rPr>
                <w:b/>
                <w:color w:val="000000"/>
                <w:sz w:val="20"/>
                <w:szCs w:val="20"/>
              </w:rPr>
              <w:t>Risk of bias*</w:t>
            </w:r>
          </w:p>
        </w:tc>
        <w:tc>
          <w:tcPr>
            <w:tcW w:w="3985" w:type="dxa"/>
            <w:tcBorders>
              <w:top w:val="single" w:sz="6" w:space="0" w:color="AEAEAE"/>
              <w:left w:val="single" w:sz="6" w:space="0" w:color="AEAEAE"/>
              <w:bottom w:val="single" w:sz="6" w:space="0" w:color="AEAEAE"/>
              <w:right w:val="single" w:sz="6" w:space="0" w:color="AEAEAE"/>
            </w:tcBorders>
            <w:shd w:val="clear" w:color="auto" w:fill="D9D9D9"/>
          </w:tcPr>
          <w:p w14:paraId="3824D961" w14:textId="77777777" w:rsidR="002D58E4" w:rsidRDefault="00F721D4">
            <w:pPr>
              <w:jc w:val="center"/>
              <w:rPr>
                <w:sz w:val="20"/>
                <w:szCs w:val="20"/>
              </w:rPr>
            </w:pPr>
            <w:r>
              <w:rPr>
                <w:b/>
                <w:color w:val="000000"/>
                <w:sz w:val="20"/>
                <w:szCs w:val="20"/>
              </w:rPr>
              <w:t>Population Characteristics</w:t>
            </w:r>
          </w:p>
        </w:tc>
        <w:tc>
          <w:tcPr>
            <w:tcW w:w="4052" w:type="dxa"/>
            <w:gridSpan w:val="3"/>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8B42D49" w14:textId="77777777" w:rsidR="002D58E4" w:rsidRDefault="00F721D4">
            <w:pPr>
              <w:spacing w:after="120"/>
              <w:jc w:val="center"/>
              <w:rPr>
                <w:sz w:val="20"/>
                <w:szCs w:val="20"/>
                <w:u w:val="single"/>
              </w:rPr>
            </w:pPr>
            <w:r>
              <w:rPr>
                <w:b/>
                <w:color w:val="000000"/>
                <w:sz w:val="20"/>
                <w:szCs w:val="20"/>
              </w:rPr>
              <w:t>Diagnosis Method, % Positive</w:t>
            </w:r>
          </w:p>
        </w:tc>
        <w:tc>
          <w:tcPr>
            <w:tcW w:w="3807" w:type="dxa"/>
            <w:gridSpan w:val="2"/>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33A3B90" w14:textId="77777777" w:rsidR="002D58E4" w:rsidRDefault="00F721D4">
            <w:pPr>
              <w:jc w:val="center"/>
              <w:rPr>
                <w:sz w:val="20"/>
                <w:szCs w:val="20"/>
              </w:rPr>
            </w:pPr>
            <w:r>
              <w:rPr>
                <w:b/>
                <w:color w:val="000000"/>
                <w:sz w:val="20"/>
                <w:szCs w:val="20"/>
              </w:rPr>
              <w:t>Study Conclusions</w:t>
            </w:r>
          </w:p>
        </w:tc>
      </w:tr>
      <w:tr w:rsidR="002D58E4" w14:paraId="55B89802"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4B169689" w14:textId="77777777" w:rsidR="002D58E4" w:rsidRPr="002914A2" w:rsidRDefault="00F721D4">
            <w:pPr>
              <w:rPr>
                <w:sz w:val="20"/>
                <w:szCs w:val="20"/>
                <w:lang w:val="fr-CA"/>
              </w:rPr>
            </w:pPr>
            <w:r w:rsidRPr="002914A2">
              <w:rPr>
                <w:sz w:val="20"/>
                <w:szCs w:val="20"/>
                <w:lang w:val="fr-CA"/>
              </w:rPr>
              <w:t>Adoracion Pegalajar-Jurado, et al., 2017</w:t>
            </w:r>
          </w:p>
          <w:p w14:paraId="3C99D1AC" w14:textId="77777777" w:rsidR="002D58E4" w:rsidRPr="002914A2" w:rsidRDefault="002D58E4">
            <w:pPr>
              <w:rPr>
                <w:sz w:val="20"/>
                <w:szCs w:val="20"/>
                <w:lang w:val="fr-CA"/>
              </w:rPr>
            </w:pPr>
          </w:p>
          <w:p w14:paraId="740D8D65" w14:textId="77777777" w:rsidR="002D58E4" w:rsidRDefault="00F721D4">
            <w:pPr>
              <w:rPr>
                <w:sz w:val="20"/>
                <w:szCs w:val="20"/>
              </w:rPr>
            </w:pPr>
            <w:r>
              <w:rPr>
                <w:sz w:val="20"/>
                <w:szCs w:val="20"/>
              </w:rPr>
              <w:t>CDC Lyme Serum Repository</w:t>
            </w:r>
          </w:p>
        </w:tc>
        <w:tc>
          <w:tcPr>
            <w:tcW w:w="876" w:type="dxa"/>
            <w:tcBorders>
              <w:top w:val="single" w:sz="6" w:space="0" w:color="AEAEAE"/>
              <w:left w:val="single" w:sz="6" w:space="0" w:color="AEAEAE"/>
              <w:bottom w:val="single" w:sz="6" w:space="0" w:color="AEAEAE"/>
              <w:right w:val="single" w:sz="6" w:space="0" w:color="AEAEAE"/>
            </w:tcBorders>
            <w:vAlign w:val="center"/>
          </w:tcPr>
          <w:p w14:paraId="46F65AB2" w14:textId="77777777" w:rsidR="002D58E4" w:rsidRDefault="00F721D4">
            <w:pPr>
              <w:rPr>
                <w:sz w:val="20"/>
                <w:szCs w:val="20"/>
              </w:rPr>
            </w:pPr>
            <w:r>
              <w:rPr>
                <w:sz w:val="20"/>
                <w:szCs w:val="20"/>
              </w:rPr>
              <w:t>Retrospective study</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74023401" w14:textId="77777777" w:rsidR="002D58E4" w:rsidRDefault="002D58E4">
            <w:pPr>
              <w:rPr>
                <w:sz w:val="20"/>
                <w:szCs w:val="20"/>
              </w:rPr>
            </w:pPr>
          </w:p>
        </w:tc>
        <w:tc>
          <w:tcPr>
            <w:tcW w:w="3985" w:type="dxa"/>
            <w:tcBorders>
              <w:top w:val="single" w:sz="6" w:space="0" w:color="AEAEAE"/>
              <w:left w:val="single" w:sz="6" w:space="0" w:color="AEAEAE"/>
              <w:bottom w:val="single" w:sz="6" w:space="0" w:color="AEAEAE"/>
              <w:right w:val="single" w:sz="6" w:space="0" w:color="AEAEAE"/>
            </w:tcBorders>
            <w:vAlign w:val="center"/>
          </w:tcPr>
          <w:p w14:paraId="1392064C" w14:textId="77777777" w:rsidR="002D58E4" w:rsidRDefault="00F721D4">
            <w:pPr>
              <w:rPr>
                <w:sz w:val="20"/>
                <w:szCs w:val="20"/>
              </w:rPr>
            </w:pPr>
            <w:r>
              <w:rPr>
                <w:sz w:val="20"/>
                <w:szCs w:val="20"/>
              </w:rPr>
              <w:t xml:space="preserve">10 serum samples of patients with Lyme neuroborreliosis were taken from the CDC Lyme Serum Repository. </w:t>
            </w:r>
            <w:r>
              <w:t xml:space="preserve"> </w:t>
            </w:r>
            <w:r>
              <w:rPr>
                <w:sz w:val="20"/>
                <w:szCs w:val="20"/>
              </w:rPr>
              <w:t xml:space="preserve">Only two Lyme neuroborreliosis patients had duration of illness of ≥30 days when the serum samples were collected. The LD samples were not tested for co-infections. </w:t>
            </w:r>
          </w:p>
          <w:p w14:paraId="640855DE" w14:textId="77777777" w:rsidR="002D58E4" w:rsidRDefault="00F721D4">
            <w:pPr>
              <w:rPr>
                <w:sz w:val="20"/>
                <w:szCs w:val="20"/>
              </w:rPr>
            </w:pPr>
            <w:r>
              <w:rPr>
                <w:sz w:val="20"/>
                <w:szCs w:val="20"/>
              </w:rPr>
              <w:t>Serum samples for control (n=347) were collected from patients with fibromyalgia (n=31), infectious mononucleosis (n=30), multiple sclerosis (n=22), rheumatoid arthritis (n=21), severe periodontitis (n=20) or syphilis (n=20) and from healthy donors from regions endemic (n=101) or non-endemic (n=102) for LD.</w:t>
            </w:r>
          </w:p>
        </w:tc>
        <w:tc>
          <w:tcPr>
            <w:tcW w:w="4052"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ED311B2" w14:textId="77777777" w:rsidR="002D58E4" w:rsidRDefault="00F721D4">
            <w:pPr>
              <w:spacing w:after="120"/>
              <w:rPr>
                <w:sz w:val="20"/>
                <w:szCs w:val="20"/>
              </w:rPr>
            </w:pPr>
            <w:r>
              <w:rPr>
                <w:sz w:val="20"/>
                <w:szCs w:val="20"/>
              </w:rPr>
              <w:t xml:space="preserve">Samples were subject to serologic testing using either the LIAISON </w:t>
            </w:r>
            <w:r>
              <w:rPr>
                <w:i/>
                <w:sz w:val="20"/>
                <w:szCs w:val="20"/>
              </w:rPr>
              <w:t xml:space="preserve">Borrelia burgdorferi </w:t>
            </w:r>
            <w:r>
              <w:rPr>
                <w:sz w:val="20"/>
                <w:szCs w:val="20"/>
              </w:rPr>
              <w:t xml:space="preserve">CLIA (Stillwater, MN) that detects IgM and IgG antibodies against VlsE, and the Captia </w:t>
            </w:r>
            <w:r>
              <w:rPr>
                <w:i/>
                <w:sz w:val="20"/>
                <w:szCs w:val="20"/>
              </w:rPr>
              <w:t>Borrelia burgdorferi</w:t>
            </w:r>
            <w:r>
              <w:rPr>
                <w:sz w:val="20"/>
                <w:szCs w:val="20"/>
              </w:rPr>
              <w:t xml:space="preserve"> IgG/IgM EIA (Trinity Biotech, Jamestown, NY) that detects IgM and IgG antibodies against whole cell lysate.</w:t>
            </w:r>
          </w:p>
          <w:p w14:paraId="725AB0A7" w14:textId="77777777" w:rsidR="002D58E4" w:rsidRDefault="00F721D4">
            <w:pPr>
              <w:spacing w:after="120"/>
              <w:rPr>
                <w:sz w:val="20"/>
                <w:szCs w:val="20"/>
                <w:u w:val="single"/>
              </w:rPr>
            </w:pPr>
            <w:r>
              <w:rPr>
                <w:sz w:val="20"/>
                <w:szCs w:val="20"/>
                <w:u w:val="single"/>
              </w:rPr>
              <w:t>First-Tier Tests:</w:t>
            </w:r>
          </w:p>
          <w:p w14:paraId="1C37F274" w14:textId="77777777" w:rsidR="002D58E4" w:rsidRDefault="00F721D4">
            <w:pPr>
              <w:numPr>
                <w:ilvl w:val="0"/>
                <w:numId w:val="24"/>
              </w:numPr>
              <w:spacing w:line="259" w:lineRule="auto"/>
              <w:rPr>
                <w:sz w:val="20"/>
                <w:szCs w:val="20"/>
              </w:rPr>
            </w:pPr>
            <w:r>
              <w:rPr>
                <w:sz w:val="20"/>
                <w:szCs w:val="20"/>
              </w:rPr>
              <w:t>VIsE: Sensitivity- 100%; Specificity- 98%</w:t>
            </w:r>
          </w:p>
          <w:p w14:paraId="295D0251" w14:textId="77777777" w:rsidR="002D58E4" w:rsidRDefault="00F721D4">
            <w:pPr>
              <w:numPr>
                <w:ilvl w:val="0"/>
                <w:numId w:val="24"/>
              </w:numPr>
              <w:spacing w:line="259" w:lineRule="auto"/>
              <w:rPr>
                <w:sz w:val="20"/>
                <w:szCs w:val="20"/>
              </w:rPr>
            </w:pPr>
            <w:r>
              <w:rPr>
                <w:sz w:val="20"/>
                <w:szCs w:val="20"/>
              </w:rPr>
              <w:t>C6: Sensitivity- 100%; Specificity- 95%</w:t>
            </w:r>
          </w:p>
          <w:p w14:paraId="702E9D69" w14:textId="77777777" w:rsidR="002D58E4" w:rsidRDefault="00F721D4">
            <w:pPr>
              <w:numPr>
                <w:ilvl w:val="0"/>
                <w:numId w:val="24"/>
              </w:numPr>
              <w:spacing w:line="259" w:lineRule="auto"/>
              <w:rPr>
                <w:b/>
                <w:sz w:val="20"/>
                <w:szCs w:val="20"/>
                <w:u w:val="single"/>
              </w:rPr>
            </w:pPr>
            <w:r>
              <w:rPr>
                <w:sz w:val="20"/>
                <w:szCs w:val="20"/>
              </w:rPr>
              <w:t>WCS (Whole Cell Sonicate): Sensitivity- 100%; Specificity- 56%</w:t>
            </w:r>
          </w:p>
          <w:p w14:paraId="4759C9FE" w14:textId="77777777" w:rsidR="002D58E4" w:rsidRDefault="00F721D4">
            <w:pPr>
              <w:spacing w:after="120"/>
              <w:rPr>
                <w:sz w:val="20"/>
                <w:szCs w:val="20"/>
                <w:u w:val="single"/>
              </w:rPr>
            </w:pPr>
            <w:r>
              <w:rPr>
                <w:sz w:val="20"/>
                <w:szCs w:val="20"/>
                <w:u w:val="single"/>
              </w:rPr>
              <w:t>Modified Two-Tiered Testing Algorithms (MTTT):</w:t>
            </w:r>
          </w:p>
          <w:p w14:paraId="5AA6F10F" w14:textId="77777777" w:rsidR="002D58E4" w:rsidRDefault="00F721D4">
            <w:pPr>
              <w:numPr>
                <w:ilvl w:val="0"/>
                <w:numId w:val="24"/>
              </w:numPr>
              <w:spacing w:line="259" w:lineRule="auto"/>
              <w:rPr>
                <w:sz w:val="20"/>
                <w:szCs w:val="20"/>
              </w:rPr>
            </w:pPr>
            <w:r>
              <w:rPr>
                <w:sz w:val="20"/>
                <w:szCs w:val="20"/>
              </w:rPr>
              <w:t>VIsE/C6: Sensitivity- 100%; Specificity- 100%</w:t>
            </w:r>
          </w:p>
          <w:p w14:paraId="517AB9D8" w14:textId="77777777" w:rsidR="002D58E4" w:rsidRDefault="00F721D4">
            <w:pPr>
              <w:numPr>
                <w:ilvl w:val="0"/>
                <w:numId w:val="24"/>
              </w:numPr>
              <w:spacing w:line="259" w:lineRule="auto"/>
              <w:rPr>
                <w:sz w:val="20"/>
                <w:szCs w:val="20"/>
              </w:rPr>
            </w:pPr>
            <w:r>
              <w:rPr>
                <w:sz w:val="20"/>
                <w:szCs w:val="20"/>
              </w:rPr>
              <w:t>WCS/C6: Sensitivity- 100%; Specificity- 97%</w:t>
            </w:r>
          </w:p>
          <w:p w14:paraId="6C3874CC" w14:textId="77777777" w:rsidR="002D58E4" w:rsidRDefault="00F721D4">
            <w:pPr>
              <w:numPr>
                <w:ilvl w:val="0"/>
                <w:numId w:val="24"/>
              </w:numPr>
              <w:spacing w:line="259" w:lineRule="auto"/>
              <w:rPr>
                <w:b/>
                <w:sz w:val="20"/>
                <w:szCs w:val="20"/>
                <w:u w:val="single"/>
              </w:rPr>
            </w:pPr>
            <w:r>
              <w:rPr>
                <w:sz w:val="20"/>
                <w:szCs w:val="20"/>
              </w:rPr>
              <w:t>WCS/VIsE: Sensitivity- 100%; Specificity- 98%</w:t>
            </w:r>
          </w:p>
          <w:p w14:paraId="4CE5B470" w14:textId="77777777" w:rsidR="002D58E4" w:rsidRDefault="00F721D4">
            <w:pPr>
              <w:spacing w:after="120"/>
              <w:rPr>
                <w:sz w:val="20"/>
                <w:szCs w:val="20"/>
                <w:u w:val="single"/>
              </w:rPr>
            </w:pPr>
            <w:r>
              <w:rPr>
                <w:sz w:val="20"/>
                <w:szCs w:val="20"/>
                <w:u w:val="single"/>
              </w:rPr>
              <w:t>Standardized Two-Tiered Testing Algorithms (STTT):</w:t>
            </w:r>
          </w:p>
          <w:p w14:paraId="2348101F" w14:textId="77777777" w:rsidR="002D58E4" w:rsidRDefault="00F721D4">
            <w:pPr>
              <w:numPr>
                <w:ilvl w:val="0"/>
                <w:numId w:val="24"/>
              </w:numPr>
              <w:spacing w:line="259" w:lineRule="auto"/>
              <w:rPr>
                <w:sz w:val="20"/>
                <w:szCs w:val="20"/>
              </w:rPr>
            </w:pPr>
            <w:r>
              <w:rPr>
                <w:sz w:val="20"/>
                <w:szCs w:val="20"/>
              </w:rPr>
              <w:t>VIsE/ViraStripe: Sensitivity- 90%; Specificity- 100%</w:t>
            </w:r>
          </w:p>
          <w:p w14:paraId="1E9F2A2A" w14:textId="77777777" w:rsidR="002D58E4" w:rsidRDefault="00F721D4">
            <w:pPr>
              <w:numPr>
                <w:ilvl w:val="0"/>
                <w:numId w:val="24"/>
              </w:numPr>
              <w:spacing w:line="259" w:lineRule="auto"/>
              <w:rPr>
                <w:sz w:val="20"/>
                <w:szCs w:val="20"/>
              </w:rPr>
            </w:pPr>
            <w:r>
              <w:rPr>
                <w:sz w:val="20"/>
                <w:szCs w:val="20"/>
              </w:rPr>
              <w:t>C6/ViraStripe: Sensitivity- 90%; Specificity- 99%</w:t>
            </w:r>
          </w:p>
          <w:p w14:paraId="5B2149E0" w14:textId="77777777" w:rsidR="002D58E4" w:rsidRDefault="00F721D4">
            <w:pPr>
              <w:numPr>
                <w:ilvl w:val="0"/>
                <w:numId w:val="23"/>
              </w:numPr>
              <w:spacing w:after="120" w:line="259" w:lineRule="auto"/>
              <w:rPr>
                <w:sz w:val="20"/>
                <w:szCs w:val="20"/>
              </w:rPr>
            </w:pPr>
            <w:r>
              <w:rPr>
                <w:sz w:val="20"/>
                <w:szCs w:val="20"/>
              </w:rPr>
              <w:t xml:space="preserve">WCS/ViraStripe: Sensitivity- 90%; Specificity- 92% </w:t>
            </w:r>
          </w:p>
        </w:tc>
        <w:tc>
          <w:tcPr>
            <w:tcW w:w="3807"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71BEE31" w14:textId="77777777" w:rsidR="002D58E4" w:rsidRDefault="00F721D4">
            <w:pPr>
              <w:rPr>
                <w:sz w:val="20"/>
                <w:szCs w:val="20"/>
              </w:rPr>
            </w:pPr>
            <w:r>
              <w:rPr>
                <w:sz w:val="20"/>
                <w:szCs w:val="20"/>
              </w:rPr>
              <w:t>“When MTTT algorithms were compared to STTT algorithms, the percent difference in proportion of samples correctly classified was always in favor of the former when all samples from patients with LD were considered. This was not the case when the results of MTTT and STTT algorithms were compared for other diseases and healthy controls. For these two groups, the use of an MTTT algorithm did not always result in significantly higher proportions of correctly classified samples when compared to the use of an STTT algorithm. Although the MTTT algorithms did not have an inferior performance as compared to the STTT algorithms, there was an overall trend for better specificity when the all MTTTs were compared to all</w:t>
            </w:r>
          </w:p>
          <w:p w14:paraId="758DA324" w14:textId="77777777" w:rsidR="002D58E4" w:rsidRDefault="00F721D4">
            <w:pPr>
              <w:rPr>
                <w:sz w:val="20"/>
                <w:szCs w:val="20"/>
              </w:rPr>
            </w:pPr>
            <w:r>
              <w:rPr>
                <w:sz w:val="20"/>
                <w:szCs w:val="20"/>
              </w:rPr>
              <w:t>STTTs. In particular, the STTT that incorporated WSC as the first tier test did not perform as well as the two MTTTs that used WSC.”</w:t>
            </w:r>
          </w:p>
        </w:tc>
      </w:tr>
      <w:tr w:rsidR="002D58E4" w14:paraId="5616739F"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5AC6F5A" w14:textId="77777777" w:rsidR="002D58E4" w:rsidRDefault="00F721D4">
            <w:pPr>
              <w:rPr>
                <w:sz w:val="20"/>
                <w:szCs w:val="20"/>
              </w:rPr>
            </w:pPr>
            <w:r>
              <w:rPr>
                <w:sz w:val="20"/>
                <w:szCs w:val="20"/>
              </w:rPr>
              <w:t>Molins, et al., 2017</w:t>
            </w:r>
          </w:p>
          <w:p w14:paraId="63389560" w14:textId="77777777" w:rsidR="002D58E4" w:rsidRDefault="002D58E4">
            <w:pPr>
              <w:rPr>
                <w:sz w:val="20"/>
                <w:szCs w:val="20"/>
              </w:rPr>
            </w:pPr>
          </w:p>
          <w:p w14:paraId="0CC7813C" w14:textId="77777777" w:rsidR="002D58E4" w:rsidRDefault="00F721D4">
            <w:pPr>
              <w:rPr>
                <w:sz w:val="20"/>
                <w:szCs w:val="20"/>
              </w:rPr>
            </w:pPr>
            <w:r>
              <w:rPr>
                <w:sz w:val="20"/>
                <w:szCs w:val="20"/>
              </w:rPr>
              <w:t>CDC Lyme Serum Repository</w:t>
            </w:r>
          </w:p>
        </w:tc>
        <w:tc>
          <w:tcPr>
            <w:tcW w:w="876" w:type="dxa"/>
            <w:tcBorders>
              <w:top w:val="single" w:sz="6" w:space="0" w:color="AEAEAE"/>
              <w:left w:val="single" w:sz="6" w:space="0" w:color="AEAEAE"/>
              <w:bottom w:val="single" w:sz="6" w:space="0" w:color="AEAEAE"/>
              <w:right w:val="single" w:sz="6" w:space="0" w:color="AEAEAE"/>
            </w:tcBorders>
            <w:vAlign w:val="center"/>
          </w:tcPr>
          <w:p w14:paraId="5CB589DA" w14:textId="77777777" w:rsidR="002D58E4" w:rsidRDefault="00F721D4">
            <w:pPr>
              <w:rPr>
                <w:sz w:val="20"/>
                <w:szCs w:val="20"/>
              </w:rPr>
            </w:pPr>
            <w:r>
              <w:rPr>
                <w:sz w:val="20"/>
                <w:szCs w:val="20"/>
              </w:rPr>
              <w:t>Retrospective study</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3B764CBB" w14:textId="77777777" w:rsidR="002D58E4" w:rsidRDefault="002D58E4">
            <w:pPr>
              <w:rPr>
                <w:sz w:val="20"/>
                <w:szCs w:val="20"/>
              </w:rPr>
            </w:pPr>
          </w:p>
        </w:tc>
        <w:tc>
          <w:tcPr>
            <w:tcW w:w="3985" w:type="dxa"/>
            <w:tcBorders>
              <w:top w:val="single" w:sz="6" w:space="0" w:color="AEAEAE"/>
              <w:left w:val="single" w:sz="6" w:space="0" w:color="AEAEAE"/>
              <w:bottom w:val="single" w:sz="6" w:space="0" w:color="AEAEAE"/>
              <w:right w:val="single" w:sz="6" w:space="0" w:color="AEAEAE"/>
            </w:tcBorders>
            <w:vAlign w:val="center"/>
          </w:tcPr>
          <w:p w14:paraId="446A8849" w14:textId="77777777" w:rsidR="002D58E4" w:rsidRDefault="00F721D4">
            <w:pPr>
              <w:rPr>
                <w:sz w:val="20"/>
                <w:szCs w:val="20"/>
              </w:rPr>
            </w:pPr>
            <w:r>
              <w:rPr>
                <w:sz w:val="20"/>
                <w:szCs w:val="20"/>
              </w:rPr>
              <w:t>Serum samples from 124 well-characterized patients with Lyme disease (LD) were analyzed: acute LD with erythema migrans (EM)- N=40, Convalescent LD with EM- N= 38, Lyme neuroborreliosis- N= 10, Lyme carditis- N= 7, Late Lyme disease, Lyme arthritis- N= 29.</w:t>
            </w:r>
          </w:p>
          <w:p w14:paraId="45FB3701" w14:textId="77777777" w:rsidR="002D58E4" w:rsidRDefault="00F721D4">
            <w:pPr>
              <w:rPr>
                <w:sz w:val="20"/>
                <w:szCs w:val="20"/>
              </w:rPr>
            </w:pPr>
            <w:r>
              <w:rPr>
                <w:sz w:val="20"/>
                <w:szCs w:val="20"/>
              </w:rPr>
              <w:t>347 negative controls were also analyzed. 144 control samples originated from patients with other diseases, and the rest of the samples came from healthy controls from endemic and non-endemic regions.</w:t>
            </w:r>
          </w:p>
          <w:p w14:paraId="5179FD13" w14:textId="77777777" w:rsidR="002D58E4" w:rsidRDefault="00F721D4">
            <w:pPr>
              <w:spacing w:after="120"/>
              <w:rPr>
                <w:sz w:val="20"/>
                <w:szCs w:val="20"/>
              </w:rPr>
            </w:pPr>
            <w:r>
              <w:rPr>
                <w:sz w:val="20"/>
                <w:szCs w:val="20"/>
              </w:rPr>
              <w:t xml:space="preserve">The IgM/IgG Vidas test (LYT) is the most commonly used first-tier EIA in the US. Recently launched dissociated first-tier tests, the Vidas Lyme IgM II (LYM) and IgG II (LYG) EIAs (use purified recombinant test antigens and a different algorithm than STTT) were evaluated against the combined LYT EIA. Standardized Two-Tiered Testing (STTT) was undertaken with Western Blotting as the second-tier test, and Modified Two-Tier Testing (MTTT) was undertaken, using the C6 EIA as the second-tier test. </w:t>
            </w:r>
            <w:r>
              <w:rPr>
                <w:b/>
                <w:i/>
                <w:sz w:val="20"/>
                <w:szCs w:val="20"/>
              </w:rPr>
              <w:t>**Results are shown for neuroborreliosis patients ONLY**</w:t>
            </w:r>
          </w:p>
          <w:p w14:paraId="4FEEA854" w14:textId="77777777" w:rsidR="002D58E4" w:rsidRDefault="002D58E4">
            <w:pPr>
              <w:rPr>
                <w:sz w:val="20"/>
                <w:szCs w:val="20"/>
              </w:rPr>
            </w:pPr>
          </w:p>
        </w:tc>
        <w:tc>
          <w:tcPr>
            <w:tcW w:w="4052"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1BC83F9" w14:textId="77777777" w:rsidR="002D58E4" w:rsidRDefault="00F721D4">
            <w:pPr>
              <w:spacing w:after="120"/>
              <w:rPr>
                <w:b/>
                <w:i/>
                <w:sz w:val="20"/>
                <w:szCs w:val="20"/>
              </w:rPr>
            </w:pPr>
            <w:r>
              <w:rPr>
                <w:b/>
                <w:i/>
                <w:sz w:val="20"/>
                <w:szCs w:val="20"/>
              </w:rPr>
              <w:t>**Sensitivity results are shown for neuroborreliosis patients ONLY**</w:t>
            </w:r>
          </w:p>
          <w:p w14:paraId="081F98B0" w14:textId="77777777" w:rsidR="002D58E4" w:rsidRDefault="00F721D4">
            <w:pPr>
              <w:spacing w:after="120"/>
              <w:rPr>
                <w:sz w:val="20"/>
                <w:szCs w:val="20"/>
                <w:u w:val="single"/>
              </w:rPr>
            </w:pPr>
            <w:r>
              <w:rPr>
                <w:sz w:val="20"/>
                <w:szCs w:val="20"/>
                <w:u w:val="single"/>
              </w:rPr>
              <w:t>First-Tier Tests:</w:t>
            </w:r>
          </w:p>
          <w:p w14:paraId="3F315860" w14:textId="77777777" w:rsidR="002D58E4" w:rsidRDefault="00F721D4">
            <w:pPr>
              <w:numPr>
                <w:ilvl w:val="0"/>
                <w:numId w:val="24"/>
              </w:numPr>
              <w:spacing w:line="259" w:lineRule="auto"/>
              <w:rPr>
                <w:sz w:val="20"/>
                <w:szCs w:val="20"/>
              </w:rPr>
            </w:pPr>
            <w:r>
              <w:rPr>
                <w:sz w:val="20"/>
                <w:szCs w:val="20"/>
              </w:rPr>
              <w:t>Vidas LYT: Sensitivity- 90%</w:t>
            </w:r>
          </w:p>
          <w:p w14:paraId="63183CCE" w14:textId="77777777" w:rsidR="002D58E4" w:rsidRDefault="00F721D4">
            <w:pPr>
              <w:numPr>
                <w:ilvl w:val="0"/>
                <w:numId w:val="24"/>
              </w:numPr>
              <w:spacing w:line="259" w:lineRule="auto"/>
              <w:rPr>
                <w:sz w:val="20"/>
                <w:szCs w:val="20"/>
              </w:rPr>
            </w:pPr>
            <w:r>
              <w:rPr>
                <w:sz w:val="20"/>
                <w:szCs w:val="20"/>
              </w:rPr>
              <w:t>Vidas LYM: Sensitivity- 100%</w:t>
            </w:r>
          </w:p>
          <w:p w14:paraId="33E19430" w14:textId="77777777" w:rsidR="002D58E4" w:rsidRDefault="00F721D4">
            <w:pPr>
              <w:numPr>
                <w:ilvl w:val="0"/>
                <w:numId w:val="24"/>
              </w:numPr>
              <w:spacing w:line="259" w:lineRule="auto"/>
              <w:rPr>
                <w:b/>
                <w:sz w:val="20"/>
                <w:szCs w:val="20"/>
                <w:u w:val="single"/>
              </w:rPr>
            </w:pPr>
            <w:r>
              <w:rPr>
                <w:sz w:val="20"/>
                <w:szCs w:val="20"/>
              </w:rPr>
              <w:t>Vidas LYG: Sensitivity- 90%</w:t>
            </w:r>
          </w:p>
          <w:p w14:paraId="6FFEB7BF" w14:textId="77777777" w:rsidR="002D58E4" w:rsidRDefault="00F721D4">
            <w:pPr>
              <w:spacing w:after="120"/>
              <w:rPr>
                <w:sz w:val="20"/>
                <w:szCs w:val="20"/>
                <w:u w:val="single"/>
              </w:rPr>
            </w:pPr>
            <w:r>
              <w:rPr>
                <w:sz w:val="20"/>
                <w:szCs w:val="20"/>
                <w:u w:val="single"/>
              </w:rPr>
              <w:t>Standardized Two-Tiered Testing Algorithms (STTT):</w:t>
            </w:r>
          </w:p>
          <w:p w14:paraId="19DC1113" w14:textId="77777777" w:rsidR="002D58E4" w:rsidRDefault="00F721D4">
            <w:pPr>
              <w:numPr>
                <w:ilvl w:val="0"/>
                <w:numId w:val="24"/>
              </w:numPr>
              <w:spacing w:line="259" w:lineRule="auto"/>
              <w:rPr>
                <w:sz w:val="20"/>
                <w:szCs w:val="20"/>
              </w:rPr>
            </w:pPr>
            <w:r>
              <w:rPr>
                <w:sz w:val="20"/>
                <w:szCs w:val="20"/>
              </w:rPr>
              <w:t>LYT-ViraStripe: Sensitivity- 80%</w:t>
            </w:r>
          </w:p>
          <w:p w14:paraId="2A87D4F4" w14:textId="77777777" w:rsidR="002D58E4" w:rsidRDefault="00F721D4">
            <w:pPr>
              <w:numPr>
                <w:ilvl w:val="0"/>
                <w:numId w:val="24"/>
              </w:numPr>
              <w:spacing w:line="259" w:lineRule="auto"/>
              <w:rPr>
                <w:sz w:val="20"/>
                <w:szCs w:val="20"/>
              </w:rPr>
            </w:pPr>
            <w:r>
              <w:rPr>
                <w:sz w:val="20"/>
                <w:szCs w:val="20"/>
              </w:rPr>
              <w:t>LYM/LYG-ViraStripe: Sensitivity- 90%</w:t>
            </w:r>
          </w:p>
          <w:p w14:paraId="38016052" w14:textId="77777777" w:rsidR="002D58E4" w:rsidRDefault="00F721D4">
            <w:pPr>
              <w:numPr>
                <w:ilvl w:val="0"/>
                <w:numId w:val="24"/>
              </w:numPr>
              <w:spacing w:line="259" w:lineRule="auto"/>
              <w:rPr>
                <w:b/>
                <w:sz w:val="20"/>
                <w:szCs w:val="20"/>
                <w:u w:val="single"/>
              </w:rPr>
            </w:pPr>
            <w:r>
              <w:rPr>
                <w:sz w:val="20"/>
                <w:szCs w:val="20"/>
              </w:rPr>
              <w:t>C6-ViraStripe: Sensitivity- 90%</w:t>
            </w:r>
          </w:p>
          <w:p w14:paraId="27D8EECD" w14:textId="77777777" w:rsidR="002D58E4" w:rsidRDefault="00F721D4">
            <w:pPr>
              <w:spacing w:after="120"/>
              <w:rPr>
                <w:sz w:val="20"/>
                <w:szCs w:val="20"/>
                <w:u w:val="single"/>
              </w:rPr>
            </w:pPr>
            <w:r>
              <w:rPr>
                <w:sz w:val="20"/>
                <w:szCs w:val="20"/>
                <w:u w:val="single"/>
              </w:rPr>
              <w:t>Modified Two-Tiered Testing Algorithms (MTTT):</w:t>
            </w:r>
          </w:p>
          <w:p w14:paraId="484DED1D" w14:textId="77777777" w:rsidR="002D58E4" w:rsidRDefault="00F721D4">
            <w:pPr>
              <w:numPr>
                <w:ilvl w:val="0"/>
                <w:numId w:val="24"/>
              </w:numPr>
              <w:spacing w:line="259" w:lineRule="auto"/>
              <w:rPr>
                <w:sz w:val="20"/>
                <w:szCs w:val="20"/>
              </w:rPr>
            </w:pPr>
            <w:r>
              <w:rPr>
                <w:sz w:val="20"/>
                <w:szCs w:val="20"/>
              </w:rPr>
              <w:t>LYT-C6: Sensitivity- 90%</w:t>
            </w:r>
          </w:p>
          <w:p w14:paraId="708E45AD" w14:textId="77777777" w:rsidR="002D58E4" w:rsidRDefault="00F721D4">
            <w:pPr>
              <w:numPr>
                <w:ilvl w:val="0"/>
                <w:numId w:val="24"/>
              </w:numPr>
              <w:spacing w:line="259" w:lineRule="auto"/>
              <w:rPr>
                <w:sz w:val="20"/>
                <w:szCs w:val="20"/>
              </w:rPr>
            </w:pPr>
            <w:r>
              <w:rPr>
                <w:sz w:val="20"/>
                <w:szCs w:val="20"/>
              </w:rPr>
              <w:t>LYM/LYG-C6: Sensitivity- 100%</w:t>
            </w:r>
          </w:p>
          <w:p w14:paraId="1D13FD61" w14:textId="77777777" w:rsidR="002D58E4" w:rsidRDefault="00F721D4">
            <w:pPr>
              <w:spacing w:after="120"/>
              <w:rPr>
                <w:sz w:val="20"/>
                <w:szCs w:val="20"/>
                <w:u w:val="single"/>
              </w:rPr>
            </w:pPr>
            <w:r>
              <w:rPr>
                <w:sz w:val="20"/>
                <w:szCs w:val="20"/>
                <w:u w:val="single"/>
              </w:rPr>
              <w:t>Specificity:</w:t>
            </w:r>
          </w:p>
          <w:p w14:paraId="22EC2BB6" w14:textId="77777777" w:rsidR="002D58E4" w:rsidRDefault="00F721D4">
            <w:pPr>
              <w:numPr>
                <w:ilvl w:val="0"/>
                <w:numId w:val="25"/>
              </w:numPr>
              <w:spacing w:line="259" w:lineRule="auto"/>
              <w:rPr>
                <w:sz w:val="20"/>
                <w:szCs w:val="20"/>
              </w:rPr>
            </w:pPr>
            <w:r>
              <w:rPr>
                <w:sz w:val="20"/>
                <w:szCs w:val="20"/>
              </w:rPr>
              <w:t xml:space="preserve">First-Tier Tests: “When all negative controls were tested, the specificities of the two EIA strategies were the same (85% specificity) when duration of illness was not considered for LYM testing in patients with other diseases.” </w:t>
            </w:r>
          </w:p>
          <w:p w14:paraId="5955A4CE" w14:textId="77777777" w:rsidR="002D58E4" w:rsidRDefault="00F721D4">
            <w:pPr>
              <w:numPr>
                <w:ilvl w:val="0"/>
                <w:numId w:val="25"/>
              </w:numPr>
              <w:spacing w:line="259" w:lineRule="auto"/>
              <w:rPr>
                <w:sz w:val="20"/>
                <w:szCs w:val="20"/>
              </w:rPr>
            </w:pPr>
            <w:r>
              <w:rPr>
                <w:sz w:val="20"/>
                <w:szCs w:val="20"/>
              </w:rPr>
              <w:t>STTT: “The overall specificity was slightly lower when using the combined LYT EIA (97% specificity) or the dissociated LYM/LYG assays (97% specificity) than with the C6 EIA (99% specificity).”</w:t>
            </w:r>
          </w:p>
          <w:p w14:paraId="45A05BCF" w14:textId="77777777" w:rsidR="002D58E4" w:rsidRDefault="00F721D4">
            <w:pPr>
              <w:numPr>
                <w:ilvl w:val="0"/>
                <w:numId w:val="25"/>
              </w:numPr>
              <w:spacing w:after="120" w:line="259" w:lineRule="auto"/>
              <w:rPr>
                <w:sz w:val="20"/>
                <w:szCs w:val="20"/>
              </w:rPr>
            </w:pPr>
            <w:r>
              <w:rPr>
                <w:sz w:val="20"/>
                <w:szCs w:val="20"/>
              </w:rPr>
              <w:t xml:space="preserve">MTTT: </w:t>
            </w:r>
            <w:r>
              <w:t>“</w:t>
            </w:r>
            <w:r>
              <w:rPr>
                <w:sz w:val="20"/>
                <w:szCs w:val="20"/>
              </w:rPr>
              <w:t>The overall specificity for both algorithms was 98 to 99%, and this was similar to the specificities obtained when immunoblot assays were used as the second-tier test (specificities of 97 to 99%).”</w:t>
            </w:r>
          </w:p>
        </w:tc>
        <w:tc>
          <w:tcPr>
            <w:tcW w:w="3807"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3EF0066" w14:textId="77777777" w:rsidR="002D58E4" w:rsidRDefault="00F721D4">
            <w:pPr>
              <w:rPr>
                <w:sz w:val="20"/>
                <w:szCs w:val="20"/>
              </w:rPr>
            </w:pPr>
            <w:r>
              <w:rPr>
                <w:sz w:val="20"/>
                <w:szCs w:val="20"/>
              </w:rPr>
              <w:t>“The difference between the proportion of samples called positive by the combined LYM/LYG EIAs and that by the LYT EIA was calculated to be 3.4% (95% Confidence interval [CI] of -7.6% to 0.8%) with a P value of 0.12, indicating that the numbers of samples called positive are similar between the two EIA approaches regardless of whether the samples were true positives or controls. The percent agreement between LYM/LYG and LYT for all samples was 80% (95% CI of 77% to 83%), and the percentages of disagreement for each possible result were similar at 8% and 10%, respectively. The percent agreement for Lyme disease patient samples ranged from 70% to 100%, with the lowest percentage resulting when samples from early Lyme disease patients with EM were tested.”</w:t>
            </w:r>
          </w:p>
          <w:p w14:paraId="72EF079E" w14:textId="77777777" w:rsidR="002D58E4" w:rsidRDefault="002D58E4">
            <w:pPr>
              <w:rPr>
                <w:sz w:val="20"/>
                <w:szCs w:val="20"/>
              </w:rPr>
            </w:pPr>
          </w:p>
          <w:p w14:paraId="57042BF0" w14:textId="77777777" w:rsidR="002D58E4" w:rsidRDefault="00F721D4">
            <w:pPr>
              <w:rPr>
                <w:sz w:val="20"/>
                <w:szCs w:val="20"/>
              </w:rPr>
            </w:pPr>
            <w:r>
              <w:rPr>
                <w:sz w:val="20"/>
                <w:szCs w:val="20"/>
              </w:rPr>
              <w:t>“Overall, the dissociated LYM/LYG EIAs performed, with minor exceptions, equivalently to the LYT in test-to-test comparisons or as first-tier assays in STTT or MTTT. An advantage to users who already have the Vidas instrument in their laboratories is that these first-tier EIA approaches use the same automated platform. To the extent that they may reduce the number of Western immunoblots required, this approach will remove technical time and complexity associated with immunoblotting.”</w:t>
            </w:r>
          </w:p>
        </w:tc>
      </w:tr>
      <w:tr w:rsidR="002D58E4" w14:paraId="4C725897"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65E8802" w14:textId="77777777" w:rsidR="002D58E4" w:rsidRDefault="00F721D4">
            <w:pPr>
              <w:rPr>
                <w:sz w:val="20"/>
                <w:szCs w:val="20"/>
              </w:rPr>
            </w:pPr>
            <w:r>
              <w:rPr>
                <w:sz w:val="20"/>
                <w:szCs w:val="20"/>
              </w:rPr>
              <w:t>van Gorkom, et al., 2017</w:t>
            </w:r>
          </w:p>
          <w:p w14:paraId="6394881F" w14:textId="77777777" w:rsidR="002D58E4" w:rsidRDefault="002D58E4">
            <w:pPr>
              <w:rPr>
                <w:sz w:val="20"/>
                <w:szCs w:val="20"/>
              </w:rPr>
            </w:pPr>
          </w:p>
          <w:p w14:paraId="5436ED78" w14:textId="77777777" w:rsidR="002D58E4" w:rsidRDefault="00F721D4">
            <w:pPr>
              <w:rPr>
                <w:sz w:val="20"/>
                <w:szCs w:val="20"/>
              </w:rPr>
            </w:pPr>
            <w:r>
              <w:rPr>
                <w:sz w:val="20"/>
                <w:szCs w:val="20"/>
              </w:rPr>
              <w:t>The Netherlands</w:t>
            </w:r>
          </w:p>
        </w:tc>
        <w:tc>
          <w:tcPr>
            <w:tcW w:w="876" w:type="dxa"/>
            <w:tcBorders>
              <w:top w:val="single" w:sz="6" w:space="0" w:color="AEAEAE"/>
              <w:left w:val="single" w:sz="6" w:space="0" w:color="AEAEAE"/>
              <w:bottom w:val="single" w:sz="6" w:space="0" w:color="AEAEAE"/>
              <w:right w:val="single" w:sz="6" w:space="0" w:color="AEAEAE"/>
            </w:tcBorders>
            <w:vAlign w:val="center"/>
          </w:tcPr>
          <w:p w14:paraId="5A40F720" w14:textId="77777777" w:rsidR="002D58E4" w:rsidRDefault="00F721D4">
            <w:pPr>
              <w:rPr>
                <w:sz w:val="20"/>
                <w:szCs w:val="20"/>
              </w:rPr>
            </w:pPr>
            <w:r>
              <w:rPr>
                <w:sz w:val="20"/>
                <w:szCs w:val="20"/>
              </w:rPr>
              <w:t>Retrospective study</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09555AFF" w14:textId="77777777" w:rsidR="002D58E4" w:rsidRDefault="002D58E4">
            <w:pPr>
              <w:rPr>
                <w:sz w:val="20"/>
                <w:szCs w:val="20"/>
              </w:rPr>
            </w:pPr>
          </w:p>
        </w:tc>
        <w:tc>
          <w:tcPr>
            <w:tcW w:w="3985" w:type="dxa"/>
            <w:tcBorders>
              <w:top w:val="single" w:sz="6" w:space="0" w:color="AEAEAE"/>
              <w:left w:val="single" w:sz="6" w:space="0" w:color="AEAEAE"/>
              <w:bottom w:val="single" w:sz="6" w:space="0" w:color="AEAEAE"/>
              <w:right w:val="single" w:sz="6" w:space="0" w:color="AEAEAE"/>
            </w:tcBorders>
            <w:vAlign w:val="center"/>
          </w:tcPr>
          <w:p w14:paraId="2A90B058" w14:textId="77777777" w:rsidR="002D58E4" w:rsidRDefault="00F721D4">
            <w:pPr>
              <w:rPr>
                <w:sz w:val="20"/>
                <w:szCs w:val="20"/>
              </w:rPr>
            </w:pPr>
            <w:r>
              <w:rPr>
                <w:sz w:val="20"/>
                <w:szCs w:val="20"/>
              </w:rPr>
              <w:t>Patients were classified into four groups: Active LNB patients (n= 27; median age 57.8 years; 51.9% male), Treated LNB patients (n= 36; median age 59.1 years; 52.8% male), Treated healthy individuals (n= 27; median age 53.1 years; 44.4% male), and Healthy individuals (n= 147; median age 40.9 years; 38.8% male). 4/27 (25%) active LNB patients reported having had an EM and 9/27 (56.3%) recalled a tick bite. 9/36 (25%) treated LNB patients reported having had an EM and 27/36 (75%) recalled a tick bite. 22/27 (81.5%) treated healthy individuals reported having had an EM, 4/27 (14.8%) reported a diffuse redness after a tick bite, and 1/27 (3.7%) had flu-like symptoms after a tick bite. 4/147 (2.7%) healthy individuals reported having had an EM and 86/147 (58.5%) recalled a tick bite. The 147 healthy individuals were significantly younger than the other three groups (p ≤ 0.001).</w:t>
            </w:r>
          </w:p>
        </w:tc>
        <w:tc>
          <w:tcPr>
            <w:tcW w:w="4052"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BC9F34B" w14:textId="77777777" w:rsidR="002D58E4" w:rsidRDefault="00F721D4">
            <w:pPr>
              <w:spacing w:after="120"/>
              <w:rPr>
                <w:sz w:val="20"/>
                <w:szCs w:val="20"/>
              </w:rPr>
            </w:pPr>
            <w:r>
              <w:rPr>
                <w:sz w:val="20"/>
                <w:szCs w:val="20"/>
              </w:rPr>
              <w:t xml:space="preserve">Serum samples of all study subjects were tested in two ELISAs (C6 ELISA and SERION ELISA) and one immunoblot (RecomLine IgM/IgG Immunoblot). Three different strategies were used: STTT (C6 ELISA </w:t>
            </w:r>
            <w:r>
              <w:rPr>
                <w:rFonts w:ascii="Wingdings" w:eastAsia="Wingdings" w:hAnsi="Wingdings" w:cs="Wingdings"/>
                <w:sz w:val="20"/>
                <w:szCs w:val="20"/>
              </w:rPr>
              <w:t>🡪</w:t>
            </w:r>
            <w:r>
              <w:rPr>
                <w:sz w:val="20"/>
                <w:szCs w:val="20"/>
              </w:rPr>
              <w:t xml:space="preserve"> Immunoblot), STTT (SERION ELISA </w:t>
            </w:r>
            <w:r>
              <w:rPr>
                <w:rFonts w:ascii="Wingdings" w:eastAsia="Wingdings" w:hAnsi="Wingdings" w:cs="Wingdings"/>
                <w:sz w:val="20"/>
                <w:szCs w:val="20"/>
              </w:rPr>
              <w:t>🡪</w:t>
            </w:r>
            <w:r>
              <w:rPr>
                <w:sz w:val="20"/>
                <w:szCs w:val="20"/>
              </w:rPr>
              <w:t xml:space="preserve"> Immunoblot), and MTTT (C6 ELISA+SERION ELISA </w:t>
            </w:r>
            <w:r>
              <w:rPr>
                <w:rFonts w:ascii="Wingdings" w:eastAsia="Wingdings" w:hAnsi="Wingdings" w:cs="Wingdings"/>
                <w:sz w:val="20"/>
                <w:szCs w:val="20"/>
              </w:rPr>
              <w:t>🡪</w:t>
            </w:r>
            <w:r>
              <w:rPr>
                <w:sz w:val="20"/>
                <w:szCs w:val="20"/>
              </w:rPr>
              <w:t xml:space="preserve"> Immunoblot).</w:t>
            </w:r>
          </w:p>
          <w:p w14:paraId="5D87371F" w14:textId="77777777" w:rsidR="002D58E4" w:rsidRDefault="002D58E4">
            <w:pPr>
              <w:spacing w:after="120"/>
              <w:rPr>
                <w:sz w:val="20"/>
                <w:szCs w:val="20"/>
              </w:rPr>
            </w:pPr>
          </w:p>
          <w:p w14:paraId="275A86EA" w14:textId="77777777" w:rsidR="002D58E4" w:rsidRDefault="00F721D4">
            <w:pPr>
              <w:spacing w:after="120"/>
              <w:rPr>
                <w:sz w:val="20"/>
                <w:szCs w:val="20"/>
              </w:rPr>
            </w:pPr>
            <w:r>
              <w:rPr>
                <w:sz w:val="20"/>
                <w:szCs w:val="20"/>
              </w:rPr>
              <w:t>High concordances between the results of the test strategies were found for healthy individuals and active Lyme neuroborreliosis patients groups (range 98.6–100%); however, low concordances were observed for Lyme neuroborreliosis patients and healthy individuals who had been treated for Lyme borreliosis in the past (range 77.8–88.9%).</w:t>
            </w:r>
          </w:p>
        </w:tc>
        <w:tc>
          <w:tcPr>
            <w:tcW w:w="3807"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6F69300" w14:textId="77777777" w:rsidR="002D58E4" w:rsidRDefault="00F721D4">
            <w:pPr>
              <w:rPr>
                <w:sz w:val="20"/>
                <w:szCs w:val="20"/>
              </w:rPr>
            </w:pPr>
            <w:r>
              <w:rPr>
                <w:sz w:val="20"/>
                <w:szCs w:val="20"/>
              </w:rPr>
              <w:t>Discordant test results represent variability in the amount and type of antibodies, which may be influenced by antibiotic treatment and/or the natural course of clearance of infection.</w:t>
            </w:r>
            <w:r>
              <w:t xml:space="preserve"> </w:t>
            </w:r>
            <w:r>
              <w:rPr>
                <w:sz w:val="20"/>
                <w:szCs w:val="20"/>
              </w:rPr>
              <w:t>Of the investigated factors affecting the natural clearance of the infection, only age contributed to discordant ELISA or test strategy results within both treated groups. Older age was associated with an increase of discordant ELISA results among treated LNB patients and with a decrease of discordant test strategy results among treated healthy individuals</w:t>
            </w:r>
          </w:p>
        </w:tc>
      </w:tr>
      <w:tr w:rsidR="002D58E4" w14:paraId="66492EF7"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9BD80C8" w14:textId="77777777" w:rsidR="002D58E4" w:rsidRDefault="00F721D4">
            <w:pPr>
              <w:rPr>
                <w:sz w:val="20"/>
                <w:szCs w:val="20"/>
              </w:rPr>
            </w:pPr>
            <w:r>
              <w:rPr>
                <w:sz w:val="20"/>
                <w:szCs w:val="20"/>
              </w:rPr>
              <w:t>van Gorkom, et al., 2018</w:t>
            </w:r>
          </w:p>
          <w:p w14:paraId="56025006" w14:textId="77777777" w:rsidR="002D58E4" w:rsidRDefault="002D58E4">
            <w:pPr>
              <w:rPr>
                <w:sz w:val="20"/>
                <w:szCs w:val="20"/>
              </w:rPr>
            </w:pPr>
          </w:p>
          <w:p w14:paraId="31C4C814" w14:textId="77777777" w:rsidR="002D58E4" w:rsidRDefault="00F721D4">
            <w:pPr>
              <w:rPr>
                <w:sz w:val="20"/>
                <w:szCs w:val="20"/>
              </w:rPr>
            </w:pPr>
            <w:r>
              <w:rPr>
                <w:sz w:val="20"/>
                <w:szCs w:val="20"/>
              </w:rPr>
              <w:t>The Netherlands</w:t>
            </w:r>
          </w:p>
        </w:tc>
        <w:tc>
          <w:tcPr>
            <w:tcW w:w="876" w:type="dxa"/>
            <w:tcBorders>
              <w:top w:val="single" w:sz="6" w:space="0" w:color="AEAEAE"/>
              <w:left w:val="single" w:sz="6" w:space="0" w:color="AEAEAE"/>
              <w:bottom w:val="single" w:sz="6" w:space="0" w:color="AEAEAE"/>
              <w:right w:val="single" w:sz="6" w:space="0" w:color="AEAEAE"/>
            </w:tcBorders>
            <w:vAlign w:val="center"/>
          </w:tcPr>
          <w:p w14:paraId="653C6F32" w14:textId="77777777" w:rsidR="002D58E4" w:rsidRDefault="00F721D4">
            <w:pPr>
              <w:rPr>
                <w:sz w:val="20"/>
                <w:szCs w:val="20"/>
              </w:rPr>
            </w:pPr>
            <w:r>
              <w:rPr>
                <w:sz w:val="20"/>
                <w:szCs w:val="20"/>
              </w:rPr>
              <w:t>Retrospective study</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5A82B963" w14:textId="77777777" w:rsidR="002D58E4" w:rsidRDefault="002D58E4">
            <w:pPr>
              <w:rPr>
                <w:sz w:val="20"/>
                <w:szCs w:val="20"/>
              </w:rPr>
            </w:pPr>
          </w:p>
        </w:tc>
        <w:tc>
          <w:tcPr>
            <w:tcW w:w="3985" w:type="dxa"/>
            <w:tcBorders>
              <w:top w:val="single" w:sz="6" w:space="0" w:color="AEAEAE"/>
              <w:left w:val="single" w:sz="6" w:space="0" w:color="AEAEAE"/>
              <w:bottom w:val="single" w:sz="6" w:space="0" w:color="AEAEAE"/>
              <w:right w:val="single" w:sz="6" w:space="0" w:color="AEAEAE"/>
            </w:tcBorders>
            <w:vAlign w:val="center"/>
          </w:tcPr>
          <w:p w14:paraId="640EFE34" w14:textId="77777777" w:rsidR="002D58E4" w:rsidRDefault="00F721D4">
            <w:pPr>
              <w:rPr>
                <w:sz w:val="20"/>
                <w:szCs w:val="20"/>
              </w:rPr>
            </w:pPr>
            <w:r>
              <w:rPr>
                <w:sz w:val="20"/>
                <w:szCs w:val="20"/>
              </w:rPr>
              <w:t>Whole-blood and serum samples were obtained from hospital patients diagnosed with active LNB, hospital patients previously treated for LNB, and healthy individuals (all 18 years old).</w:t>
            </w:r>
            <w:r>
              <w:t xml:space="preserve"> </w:t>
            </w:r>
            <w:r>
              <w:rPr>
                <w:sz w:val="20"/>
                <w:szCs w:val="20"/>
              </w:rPr>
              <w:t>33 active Lyme neuroborreliosis patients were included; their median age was 56.7 years. They were included before, during, or shortly after antibiotic treatment started (median, 7.0 days after the start of antibiotic therapy). Antibiotic therapy consisted of intravenous ceftriaxone for 14 or 30 days. Two patients switched to doxycycline because of an adverse reaction to ceftriaxone. One patient was given doxycycline from the start (21 days). The clinical symptoms among active Lyme neuroborreliosis patients mostly consisted of radicular disease (15/33 [45.5%]) and/or cranial nerve paresis (15/33 [45.5%]).</w:t>
            </w:r>
          </w:p>
        </w:tc>
        <w:tc>
          <w:tcPr>
            <w:tcW w:w="4052"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E3AF8AB" w14:textId="77777777" w:rsidR="002D58E4" w:rsidRDefault="00F721D4">
            <w:pPr>
              <w:spacing w:after="120"/>
              <w:rPr>
                <w:sz w:val="20"/>
                <w:szCs w:val="20"/>
              </w:rPr>
            </w:pPr>
            <w:r>
              <w:rPr>
                <w:sz w:val="20"/>
                <w:szCs w:val="20"/>
              </w:rPr>
              <w:t>Borrelia-specific serum antibodies were detected using a two-tier serology protocol. The first test used was the C6 enzyme-linked immunosorbent assay (ELISA), which was confirmed by using the recomLine IgM/IgG immunoblot tests. Detection of intrathecally produced Borrelia-specific antibodies was done using the IDEIA test. Antibody index (AI) scores of 0.3 were considered positive. The Borrelia ELISpot assay was performed on peripheral blood isolated from all study participants.</w:t>
            </w:r>
          </w:p>
          <w:p w14:paraId="2762818D" w14:textId="77777777" w:rsidR="002D58E4" w:rsidRDefault="00F721D4">
            <w:pPr>
              <w:spacing w:after="120"/>
              <w:rPr>
                <w:sz w:val="20"/>
                <w:szCs w:val="20"/>
              </w:rPr>
            </w:pPr>
            <w:r>
              <w:rPr>
                <w:sz w:val="20"/>
                <w:szCs w:val="20"/>
              </w:rPr>
              <w:t xml:space="preserve">Most of the active LNB patients were seropositive (30/33 [90.9%]). 6/36 (16.7%) assessable treated LNB patients had a positive result. Of 173 healthy individuals, 23 (13.3%) had </w:t>
            </w:r>
            <w:r>
              <w:rPr>
                <w:i/>
                <w:sz w:val="20"/>
                <w:szCs w:val="20"/>
              </w:rPr>
              <w:t>Borrelia</w:t>
            </w:r>
            <w:r>
              <w:rPr>
                <w:sz w:val="20"/>
                <w:szCs w:val="20"/>
              </w:rPr>
              <w:t xml:space="preserve">-specific antibodies. </w:t>
            </w:r>
          </w:p>
        </w:tc>
        <w:tc>
          <w:tcPr>
            <w:tcW w:w="3807"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910D85D" w14:textId="77777777" w:rsidR="002D58E4" w:rsidRDefault="00F721D4">
            <w:pPr>
              <w:rPr>
                <w:sz w:val="20"/>
                <w:szCs w:val="20"/>
              </w:rPr>
            </w:pPr>
            <w:r>
              <w:rPr>
                <w:sz w:val="20"/>
                <w:szCs w:val="20"/>
              </w:rPr>
              <w:t>Positive Borrelia ELISpot assay results are, in general, associated with exposure and/or (past) infection with B. burgdorferi sensu lato. The diagnostic performance of the Borrelia ELISpot assay for the detection of active disease was determined by calculation of the ROC curve, which resulted in an AUC of 0.591, suggesting that this assay is unsuitable for the diagnosis of active Lyme neuroborreliosis.</w:t>
            </w:r>
          </w:p>
        </w:tc>
      </w:tr>
      <w:tr w:rsidR="002D58E4" w14:paraId="27BD57F0"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09BA900" w14:textId="77777777" w:rsidR="002D58E4" w:rsidRDefault="00F721D4">
            <w:pPr>
              <w:rPr>
                <w:sz w:val="20"/>
                <w:szCs w:val="20"/>
              </w:rPr>
            </w:pPr>
            <w:r>
              <w:rPr>
                <w:sz w:val="20"/>
                <w:szCs w:val="20"/>
              </w:rPr>
              <w:t>Dersch, et al., 2019</w:t>
            </w:r>
          </w:p>
          <w:p w14:paraId="0EAF34BA" w14:textId="77777777" w:rsidR="002D58E4" w:rsidRDefault="002D58E4">
            <w:pPr>
              <w:rPr>
                <w:sz w:val="20"/>
                <w:szCs w:val="20"/>
              </w:rPr>
            </w:pPr>
          </w:p>
          <w:p w14:paraId="7286813C" w14:textId="77777777" w:rsidR="002D58E4" w:rsidRDefault="00F721D4">
            <w:pPr>
              <w:rPr>
                <w:sz w:val="20"/>
                <w:szCs w:val="20"/>
              </w:rPr>
            </w:pPr>
            <w:r>
              <w:rPr>
                <w:sz w:val="20"/>
                <w:szCs w:val="20"/>
              </w:rPr>
              <w:t>Freiburg, Germany</w:t>
            </w:r>
          </w:p>
        </w:tc>
        <w:tc>
          <w:tcPr>
            <w:tcW w:w="876" w:type="dxa"/>
            <w:tcBorders>
              <w:top w:val="single" w:sz="6" w:space="0" w:color="AEAEAE"/>
              <w:left w:val="single" w:sz="6" w:space="0" w:color="AEAEAE"/>
              <w:bottom w:val="single" w:sz="6" w:space="0" w:color="AEAEAE"/>
              <w:right w:val="single" w:sz="6" w:space="0" w:color="AEAEAE"/>
            </w:tcBorders>
            <w:vAlign w:val="center"/>
          </w:tcPr>
          <w:p w14:paraId="2D18C772" w14:textId="77777777" w:rsidR="002D58E4" w:rsidRDefault="00F721D4">
            <w:pPr>
              <w:rPr>
                <w:sz w:val="20"/>
                <w:szCs w:val="20"/>
              </w:rPr>
            </w:pPr>
            <w:r>
              <w:rPr>
                <w:sz w:val="20"/>
                <w:szCs w:val="20"/>
              </w:rPr>
              <w:t>Retrospective study</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2AA82294" w14:textId="77777777" w:rsidR="002D58E4" w:rsidRDefault="002D58E4">
            <w:pPr>
              <w:rPr>
                <w:sz w:val="20"/>
                <w:szCs w:val="20"/>
              </w:rPr>
            </w:pPr>
          </w:p>
        </w:tc>
        <w:tc>
          <w:tcPr>
            <w:tcW w:w="3985" w:type="dxa"/>
            <w:tcBorders>
              <w:top w:val="single" w:sz="6" w:space="0" w:color="AEAEAE"/>
              <w:left w:val="single" w:sz="6" w:space="0" w:color="AEAEAE"/>
              <w:bottom w:val="single" w:sz="6" w:space="0" w:color="AEAEAE"/>
              <w:right w:val="single" w:sz="6" w:space="0" w:color="AEAEAE"/>
            </w:tcBorders>
            <w:vAlign w:val="center"/>
          </w:tcPr>
          <w:p w14:paraId="0F434A28" w14:textId="77777777" w:rsidR="002D58E4" w:rsidRDefault="00F721D4">
            <w:pPr>
              <w:rPr>
                <w:sz w:val="20"/>
                <w:szCs w:val="20"/>
              </w:rPr>
            </w:pPr>
            <w:r>
              <w:rPr>
                <w:sz w:val="20"/>
                <w:szCs w:val="20"/>
              </w:rPr>
              <w:t xml:space="preserve">A total of 43 patients with definite LNB who were treated with antibiotics and 40 healthy controls were included. For definite LNB, patients were required to have compatible neurological symptoms, CSF pleocytosis, antibodies against </w:t>
            </w:r>
            <w:r>
              <w:rPr>
                <w:i/>
                <w:sz w:val="20"/>
                <w:szCs w:val="20"/>
              </w:rPr>
              <w:t>Borrelia burgdorferi</w:t>
            </w:r>
            <w:r>
              <w:rPr>
                <w:sz w:val="20"/>
                <w:szCs w:val="20"/>
              </w:rPr>
              <w:t xml:space="preserve"> in serum and CSF, and evidence of a </w:t>
            </w:r>
            <w:r>
              <w:rPr>
                <w:i/>
                <w:sz w:val="20"/>
                <w:szCs w:val="20"/>
              </w:rPr>
              <w:t>Borrelia</w:t>
            </w:r>
            <w:r>
              <w:rPr>
                <w:sz w:val="20"/>
                <w:szCs w:val="20"/>
              </w:rPr>
              <w:t>-specific intrathecal synthesis of immunoglobulins (defined as an antibody index ≥2). Healthy controls came from the same region as the LNB patients.</w:t>
            </w:r>
            <w:r>
              <w:t xml:space="preserve"> </w:t>
            </w:r>
            <w:r>
              <w:rPr>
                <w:sz w:val="20"/>
                <w:szCs w:val="20"/>
              </w:rPr>
              <w:t>LNB patients were statistically significantly older than the healthy controls. The mean follow-up period for the LNB patients was 4.9 years after the initial diagnosis.</w:t>
            </w:r>
          </w:p>
        </w:tc>
        <w:tc>
          <w:tcPr>
            <w:tcW w:w="4052" w:type="dxa"/>
            <w:gridSpan w:val="3"/>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23809176" w14:textId="77777777" w:rsidR="002D58E4" w:rsidRDefault="00F721D4">
            <w:pPr>
              <w:spacing w:after="120"/>
              <w:rPr>
                <w:sz w:val="20"/>
                <w:szCs w:val="20"/>
              </w:rPr>
            </w:pPr>
            <w:r>
              <w:rPr>
                <w:sz w:val="20"/>
                <w:szCs w:val="20"/>
              </w:rPr>
              <w:t>Ten LNB patients (22.7%) had persisting antibodies in serum at follow-up (5 IgM, 3 IgG, and 2 IgM &amp; IgG). Serum samples from LNB patients at follow-up were positive for IgM antibodies in seven patients (16.3%) and positive for IgG antibodies in five patients (11.6%). Serum samples from healthy controls were positive for IgM antibodies in three cases (7.5%) and positive for IgG antibodies in seven (17.5%) cases.</w:t>
            </w:r>
            <w:r>
              <w:t xml:space="preserve"> </w:t>
            </w:r>
            <w:r>
              <w:rPr>
                <w:sz w:val="20"/>
                <w:szCs w:val="20"/>
              </w:rPr>
              <w:t>Overall, six healthy controls (15%) showed positive anti-borrelial antibodies in immunoblot (1 IgM, 3 IgG, and 2 IgM&amp;IgG).</w:t>
            </w:r>
          </w:p>
        </w:tc>
        <w:tc>
          <w:tcPr>
            <w:tcW w:w="3807" w:type="dxa"/>
            <w:gridSpan w:val="2"/>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165926CC" w14:textId="77777777" w:rsidR="002D58E4" w:rsidRDefault="00F721D4">
            <w:pPr>
              <w:rPr>
                <w:sz w:val="20"/>
                <w:szCs w:val="20"/>
              </w:rPr>
            </w:pPr>
            <w:r>
              <w:rPr>
                <w:sz w:val="20"/>
                <w:szCs w:val="20"/>
              </w:rPr>
              <w:t xml:space="preserve">Seroprevalence of anti-borrelial antibodies in serum of treated LNB patients at five-year follow-up did not have a statistically significant difference from those of healthy controls from the same area with endemic Lyme borreliosis. </w:t>
            </w:r>
          </w:p>
          <w:p w14:paraId="75322C29" w14:textId="77777777" w:rsidR="002D58E4" w:rsidRDefault="002D58E4">
            <w:pPr>
              <w:rPr>
                <w:sz w:val="20"/>
                <w:szCs w:val="20"/>
              </w:rPr>
            </w:pPr>
          </w:p>
          <w:p w14:paraId="20D508BF" w14:textId="77777777" w:rsidR="002D58E4" w:rsidRDefault="00F721D4">
            <w:pPr>
              <w:rPr>
                <w:sz w:val="20"/>
                <w:szCs w:val="20"/>
              </w:rPr>
            </w:pPr>
            <w:r>
              <w:rPr>
                <w:sz w:val="20"/>
                <w:szCs w:val="20"/>
              </w:rPr>
              <w:t>At a mean follow-up period of 4.9 years (SD: 3.3), 10 LNB patients (22.7%) had persisting antibodies in serum (5 IgM, 3 IgG, and 2 IgM&amp;IgG). The prevalence of IgM or IgG antibodies at follow-up showed no statistically significant difference between LNB patients and healthy controls (IgM p=0.32, IgG p=0.54).</w:t>
            </w:r>
          </w:p>
        </w:tc>
      </w:tr>
      <w:tr w:rsidR="002D58E4" w14:paraId="1C786AF9" w14:textId="77777777" w:rsidTr="003D1C11">
        <w:trPr>
          <w:trHeight w:val="140"/>
        </w:trPr>
        <w:tc>
          <w:tcPr>
            <w:tcW w:w="14459" w:type="dxa"/>
            <w:gridSpan w:val="11"/>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25E34FC8" w14:textId="77777777" w:rsidR="002D58E4" w:rsidRDefault="00F721D4">
            <w:pPr>
              <w:jc w:val="center"/>
              <w:rPr>
                <w:b/>
                <w:i/>
                <w:sz w:val="20"/>
                <w:szCs w:val="20"/>
              </w:rPr>
            </w:pPr>
            <w:r>
              <w:rPr>
                <w:b/>
                <w:i/>
              </w:rPr>
              <w:t>Phospholipidomic Analysis of Plasma</w:t>
            </w:r>
          </w:p>
        </w:tc>
      </w:tr>
      <w:tr w:rsidR="002D58E4" w14:paraId="58730D1B" w14:textId="77777777" w:rsidTr="003D1C11">
        <w:trPr>
          <w:trHeight w:val="967"/>
        </w:trPr>
        <w:tc>
          <w:tcPr>
            <w:tcW w:w="1109"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52AC9897" w14:textId="77777777" w:rsidR="002D58E4" w:rsidRPr="002914A2" w:rsidRDefault="00F721D4">
            <w:pPr>
              <w:rPr>
                <w:sz w:val="20"/>
                <w:szCs w:val="20"/>
                <w:lang w:val="fr-CA"/>
              </w:rPr>
            </w:pPr>
            <w:r w:rsidRPr="002914A2">
              <w:rPr>
                <w:sz w:val="20"/>
                <w:szCs w:val="20"/>
                <w:lang w:val="fr-CA"/>
              </w:rPr>
              <w:t>Łuczaj, et al., 2017</w:t>
            </w:r>
          </w:p>
          <w:p w14:paraId="4266B34B" w14:textId="77777777" w:rsidR="002D58E4" w:rsidRPr="002914A2" w:rsidRDefault="002D58E4">
            <w:pPr>
              <w:rPr>
                <w:sz w:val="20"/>
                <w:szCs w:val="20"/>
                <w:lang w:val="fr-CA"/>
              </w:rPr>
            </w:pPr>
          </w:p>
          <w:p w14:paraId="78F9274C" w14:textId="77777777" w:rsidR="002D58E4" w:rsidRPr="002914A2" w:rsidRDefault="00F721D4">
            <w:pPr>
              <w:rPr>
                <w:sz w:val="20"/>
                <w:szCs w:val="20"/>
                <w:lang w:val="fr-CA"/>
              </w:rPr>
            </w:pPr>
            <w:r w:rsidRPr="002914A2">
              <w:rPr>
                <w:sz w:val="20"/>
                <w:szCs w:val="20"/>
                <w:lang w:val="fr-CA"/>
              </w:rPr>
              <w:t>Bialystok, Poland</w:t>
            </w:r>
          </w:p>
        </w:tc>
        <w:tc>
          <w:tcPr>
            <w:tcW w:w="876" w:type="dxa"/>
            <w:tcBorders>
              <w:top w:val="single" w:sz="6" w:space="0" w:color="AEAEAE"/>
              <w:left w:val="single" w:sz="6" w:space="0" w:color="AEAEAE"/>
              <w:bottom w:val="single" w:sz="6" w:space="0" w:color="AEAEAE"/>
              <w:right w:val="single" w:sz="6" w:space="0" w:color="AEAEAE"/>
            </w:tcBorders>
            <w:vAlign w:val="center"/>
          </w:tcPr>
          <w:p w14:paraId="096593C3" w14:textId="77777777" w:rsidR="002D58E4" w:rsidRDefault="00F721D4">
            <w:pPr>
              <w:rPr>
                <w:sz w:val="20"/>
                <w:szCs w:val="20"/>
              </w:rPr>
            </w:pPr>
            <w:r>
              <w:rPr>
                <w:sz w:val="20"/>
                <w:szCs w:val="20"/>
              </w:rPr>
              <w:t>Retrospective study</w:t>
            </w:r>
          </w:p>
        </w:tc>
        <w:tc>
          <w:tcPr>
            <w:tcW w:w="630" w:type="dxa"/>
            <w:gridSpan w:val="3"/>
            <w:tcBorders>
              <w:top w:val="single" w:sz="6" w:space="0" w:color="AEAEAE"/>
              <w:left w:val="single" w:sz="6" w:space="0" w:color="AEAEAE"/>
              <w:bottom w:val="single" w:sz="6" w:space="0" w:color="AEAEAE"/>
              <w:right w:val="single" w:sz="6" w:space="0" w:color="AEAEAE"/>
            </w:tcBorders>
            <w:vAlign w:val="center"/>
          </w:tcPr>
          <w:p w14:paraId="18E24AC7" w14:textId="77777777" w:rsidR="002D58E4" w:rsidRDefault="002D58E4">
            <w:pPr>
              <w:rPr>
                <w:sz w:val="20"/>
                <w:szCs w:val="20"/>
              </w:rPr>
            </w:pPr>
          </w:p>
        </w:tc>
        <w:tc>
          <w:tcPr>
            <w:tcW w:w="3985" w:type="dxa"/>
            <w:tcBorders>
              <w:top w:val="single" w:sz="6" w:space="0" w:color="AEAEAE"/>
              <w:left w:val="single" w:sz="6" w:space="0" w:color="AEAEAE"/>
              <w:bottom w:val="single" w:sz="6" w:space="0" w:color="AEAEAE"/>
              <w:right w:val="single" w:sz="6" w:space="0" w:color="AEAEAE"/>
            </w:tcBorders>
            <w:vAlign w:val="center"/>
          </w:tcPr>
          <w:p w14:paraId="3C5B6AD7" w14:textId="77777777" w:rsidR="002D58E4" w:rsidRDefault="00F721D4">
            <w:pPr>
              <w:rPr>
                <w:sz w:val="20"/>
                <w:szCs w:val="20"/>
              </w:rPr>
            </w:pPr>
            <w:r>
              <w:rPr>
                <w:sz w:val="20"/>
                <w:szCs w:val="20"/>
              </w:rPr>
              <w:t>Samples were collected from eight patients with neuroborreliosis (three female and five male); mean age of 48 years (range 21–83). Neuroborreliosis diagnosis was confirmed by epidemiological anamnesis. 50% of patients reported “previous tick bites, clinical manifestations of Bannwarth’s syndrome, lymphocytic meningitis with or without nerves paresis”, and positive detection of anti-</w:t>
            </w:r>
            <w:r>
              <w:rPr>
                <w:i/>
                <w:sz w:val="20"/>
                <w:szCs w:val="20"/>
              </w:rPr>
              <w:t>B. burgdorferi</w:t>
            </w:r>
            <w:r>
              <w:rPr>
                <w:sz w:val="20"/>
                <w:szCs w:val="20"/>
              </w:rPr>
              <w:t xml:space="preserve"> IgM and IgG antibodies by ELISA confirmed by Western Blot.</w:t>
            </w:r>
          </w:p>
          <w:p w14:paraId="1A1E9CF0" w14:textId="77777777" w:rsidR="002D58E4" w:rsidRDefault="002D58E4">
            <w:pPr>
              <w:rPr>
                <w:sz w:val="20"/>
                <w:szCs w:val="20"/>
              </w:rPr>
            </w:pPr>
          </w:p>
          <w:p w14:paraId="23776D12" w14:textId="77777777" w:rsidR="002D58E4" w:rsidRDefault="00F721D4">
            <w:pPr>
              <w:rPr>
                <w:sz w:val="20"/>
                <w:szCs w:val="20"/>
              </w:rPr>
            </w:pPr>
            <w:r>
              <w:rPr>
                <w:sz w:val="20"/>
                <w:szCs w:val="20"/>
              </w:rPr>
              <w:t xml:space="preserve"> The control group consisted of eight healthy subjects (three female and five male); mean age 47 years (range 22–72).</w:t>
            </w:r>
          </w:p>
        </w:tc>
        <w:tc>
          <w:tcPr>
            <w:tcW w:w="4135" w:type="dxa"/>
            <w:gridSpan w:val="4"/>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37A002C3" w14:textId="77777777" w:rsidR="002D58E4" w:rsidRDefault="00F721D4">
            <w:pPr>
              <w:rPr>
                <w:sz w:val="20"/>
                <w:szCs w:val="20"/>
              </w:rPr>
            </w:pPr>
            <w:r>
              <w:rPr>
                <w:sz w:val="20"/>
                <w:szCs w:val="20"/>
              </w:rPr>
              <w:t>“Total lipids from all plasma samples were extracted using a modified Folch method.”</w:t>
            </w:r>
          </w:p>
          <w:p w14:paraId="1096C7A9" w14:textId="77777777" w:rsidR="002D58E4" w:rsidRDefault="00F721D4">
            <w:pPr>
              <w:rPr>
                <w:sz w:val="20"/>
                <w:szCs w:val="20"/>
              </w:rPr>
            </w:pPr>
            <w:r>
              <w:rPr>
                <w:sz w:val="20"/>
                <w:szCs w:val="20"/>
              </w:rPr>
              <w:t xml:space="preserve">“Silica gel TLC plates were used to separate the PL classes… Identification of the different PL classes was performed by comparison with PL standards applied to the same plate. Estimation of the total amount of PL in total lipid extracts and in the spots after TLC separation was performed according to Bartlett and Lewis [8]. The relative abundance (%) of each PL class was calculated by relating the amount of phosphorous in each spot to the amount of total phosphorous in each plasma lipid extract.” </w:t>
            </w:r>
            <w:r>
              <w:t xml:space="preserve"> “</w:t>
            </w:r>
            <w:r>
              <w:rPr>
                <w:sz w:val="20"/>
                <w:szCs w:val="20"/>
              </w:rPr>
              <w:t>PL classes were separated by hydrophilic interaction liquid chromatography (HILIC), performed on an Ultra high-performance liquid chromatography (UPLC) system.”</w:t>
            </w:r>
          </w:p>
        </w:tc>
        <w:tc>
          <w:tcPr>
            <w:tcW w:w="3724" w:type="dxa"/>
            <w:tcBorders>
              <w:top w:val="single" w:sz="6" w:space="0" w:color="AEAEAE"/>
              <w:left w:val="single" w:sz="6" w:space="0" w:color="AEAEAE"/>
              <w:bottom w:val="single" w:sz="6" w:space="0" w:color="AEAEAE"/>
              <w:right w:val="single" w:sz="6" w:space="0" w:color="AEAEAE"/>
            </w:tcBorders>
            <w:tcMar>
              <w:top w:w="15" w:type="dxa"/>
              <w:left w:w="30" w:type="dxa"/>
              <w:bottom w:w="0" w:type="dxa"/>
              <w:right w:w="30" w:type="dxa"/>
            </w:tcMar>
            <w:vAlign w:val="center"/>
          </w:tcPr>
          <w:p w14:paraId="0376698D" w14:textId="77777777" w:rsidR="002D58E4" w:rsidRDefault="00F721D4">
            <w:pPr>
              <w:rPr>
                <w:sz w:val="20"/>
                <w:szCs w:val="20"/>
              </w:rPr>
            </w:pPr>
            <w:r>
              <w:rPr>
                <w:sz w:val="20"/>
                <w:szCs w:val="20"/>
              </w:rPr>
              <w:t>“Significant increases in the lysophosphatidylcholines</w:t>
            </w:r>
          </w:p>
          <w:p w14:paraId="70BC00D0" w14:textId="77777777" w:rsidR="002D58E4" w:rsidRDefault="00F721D4">
            <w:pPr>
              <w:rPr>
                <w:sz w:val="20"/>
                <w:szCs w:val="20"/>
              </w:rPr>
            </w:pPr>
            <w:r>
              <w:rPr>
                <w:sz w:val="20"/>
                <w:szCs w:val="20"/>
              </w:rPr>
              <w:t>LysoPtdCho 16:0 and LysoPtdCho 18:2 were observed. The plasma of neuroborreliosis patients appeared to have an increased relative abundance of sphingomyelin</w:t>
            </w:r>
          </w:p>
          <w:p w14:paraId="77782D69" w14:textId="77777777" w:rsidR="002D58E4" w:rsidRDefault="00F721D4">
            <w:pPr>
              <w:rPr>
                <w:sz w:val="20"/>
                <w:szCs w:val="20"/>
              </w:rPr>
            </w:pPr>
            <w:r>
              <w:rPr>
                <w:sz w:val="20"/>
                <w:szCs w:val="20"/>
              </w:rPr>
              <w:t>CerPCho d18:1/24:1 and a decrease in CerPCho d18:0/18:0. Principal components analysis of the relative abundances of all PL class species distinguished between neuroborreliosis patients and healthy subjects.”</w:t>
            </w:r>
          </w:p>
        </w:tc>
      </w:tr>
    </w:tbl>
    <w:p w14:paraId="50CA974E" w14:textId="77777777" w:rsidR="002D58E4" w:rsidRDefault="00F721D4">
      <w:pPr>
        <w:spacing w:line="240" w:lineRule="auto"/>
        <w:rPr>
          <w:sz w:val="20"/>
          <w:szCs w:val="20"/>
        </w:rPr>
      </w:pPr>
      <w:r>
        <w:rPr>
          <w:b/>
          <w:sz w:val="20"/>
          <w:szCs w:val="20"/>
        </w:rPr>
        <w:t>*</w:t>
      </w:r>
      <w:r>
        <w:rPr>
          <w:sz w:val="20"/>
          <w:szCs w:val="20"/>
        </w:rPr>
        <w:t>Risk of bias of studies included in Waddell, 2016 systematic review and meta-analysis were evaluated with QUADAS-2 tool; 8 were deemed to have low risk of bias and 40 were assessed as unclear risk of bias; Quality of studies included in Leeflang, 2016 systematic review and meta-analysis were evaluated with QUADAS-2 tool, and none of the studies had low bias risk in all four QUADAS-2 domains.</w:t>
      </w:r>
    </w:p>
    <w:p w14:paraId="071B64A7" w14:textId="77777777" w:rsidR="002D58E4" w:rsidRDefault="002D58E4">
      <w:pPr>
        <w:spacing w:after="160" w:line="259" w:lineRule="auto"/>
        <w:rPr>
          <w:b/>
          <w:sz w:val="32"/>
          <w:szCs w:val="32"/>
        </w:rPr>
      </w:pPr>
    </w:p>
    <w:p w14:paraId="40F121ED" w14:textId="77777777" w:rsidR="002D58E4" w:rsidRDefault="00F721D4">
      <w:r>
        <w:br w:type="page"/>
      </w:r>
    </w:p>
    <w:tbl>
      <w:tblPr>
        <w:tblStyle w:val="afe"/>
        <w:tblW w:w="14459" w:type="dxa"/>
        <w:tblLayout w:type="fixed"/>
        <w:tblLook w:val="0600" w:firstRow="0" w:lastRow="0" w:firstColumn="0" w:lastColumn="0" w:noHBand="1" w:noVBand="1"/>
      </w:tblPr>
      <w:tblGrid>
        <w:gridCol w:w="1109"/>
        <w:gridCol w:w="720"/>
        <w:gridCol w:w="13"/>
        <w:gridCol w:w="630"/>
        <w:gridCol w:w="2630"/>
        <w:gridCol w:w="985"/>
        <w:gridCol w:w="1992"/>
        <w:gridCol w:w="1559"/>
        <w:gridCol w:w="1512"/>
        <w:gridCol w:w="3309"/>
      </w:tblGrid>
      <w:tr w:rsidR="002D58E4" w14:paraId="39211FEE" w14:textId="77777777" w:rsidTr="003D1C11">
        <w:trPr>
          <w:trHeight w:val="320"/>
        </w:trPr>
        <w:tc>
          <w:tcPr>
            <w:tcW w:w="14459" w:type="dxa"/>
            <w:gridSpan w:val="10"/>
            <w:shd w:val="clear" w:color="auto" w:fill="auto"/>
            <w:tcMar>
              <w:top w:w="15" w:type="dxa"/>
              <w:left w:w="30" w:type="dxa"/>
              <w:bottom w:w="0" w:type="dxa"/>
              <w:right w:w="30" w:type="dxa"/>
            </w:tcMar>
            <w:vAlign w:val="center"/>
          </w:tcPr>
          <w:p w14:paraId="7DAF50F8" w14:textId="58F58E00" w:rsidR="002D58E4" w:rsidRDefault="00F721D4">
            <w:pPr>
              <w:rPr>
                <w:b/>
                <w:sz w:val="32"/>
                <w:szCs w:val="32"/>
              </w:rPr>
            </w:pPr>
            <w:r>
              <w:rPr>
                <w:b/>
                <w:sz w:val="32"/>
                <w:szCs w:val="32"/>
              </w:rPr>
              <w:t>X. For which neurological presentations should patients be tested for Lyme disease?</w:t>
            </w:r>
          </w:p>
          <w:p w14:paraId="49C22C0F" w14:textId="77777777" w:rsidR="002D58E4" w:rsidRDefault="002D58E4">
            <w:pPr>
              <w:rPr>
                <w:b/>
                <w:sz w:val="32"/>
                <w:szCs w:val="32"/>
              </w:rPr>
            </w:pPr>
          </w:p>
        </w:tc>
      </w:tr>
      <w:tr w:rsidR="002D58E4" w14:paraId="24C6F2D7" w14:textId="77777777" w:rsidTr="003D1C11">
        <w:trPr>
          <w:trHeight w:val="320"/>
        </w:trPr>
        <w:tc>
          <w:tcPr>
            <w:tcW w:w="14459" w:type="dxa"/>
            <w:gridSpan w:val="10"/>
            <w:tcBorders>
              <w:bottom w:val="single" w:sz="6" w:space="0" w:color="AEAEAE"/>
            </w:tcBorders>
            <w:shd w:val="clear" w:color="auto" w:fill="auto"/>
            <w:tcMar>
              <w:top w:w="15" w:type="dxa"/>
              <w:left w:w="30" w:type="dxa"/>
              <w:bottom w:w="0" w:type="dxa"/>
              <w:right w:w="30" w:type="dxa"/>
            </w:tcMar>
            <w:vAlign w:val="center"/>
          </w:tcPr>
          <w:p w14:paraId="46D2B731" w14:textId="77777777" w:rsidR="002D58E4" w:rsidRDefault="00F721D4">
            <w:pPr>
              <w:rPr>
                <w:sz w:val="18"/>
                <w:szCs w:val="18"/>
              </w:rPr>
            </w:pPr>
            <w:r w:rsidRPr="002914A2">
              <w:rPr>
                <w:b/>
                <w:color w:val="000000"/>
                <w:sz w:val="18"/>
                <w:szCs w:val="18"/>
                <w:lang w:val="fr-CA"/>
              </w:rPr>
              <w:t>Bibliography:</w:t>
            </w:r>
            <w:r w:rsidRPr="002914A2">
              <w:rPr>
                <w:color w:val="000000"/>
                <w:sz w:val="18"/>
                <w:szCs w:val="18"/>
                <w:lang w:val="fr-CA"/>
              </w:rPr>
              <w:t xml:space="preserve"> 1. Schmutzhard, et al. J Neurol Neuosurg Psychiatry. 1988 Sep; 51(9):1215-8; 2. Coyle, et al. Neurology. 1989 Jun; 39(6): 760-760; 3. Halperin, et al. Neurology. 1989 Jun; 39(6):753-9; 4. Chmielewska-Badora, et al. Ann Agric Environ Med. 2000; 7(2):141-3; 5. Mosayebi, et al. </w:t>
            </w:r>
            <w:r w:rsidRPr="00C10663">
              <w:rPr>
                <w:color w:val="000000"/>
                <w:sz w:val="18"/>
                <w:szCs w:val="18"/>
                <w:lang w:val="fr-CA"/>
              </w:rPr>
              <w:t xml:space="preserve">Eur J Immunol. 2009 Sep; 12(2):45-50; 6. </w:t>
            </w:r>
            <w:r>
              <w:rPr>
                <w:color w:val="000000"/>
                <w:sz w:val="18"/>
                <w:szCs w:val="18"/>
              </w:rPr>
              <w:t>O’Mahony, et al. 26</w:t>
            </w:r>
            <w:r>
              <w:rPr>
                <w:color w:val="000000"/>
                <w:sz w:val="18"/>
                <w:szCs w:val="18"/>
                <w:vertAlign w:val="superscript"/>
              </w:rPr>
              <w:t>th</w:t>
            </w:r>
            <w:r>
              <w:rPr>
                <w:color w:val="000000"/>
                <w:sz w:val="18"/>
                <w:szCs w:val="18"/>
              </w:rPr>
              <w:t xml:space="preserve"> Congress of the European Committee for Treatment and Research in Multiple Sclerosis. 2010;16(10); 7. </w:t>
            </w:r>
            <w:r>
              <w:rPr>
                <w:sz w:val="18"/>
                <w:szCs w:val="18"/>
              </w:rPr>
              <w:t xml:space="preserve">Spirin, et al. Multiple Sclerosis. 2010; 16:S197-S352; 8. Radolovic Prenc, et al. Acta Clin Croat. 2011; 50(2); 9. Baranova, N.S., Bykanova, M.A. Eur J of Neurol. </w:t>
            </w:r>
            <w:r w:rsidRPr="002914A2">
              <w:rPr>
                <w:sz w:val="18"/>
                <w:szCs w:val="18"/>
                <w:lang w:val="fr-CA"/>
              </w:rPr>
              <w:t xml:space="preserve">2012 Sep; 19:339-339. 10. Blanc, et  al. J Alzheimers Dis. 2014 Mar; 41(4):1087-1093; 11. Halperin, et al. </w:t>
            </w:r>
            <w:r w:rsidRPr="00C10663">
              <w:rPr>
                <w:sz w:val="18"/>
                <w:szCs w:val="18"/>
                <w:lang w:val="fr-CA"/>
              </w:rPr>
              <w:t xml:space="preserve">Arch Neurol.1990; 47:586-594; 12. </w:t>
            </w:r>
            <w:r>
              <w:rPr>
                <w:sz w:val="18"/>
                <w:szCs w:val="18"/>
              </w:rPr>
              <w:t xml:space="preserve">ALSUntangled, Group. World Federation of Neurology Research Group on Motor Diseases, 2009; 10(4):248; 13. </w:t>
            </w:r>
            <w:r w:rsidRPr="002914A2">
              <w:rPr>
                <w:sz w:val="18"/>
                <w:szCs w:val="18"/>
                <w:lang w:val="fr-CA"/>
              </w:rPr>
              <w:t xml:space="preserve">Qureshi, et al. Muscle Nerve.  2009 May; 40: 626-628; 14. Visser, et al. Eur J Neurol. 2017 Sep; 24:227-230; 15. Hanner, et al. Lancet.1989 Jan; 71(8628):13-5; 16. Richardson, et al. Br J Audiol. 1994 Apr; 28(2):59-61; 17. Hyden, et al. Acta Otolaryngol Suppl. 1995; 520 Pt 2: 320-2; 18. Peltomaa, et al. </w:t>
            </w:r>
            <w:r w:rsidRPr="00C10663">
              <w:rPr>
                <w:sz w:val="18"/>
                <w:szCs w:val="18"/>
                <w:lang w:val="fr-CA"/>
              </w:rPr>
              <w:t xml:space="preserve">Eur Arch Otorhinolaryngo l. 2000; 257(6):317-22; 19.  Finizia, et al. Acta Otolaryngol. 2001 Oct; 121(7):823-30; 20.  </w:t>
            </w:r>
            <w:r w:rsidRPr="002914A2">
              <w:rPr>
                <w:sz w:val="18"/>
                <w:szCs w:val="18"/>
                <w:lang w:val="fr-CA"/>
              </w:rPr>
              <w:t xml:space="preserve">Lorenzi, et al. Laryngoscope. 2003 Feb; 13(2):312-5. 21. Walther, et al. Laryngorhinootologie. 2003 Apr; 82(4):249-57; 22.  </w:t>
            </w:r>
            <w:r>
              <w:rPr>
                <w:sz w:val="18"/>
                <w:szCs w:val="18"/>
              </w:rPr>
              <w:t>Wentland, et al.</w:t>
            </w:r>
            <w:r>
              <w:t xml:space="preserve"> </w:t>
            </w:r>
            <w:r>
              <w:rPr>
                <w:sz w:val="18"/>
                <w:szCs w:val="18"/>
              </w:rPr>
              <w:t xml:space="preserve">Int J Pediatr Otorhinolaryngol. 2018 Aug;111:26-31; 23. Fernandez, et al. AJNR AM J Neuroadiol. 1990 May; 11(3):479-81; 24.  </w:t>
            </w:r>
            <w:r w:rsidRPr="00E20834">
              <w:rPr>
                <w:sz w:val="18"/>
                <w:szCs w:val="18"/>
                <w:lang w:val="fr-CA"/>
              </w:rPr>
              <w:t xml:space="preserve">Agosta, et al. AJNR Am J Neuroradiol. 2006 Apr; 27(4):892-4; 25.  Aalto, et al. </w:t>
            </w:r>
            <w:r w:rsidRPr="00B033CA">
              <w:rPr>
                <w:sz w:val="18"/>
                <w:szCs w:val="18"/>
                <w:lang w:val="fr-CA"/>
              </w:rPr>
              <w:t xml:space="preserve">Acta Radiol. 2007 Sep; 48(7):755-62; 26.  </w:t>
            </w:r>
            <w:r w:rsidRPr="002914A2">
              <w:rPr>
                <w:sz w:val="18"/>
                <w:szCs w:val="18"/>
                <w:lang w:val="fr-CA"/>
              </w:rPr>
              <w:t xml:space="preserve">Monteventi, et al. Eur J Paediatr Neurol. </w:t>
            </w:r>
            <w:r w:rsidRPr="00E20834">
              <w:rPr>
                <w:sz w:val="18"/>
                <w:szCs w:val="18"/>
                <w:lang w:val="fr-CA"/>
              </w:rPr>
              <w:t xml:space="preserve">2018 Jan;22(1):113-121; 27. Baumann, et al. Eur J Paediatr Neurol. </w:t>
            </w:r>
            <w:r>
              <w:rPr>
                <w:sz w:val="18"/>
                <w:szCs w:val="18"/>
              </w:rPr>
              <w:t xml:space="preserve">2010 May; 14(3):274-7; 28. Markeljević, et al. Coll Antropol. 2011 Jan; 35 Suppl 1:313-8; 29.  Schober, et al. 2012; 30. </w:t>
            </w:r>
            <w:r w:rsidRPr="00E20834">
              <w:rPr>
                <w:sz w:val="18"/>
                <w:szCs w:val="18"/>
                <w:lang w:val="fr-CA"/>
              </w:rPr>
              <w:t xml:space="preserve">Juric, et al. Neurol Sci.  2014 May; 35(5):793-4; 31.  Matera, et al. New Microbiol. 2014 Jul; 37(3):393-7; 32.  Fritz, et al. </w:t>
            </w:r>
            <w:r w:rsidRPr="002914A2">
              <w:rPr>
                <w:sz w:val="18"/>
                <w:szCs w:val="18"/>
                <w:lang w:val="fr-CA"/>
              </w:rPr>
              <w:t xml:space="preserve">J Neurol. 1996 Apr; 243(4):367-8; 33. Knudtzen, et al. </w:t>
            </w:r>
            <w:r>
              <w:rPr>
                <w:sz w:val="18"/>
                <w:szCs w:val="18"/>
              </w:rPr>
              <w:t>Clin Infect Dis. 2017 Oct 16;65(9):1489-1495.</w:t>
            </w:r>
          </w:p>
          <w:p w14:paraId="1CCAA274" w14:textId="77777777" w:rsidR="002D58E4" w:rsidRDefault="002D58E4">
            <w:pPr>
              <w:rPr>
                <w:sz w:val="18"/>
                <w:szCs w:val="18"/>
              </w:rPr>
            </w:pPr>
          </w:p>
        </w:tc>
      </w:tr>
      <w:tr w:rsidR="002D58E4" w14:paraId="77A41F39" w14:textId="77777777" w:rsidTr="003D1C11">
        <w:trPr>
          <w:trHeight w:val="32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7F5EEC81" w14:textId="77777777" w:rsidR="002D58E4" w:rsidRDefault="00F721D4">
            <w:pPr>
              <w:jc w:val="center"/>
            </w:pPr>
            <w:r>
              <w:rPr>
                <w:b/>
                <w:color w:val="000000"/>
              </w:rPr>
              <w:t>Demyelinating Disease (First episode vs. Relapsing-Remitting Multiple Sclerosis [RRMS] vs.</w:t>
            </w:r>
            <w:r>
              <w:t xml:space="preserve"> </w:t>
            </w:r>
            <w:r>
              <w:rPr>
                <w:b/>
                <w:color w:val="000000"/>
              </w:rPr>
              <w:t>Acute Disseminated Encephalomyelitis [ADEM])</w:t>
            </w:r>
          </w:p>
        </w:tc>
      </w:tr>
      <w:tr w:rsidR="002D58E4" w14:paraId="5899830A" w14:textId="77777777" w:rsidTr="003D1C11">
        <w:trPr>
          <w:trHeight w:val="68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6E4ED267" w14:textId="77777777" w:rsidR="002D58E4" w:rsidRDefault="00F721D4">
            <w:pPr>
              <w:jc w:val="cente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60EAADA1"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2613EF34" w14:textId="77777777" w:rsidR="002D58E4" w:rsidRDefault="00F721D4">
            <w:pPr>
              <w:jc w:val="cente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65CC5F14" w14:textId="77777777" w:rsidR="002D58E4" w:rsidRDefault="00F721D4">
            <w:pPr>
              <w:jc w:val="center"/>
              <w:rPr>
                <w:b/>
                <w:color w:val="000000"/>
                <w:sz w:val="20"/>
                <w:szCs w:val="20"/>
              </w:rPr>
            </w:pPr>
            <w:r>
              <w:rPr>
                <w:b/>
                <w:color w:val="000000"/>
                <w:sz w:val="20"/>
                <w:szCs w:val="20"/>
              </w:rPr>
              <w:t>Lyme Disease Diagnosis method</w:t>
            </w:r>
          </w:p>
        </w:tc>
        <w:tc>
          <w:tcPr>
            <w:tcW w:w="2977" w:type="dxa"/>
            <w:gridSpan w:val="2"/>
            <w:tcBorders>
              <w:top w:val="single" w:sz="6" w:space="0" w:color="AEAEAE"/>
              <w:left w:val="single" w:sz="6" w:space="0" w:color="AEAEAE"/>
              <w:bottom w:val="single" w:sz="6" w:space="0" w:color="AEAEAE"/>
              <w:right w:val="single" w:sz="6" w:space="0" w:color="AEAEAE"/>
            </w:tcBorders>
            <w:shd w:val="clear" w:color="auto" w:fill="D9D9D9"/>
          </w:tcPr>
          <w:p w14:paraId="6C685D27" w14:textId="77777777" w:rsidR="002D58E4" w:rsidRDefault="00F721D4">
            <w:pPr>
              <w:jc w:val="center"/>
              <w:rPr>
                <w:sz w:val="20"/>
                <w:szCs w:val="20"/>
              </w:rPr>
            </w:pPr>
            <w:r>
              <w:rPr>
                <w:b/>
                <w:color w:val="000000"/>
                <w:sz w:val="20"/>
                <w:szCs w:val="20"/>
              </w:rPr>
              <w:t>Population characteristics and Observed Neurologic Presentation</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ACA87AB" w14:textId="77777777" w:rsidR="002D58E4" w:rsidRDefault="00F721D4">
            <w:pPr>
              <w:jc w:val="center"/>
              <w:rPr>
                <w:b/>
                <w:color w:val="000000"/>
                <w:sz w:val="20"/>
                <w:szCs w:val="20"/>
              </w:rPr>
            </w:pPr>
            <w:r>
              <w:rPr>
                <w:b/>
                <w:color w:val="000000"/>
                <w:sz w:val="20"/>
                <w:szCs w:val="20"/>
              </w:rPr>
              <w:t xml:space="preserve">Prevalence of Lyme in Patients with Disorder </w:t>
            </w:r>
            <w:r>
              <w:rPr>
                <w:b/>
                <w:i/>
                <w:color w:val="000000"/>
                <w:sz w:val="20"/>
                <w:szCs w:val="20"/>
                <w:u w:val="single"/>
              </w:rPr>
              <w:t>or</w:t>
            </w:r>
            <w:r>
              <w:rPr>
                <w:b/>
                <w:i/>
                <w:color w:val="000000"/>
                <w:sz w:val="20"/>
                <w:szCs w:val="20"/>
              </w:rPr>
              <w:t xml:space="preserve"> Prevalence of Disorder in Lyme patients</w:t>
            </w:r>
          </w:p>
        </w:tc>
        <w:tc>
          <w:tcPr>
            <w:tcW w:w="33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46C3978B" w14:textId="77777777" w:rsidR="002D58E4" w:rsidRDefault="00F721D4">
            <w:pPr>
              <w:jc w:val="center"/>
              <w:rPr>
                <w:b/>
                <w:color w:val="000000"/>
                <w:sz w:val="20"/>
                <w:szCs w:val="20"/>
              </w:rPr>
            </w:pPr>
            <w:r>
              <w:rPr>
                <w:b/>
                <w:color w:val="000000"/>
                <w:sz w:val="20"/>
                <w:szCs w:val="20"/>
              </w:rPr>
              <w:t>Study Conclusions</w:t>
            </w:r>
          </w:p>
        </w:tc>
      </w:tr>
      <w:tr w:rsidR="002D58E4" w14:paraId="6B1B5520" w14:textId="77777777" w:rsidTr="003D1C11">
        <w:trPr>
          <w:trHeight w:val="46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44504C8" w14:textId="77777777" w:rsidR="002D58E4" w:rsidRDefault="00F721D4">
            <w:pPr>
              <w:rPr>
                <w:sz w:val="20"/>
                <w:szCs w:val="20"/>
              </w:rPr>
            </w:pPr>
            <w:r>
              <w:rPr>
                <w:sz w:val="20"/>
                <w:szCs w:val="20"/>
              </w:rPr>
              <w:t>Schmutzhard, 1988</w:t>
            </w:r>
          </w:p>
          <w:p w14:paraId="36D52095" w14:textId="77777777" w:rsidR="002D58E4" w:rsidRDefault="002D58E4">
            <w:pPr>
              <w:rPr>
                <w:sz w:val="20"/>
                <w:szCs w:val="20"/>
              </w:rPr>
            </w:pPr>
          </w:p>
          <w:p w14:paraId="294FC940" w14:textId="77777777" w:rsidR="002D58E4" w:rsidRDefault="00F721D4">
            <w:pPr>
              <w:rPr>
                <w:sz w:val="20"/>
                <w:szCs w:val="20"/>
              </w:rPr>
            </w:pPr>
            <w:r>
              <w:rPr>
                <w:sz w:val="20"/>
                <w:szCs w:val="20"/>
              </w:rPr>
              <w:t>Vienna, Austria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74E85CE9"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1414D7C" w14:textId="77777777" w:rsidR="002D58E4" w:rsidRDefault="00F721D4">
            <w:pPr>
              <w:jc w:val="center"/>
              <w:rPr>
                <w:sz w:val="20"/>
                <w:szCs w:val="20"/>
              </w:rPr>
            </w:pPr>
            <w:r>
              <w:rPr>
                <w:sz w:val="20"/>
                <w:szCs w:val="20"/>
              </w:rPr>
              <w:t>8</w:t>
            </w:r>
          </w:p>
        </w:tc>
        <w:tc>
          <w:tcPr>
            <w:tcW w:w="2630" w:type="dxa"/>
            <w:tcBorders>
              <w:top w:val="single" w:sz="6" w:space="0" w:color="AEAEAE"/>
              <w:left w:val="single" w:sz="6" w:space="0" w:color="AEAEAE"/>
              <w:bottom w:val="single" w:sz="6" w:space="0" w:color="AEAEAE"/>
              <w:right w:val="single" w:sz="6" w:space="0" w:color="AEAEAE"/>
            </w:tcBorders>
            <w:vAlign w:val="center"/>
          </w:tcPr>
          <w:p w14:paraId="114644D3" w14:textId="77777777" w:rsidR="002D58E4" w:rsidRDefault="00F721D4">
            <w:pPr>
              <w:rPr>
                <w:sz w:val="20"/>
                <w:szCs w:val="20"/>
              </w:rPr>
            </w:pPr>
            <w:r>
              <w:rPr>
                <w:sz w:val="20"/>
                <w:szCs w:val="20"/>
              </w:rPr>
              <w:t xml:space="preserve">Antibodies to </w:t>
            </w:r>
            <w:r>
              <w:rPr>
                <w:i/>
                <w:sz w:val="20"/>
                <w:szCs w:val="20"/>
              </w:rPr>
              <w:t>B. burgdorferi</w:t>
            </w:r>
            <w:r>
              <w:rPr>
                <w:sz w:val="20"/>
                <w:szCs w:val="20"/>
              </w:rPr>
              <w:t xml:space="preserve"> were tested in serum by ELISA.</w:t>
            </w:r>
            <w:r>
              <w:t xml:space="preserve"> </w:t>
            </w:r>
            <w:r>
              <w:rPr>
                <w:sz w:val="20"/>
                <w:szCs w:val="20"/>
              </w:rPr>
              <w:t>Results were considered as positive when units were calculated ≥4.5 at a cut off at 0-2 nm.</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4FCAFDA9" w14:textId="77777777" w:rsidR="002D58E4" w:rsidRDefault="00F721D4">
            <w:pPr>
              <w:rPr>
                <w:sz w:val="20"/>
                <w:szCs w:val="20"/>
              </w:rPr>
            </w:pPr>
            <w:r>
              <w:rPr>
                <w:sz w:val="20"/>
                <w:szCs w:val="20"/>
              </w:rPr>
              <w:t xml:space="preserve">106 patients from the province of Tyrol (high risk area) who had been diagnosed with probable or definite multiple sclerosis. 27.4% of patients were suffering from chronic progressive MS, and 63.2% had a relapsing-remitting form of the disease. 9.4% of patients could not be classified. </w:t>
            </w:r>
          </w:p>
          <w:p w14:paraId="39722046" w14:textId="77777777" w:rsidR="002D58E4" w:rsidRDefault="002D58E4">
            <w:pPr>
              <w:rPr>
                <w:sz w:val="20"/>
                <w:szCs w:val="20"/>
              </w:rPr>
            </w:pPr>
          </w:p>
          <w:p w14:paraId="6A4CFC23" w14:textId="77777777" w:rsidR="002D58E4" w:rsidRDefault="00F721D4">
            <w:pPr>
              <w:rPr>
                <w:sz w:val="20"/>
                <w:szCs w:val="20"/>
              </w:rPr>
            </w:pPr>
            <w:r>
              <w:rPr>
                <w:sz w:val="20"/>
                <w:szCs w:val="20"/>
              </w:rPr>
              <w:t xml:space="preserve">103 matching controls (typically family members or neighbors) were also included.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671BB55" w14:textId="77777777" w:rsidR="002D58E4" w:rsidRDefault="00F721D4">
            <w:pPr>
              <w:rPr>
                <w:sz w:val="20"/>
                <w:szCs w:val="20"/>
              </w:rPr>
            </w:pPr>
            <w:r>
              <w:rPr>
                <w:sz w:val="20"/>
                <w:szCs w:val="20"/>
              </w:rPr>
              <w:t xml:space="preserve">14.2% (15 of 106) patients with MS had IgG antibodies above threshold, whereas 25.2% (26 of 103) healthy controls had IgG antibodies above threshold.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42C85F1" w14:textId="77777777" w:rsidR="002D58E4" w:rsidRDefault="00F721D4">
            <w:pPr>
              <w:rPr>
                <w:sz w:val="20"/>
                <w:szCs w:val="20"/>
              </w:rPr>
            </w:pPr>
            <w:r>
              <w:rPr>
                <w:sz w:val="20"/>
                <w:szCs w:val="20"/>
              </w:rPr>
              <w:t xml:space="preserve">There was no significant difference between MS patients and healthy controls with regard to antibody prevalence. The authors found no significant association between either relapsing-remitting MS or chronic progressive MS with the presence of </w:t>
            </w:r>
            <w:r>
              <w:rPr>
                <w:i/>
                <w:sz w:val="20"/>
                <w:szCs w:val="20"/>
              </w:rPr>
              <w:t>B. burgdorferi</w:t>
            </w:r>
            <w:r>
              <w:rPr>
                <w:sz w:val="20"/>
                <w:szCs w:val="20"/>
              </w:rPr>
              <w:t xml:space="preserve"> antibodies. </w:t>
            </w:r>
          </w:p>
        </w:tc>
      </w:tr>
      <w:tr w:rsidR="002D58E4" w14:paraId="21645F67" w14:textId="77777777" w:rsidTr="003D1C11">
        <w:trPr>
          <w:trHeight w:val="46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29DA018" w14:textId="77777777" w:rsidR="002D58E4" w:rsidRDefault="00F721D4">
            <w:pPr>
              <w:rPr>
                <w:sz w:val="20"/>
                <w:szCs w:val="20"/>
              </w:rPr>
            </w:pPr>
            <w:r>
              <w:rPr>
                <w:sz w:val="20"/>
                <w:szCs w:val="20"/>
              </w:rPr>
              <w:t>Coyle, 1989</w:t>
            </w:r>
          </w:p>
          <w:p w14:paraId="441368BF" w14:textId="77777777" w:rsidR="002D58E4" w:rsidRDefault="002D58E4">
            <w:pPr>
              <w:rPr>
                <w:sz w:val="20"/>
                <w:szCs w:val="20"/>
              </w:rPr>
            </w:pPr>
          </w:p>
          <w:p w14:paraId="37A651C9" w14:textId="77777777" w:rsidR="002D58E4" w:rsidRDefault="00F721D4">
            <w:pPr>
              <w:rPr>
                <w:sz w:val="20"/>
                <w:szCs w:val="20"/>
              </w:rPr>
            </w:pPr>
            <w:r>
              <w:rPr>
                <w:sz w:val="20"/>
                <w:szCs w:val="20"/>
              </w:rPr>
              <w:t>Stony Brook, NY</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29C632A"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4494FF40" w14:textId="77777777" w:rsidR="002D58E4" w:rsidRDefault="00F721D4">
            <w:pPr>
              <w:jc w:val="center"/>
              <w:rPr>
                <w:sz w:val="20"/>
                <w:szCs w:val="20"/>
              </w:rPr>
            </w:pPr>
            <w:r>
              <w:rPr>
                <w:sz w:val="20"/>
                <w:szCs w:val="20"/>
              </w:rPr>
              <w:t>5</w:t>
            </w:r>
          </w:p>
        </w:tc>
        <w:tc>
          <w:tcPr>
            <w:tcW w:w="2630" w:type="dxa"/>
            <w:tcBorders>
              <w:top w:val="single" w:sz="6" w:space="0" w:color="AEAEAE"/>
              <w:left w:val="single" w:sz="6" w:space="0" w:color="AEAEAE"/>
              <w:bottom w:val="single" w:sz="6" w:space="0" w:color="AEAEAE"/>
              <w:right w:val="single" w:sz="6" w:space="0" w:color="AEAEAE"/>
            </w:tcBorders>
            <w:vAlign w:val="center"/>
          </w:tcPr>
          <w:p w14:paraId="23110E8C" w14:textId="77777777" w:rsidR="002D58E4" w:rsidRDefault="00F721D4">
            <w:pPr>
              <w:rPr>
                <w:sz w:val="20"/>
                <w:szCs w:val="20"/>
              </w:rPr>
            </w:pPr>
            <w:r>
              <w:rPr>
                <w:sz w:val="20"/>
                <w:szCs w:val="20"/>
              </w:rPr>
              <w:t>Serum antibody titer.</w:t>
            </w:r>
          </w:p>
          <w:p w14:paraId="6067E899" w14:textId="77777777" w:rsidR="002D58E4" w:rsidRDefault="002D58E4">
            <w:pPr>
              <w:rPr>
                <w:sz w:val="20"/>
                <w:szCs w:val="20"/>
              </w:rPr>
            </w:pP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0D532A53" w14:textId="77777777" w:rsidR="002D58E4" w:rsidRDefault="00F721D4">
            <w:pPr>
              <w:rPr>
                <w:sz w:val="20"/>
                <w:szCs w:val="20"/>
              </w:rPr>
            </w:pPr>
            <w:r>
              <w:rPr>
                <w:sz w:val="20"/>
                <w:szCs w:val="20"/>
              </w:rPr>
              <w:t xml:space="preserve">100 patients living in a Lyme-endemic region who had been referred to a clinic for possible MS.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A8B657A" w14:textId="77777777" w:rsidR="002D58E4" w:rsidRDefault="00F721D4">
            <w:pPr>
              <w:rPr>
                <w:sz w:val="20"/>
                <w:szCs w:val="20"/>
              </w:rPr>
            </w:pPr>
            <w:r>
              <w:rPr>
                <w:sz w:val="20"/>
                <w:szCs w:val="20"/>
              </w:rPr>
              <w:t xml:space="preserve">1.1% (1 of 89) definite MS patients were positive for antibodies to </w:t>
            </w:r>
            <w:r>
              <w:rPr>
                <w:i/>
                <w:sz w:val="20"/>
                <w:szCs w:val="20"/>
              </w:rPr>
              <w:t xml:space="preserve">B. burgdorferi. </w:t>
            </w:r>
          </w:p>
          <w:p w14:paraId="60C0E36B" w14:textId="77777777" w:rsidR="002D58E4" w:rsidRDefault="002D58E4">
            <w:pPr>
              <w:rPr>
                <w:sz w:val="20"/>
                <w:szCs w:val="20"/>
              </w:rPr>
            </w:pPr>
          </w:p>
          <w:p w14:paraId="62E16180" w14:textId="77777777" w:rsidR="002D58E4" w:rsidRDefault="00F721D4">
            <w:pPr>
              <w:rPr>
                <w:sz w:val="20"/>
                <w:szCs w:val="20"/>
              </w:rPr>
            </w:pPr>
            <w:r>
              <w:rPr>
                <w:sz w:val="20"/>
                <w:szCs w:val="20"/>
              </w:rPr>
              <w:t>18% (2 of 11) non-MS patients were antibody positive.</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B665F56" w14:textId="77777777" w:rsidR="002D58E4" w:rsidRDefault="00F721D4">
            <w:pPr>
              <w:rPr>
                <w:sz w:val="20"/>
                <w:szCs w:val="20"/>
              </w:rPr>
            </w:pPr>
            <w:r>
              <w:rPr>
                <w:sz w:val="20"/>
                <w:szCs w:val="20"/>
              </w:rPr>
              <w:t xml:space="preserve">The authors determined that Lyme Disease does not play a significant role in the differential diagnosis of MS due to the rarity of infection with </w:t>
            </w:r>
            <w:r>
              <w:rPr>
                <w:i/>
                <w:sz w:val="20"/>
                <w:szCs w:val="20"/>
              </w:rPr>
              <w:t>B. burgdorferi</w:t>
            </w:r>
            <w:r>
              <w:rPr>
                <w:sz w:val="20"/>
                <w:szCs w:val="20"/>
              </w:rPr>
              <w:t xml:space="preserve"> in MS patients. </w:t>
            </w:r>
          </w:p>
        </w:tc>
      </w:tr>
      <w:tr w:rsidR="002D58E4" w14:paraId="0F590B30" w14:textId="77777777" w:rsidTr="003D1C11">
        <w:trPr>
          <w:trHeight w:val="46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2ACC152" w14:textId="77777777" w:rsidR="002D58E4" w:rsidRDefault="00F721D4">
            <w:pPr>
              <w:rPr>
                <w:sz w:val="20"/>
                <w:szCs w:val="20"/>
              </w:rPr>
            </w:pPr>
            <w:r>
              <w:rPr>
                <w:sz w:val="20"/>
                <w:szCs w:val="20"/>
              </w:rPr>
              <w:t>Halperin, et al, 1989</w:t>
            </w:r>
          </w:p>
          <w:p w14:paraId="58812487" w14:textId="77777777" w:rsidR="002D58E4" w:rsidRDefault="002D58E4">
            <w:pPr>
              <w:rPr>
                <w:sz w:val="20"/>
                <w:szCs w:val="20"/>
              </w:rPr>
            </w:pPr>
          </w:p>
          <w:p w14:paraId="6D6342A8" w14:textId="77777777" w:rsidR="002D58E4" w:rsidRDefault="002D58E4">
            <w:pPr>
              <w:rPr>
                <w:sz w:val="20"/>
                <w:szCs w:val="20"/>
              </w:rPr>
            </w:pPr>
          </w:p>
          <w:p w14:paraId="14010B4A" w14:textId="77777777" w:rsidR="002D58E4" w:rsidRDefault="00F721D4">
            <w:pPr>
              <w:rPr>
                <w:sz w:val="20"/>
                <w:szCs w:val="20"/>
              </w:rPr>
            </w:pPr>
            <w:r>
              <w:rPr>
                <w:sz w:val="20"/>
                <w:szCs w:val="20"/>
              </w:rPr>
              <w:t>Stony Brook, NY</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71ACADC"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29E51D82" w14:textId="77777777" w:rsidR="002D58E4" w:rsidRDefault="00F721D4">
            <w:pPr>
              <w:jc w:val="center"/>
              <w:rPr>
                <w:sz w:val="20"/>
                <w:szCs w:val="20"/>
              </w:rPr>
            </w:pPr>
            <w:r>
              <w:rPr>
                <w:sz w:val="20"/>
                <w:szCs w:val="20"/>
              </w:rPr>
              <w:t>5</w:t>
            </w:r>
          </w:p>
        </w:tc>
        <w:tc>
          <w:tcPr>
            <w:tcW w:w="2630" w:type="dxa"/>
            <w:tcBorders>
              <w:top w:val="single" w:sz="6" w:space="0" w:color="AEAEAE"/>
              <w:left w:val="single" w:sz="6" w:space="0" w:color="AEAEAE"/>
              <w:bottom w:val="single" w:sz="6" w:space="0" w:color="AEAEAE"/>
              <w:right w:val="single" w:sz="6" w:space="0" w:color="AEAEAE"/>
            </w:tcBorders>
            <w:vAlign w:val="center"/>
          </w:tcPr>
          <w:p w14:paraId="55A9D7EC" w14:textId="77777777" w:rsidR="002D58E4" w:rsidRDefault="00F721D4">
            <w:pPr>
              <w:rPr>
                <w:sz w:val="20"/>
                <w:szCs w:val="20"/>
              </w:rPr>
            </w:pPr>
            <w:r>
              <w:rPr>
                <w:sz w:val="20"/>
                <w:szCs w:val="20"/>
              </w:rPr>
              <w:t xml:space="preserve">Diagnosis was based on 1) history of well-documented erythema migrans or evidence of immunoreactivity against </w:t>
            </w:r>
            <w:r>
              <w:rPr>
                <w:i/>
                <w:sz w:val="20"/>
                <w:szCs w:val="20"/>
              </w:rPr>
              <w:t>B. burgdorferi</w:t>
            </w:r>
            <w:r>
              <w:rPr>
                <w:sz w:val="20"/>
                <w:szCs w:val="20"/>
              </w:rPr>
              <w:t>, using either (a) a specific ELISA or (b) a specific lymphocyte proliferation assay; and (2) prominent nervous system abnormalities.</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6FCD4E73" w14:textId="77777777" w:rsidR="002D58E4" w:rsidRDefault="00F721D4">
            <w:pPr>
              <w:rPr>
                <w:sz w:val="20"/>
                <w:szCs w:val="20"/>
              </w:rPr>
            </w:pPr>
            <w:r>
              <w:rPr>
                <w:sz w:val="20"/>
                <w:szCs w:val="20"/>
              </w:rPr>
              <w:t xml:space="preserve">85 patients with serological evidence of </w:t>
            </w:r>
            <w:r>
              <w:rPr>
                <w:i/>
                <w:sz w:val="20"/>
                <w:szCs w:val="20"/>
              </w:rPr>
              <w:t>B. burgdorferi</w:t>
            </w:r>
            <w:r>
              <w:rPr>
                <w:sz w:val="20"/>
                <w:szCs w:val="20"/>
              </w:rPr>
              <w:t xml:space="preserve"> infection presenting with central nervous system manifestations (encephalopathy [41], neuropathy [27], meningitis [2], multiple sclerosis (MS) [6], and psychiatric disorders [3]).</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2478A30" w14:textId="77777777" w:rsidR="002D58E4" w:rsidRDefault="00F721D4">
            <w:pPr>
              <w:rPr>
                <w:sz w:val="20"/>
                <w:szCs w:val="20"/>
              </w:rPr>
            </w:pPr>
            <w:r>
              <w:rPr>
                <w:sz w:val="20"/>
                <w:szCs w:val="20"/>
              </w:rPr>
              <w:t xml:space="preserve">7.1% (6 of 85) patients with serological evidence of neurologic Lyme disease presented with MS-like symptoms.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D8D2960" w14:textId="77777777" w:rsidR="002D58E4" w:rsidRDefault="00F721D4">
            <w:r>
              <w:rPr>
                <w:sz w:val="20"/>
                <w:szCs w:val="20"/>
              </w:rPr>
              <w:t xml:space="preserve">Patients with an MS-like illness had abnormal evoked potentials (EP)s, elevated IgG index, and oligoclonal bands in the cerebrospinal fluid. </w:t>
            </w:r>
            <w:r>
              <w:t xml:space="preserve"> </w:t>
            </w:r>
            <w:r>
              <w:rPr>
                <w:sz w:val="20"/>
                <w:szCs w:val="20"/>
              </w:rPr>
              <w:t>MRIs were abnormal in 5/6 patients with an MS-like illness.</w:t>
            </w:r>
            <w:r>
              <w:t xml:space="preserve"> </w:t>
            </w:r>
          </w:p>
          <w:p w14:paraId="2B795531" w14:textId="77777777" w:rsidR="002D58E4" w:rsidRDefault="002D58E4"/>
          <w:p w14:paraId="68C60274" w14:textId="77777777" w:rsidR="002D58E4" w:rsidRDefault="00F721D4">
            <w:pPr>
              <w:rPr>
                <w:sz w:val="20"/>
                <w:szCs w:val="20"/>
              </w:rPr>
            </w:pPr>
            <w:r>
              <w:rPr>
                <w:sz w:val="20"/>
                <w:szCs w:val="20"/>
              </w:rPr>
              <w:t>Authors concluded that</w:t>
            </w:r>
            <w:r>
              <w:t xml:space="preserve"> </w:t>
            </w:r>
            <w:r>
              <w:rPr>
                <w:sz w:val="20"/>
                <w:szCs w:val="20"/>
              </w:rPr>
              <w:t xml:space="preserve">MS patients with serum immunoreactivity against </w:t>
            </w:r>
            <w:r>
              <w:rPr>
                <w:i/>
                <w:sz w:val="20"/>
                <w:szCs w:val="20"/>
              </w:rPr>
              <w:t xml:space="preserve">B burgdorferi </w:t>
            </w:r>
            <w:r>
              <w:rPr>
                <w:sz w:val="20"/>
                <w:szCs w:val="20"/>
              </w:rPr>
              <w:t>lack evidence of CNS infection with this organism.</w:t>
            </w:r>
          </w:p>
        </w:tc>
      </w:tr>
      <w:tr w:rsidR="002D58E4" w14:paraId="59CDE1FB" w14:textId="77777777" w:rsidTr="003D1C11">
        <w:trPr>
          <w:trHeight w:val="46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60EEB41" w14:textId="77777777" w:rsidR="002D58E4" w:rsidRPr="002914A2" w:rsidRDefault="00F721D4">
            <w:pPr>
              <w:rPr>
                <w:sz w:val="20"/>
                <w:szCs w:val="20"/>
                <w:lang w:val="fr-CA"/>
              </w:rPr>
            </w:pPr>
            <w:r w:rsidRPr="002914A2">
              <w:rPr>
                <w:sz w:val="20"/>
                <w:szCs w:val="20"/>
                <w:lang w:val="fr-CA"/>
              </w:rPr>
              <w:t>Chmielewska-Badora, et al., 2000</w:t>
            </w:r>
          </w:p>
          <w:p w14:paraId="65640D01" w14:textId="77777777" w:rsidR="002D58E4" w:rsidRPr="002914A2" w:rsidRDefault="002D58E4">
            <w:pPr>
              <w:rPr>
                <w:sz w:val="20"/>
                <w:szCs w:val="20"/>
                <w:lang w:val="fr-CA"/>
              </w:rPr>
            </w:pPr>
          </w:p>
          <w:p w14:paraId="4A53CAE3" w14:textId="77777777" w:rsidR="002D58E4" w:rsidRPr="002914A2" w:rsidRDefault="00F721D4">
            <w:pPr>
              <w:rPr>
                <w:sz w:val="20"/>
                <w:szCs w:val="20"/>
                <w:lang w:val="fr-CA"/>
              </w:rPr>
            </w:pPr>
            <w:r w:rsidRPr="002914A2">
              <w:rPr>
                <w:sz w:val="20"/>
                <w:szCs w:val="20"/>
                <w:lang w:val="fr-CA"/>
              </w:rPr>
              <w:t>Poland</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B9B330C"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C01F8E6" w14:textId="77777777" w:rsidR="002D58E4" w:rsidRDefault="00F721D4">
            <w:pPr>
              <w:jc w:val="center"/>
              <w:rPr>
                <w:sz w:val="20"/>
                <w:szCs w:val="20"/>
              </w:rPr>
            </w:pPr>
            <w:r>
              <w:rPr>
                <w:sz w:val="20"/>
                <w:szCs w:val="20"/>
              </w:rPr>
              <w:t>5</w:t>
            </w:r>
          </w:p>
        </w:tc>
        <w:tc>
          <w:tcPr>
            <w:tcW w:w="2630" w:type="dxa"/>
            <w:tcBorders>
              <w:top w:val="single" w:sz="6" w:space="0" w:color="AEAEAE"/>
              <w:left w:val="single" w:sz="6" w:space="0" w:color="AEAEAE"/>
              <w:bottom w:val="single" w:sz="6" w:space="0" w:color="AEAEAE"/>
              <w:right w:val="single" w:sz="6" w:space="0" w:color="AEAEAE"/>
            </w:tcBorders>
            <w:vAlign w:val="center"/>
          </w:tcPr>
          <w:p w14:paraId="52B66978" w14:textId="77777777" w:rsidR="002D58E4" w:rsidRDefault="00F721D4">
            <w:pPr>
              <w:rPr>
                <w:sz w:val="20"/>
                <w:szCs w:val="20"/>
              </w:rPr>
            </w:pPr>
            <w:r>
              <w:rPr>
                <w:sz w:val="20"/>
                <w:szCs w:val="20"/>
              </w:rPr>
              <w:t xml:space="preserve">Serum IgM and IgG antibodies for </w:t>
            </w:r>
            <w:r>
              <w:rPr>
                <w:i/>
                <w:sz w:val="20"/>
                <w:szCs w:val="20"/>
              </w:rPr>
              <w:t>B. afzelii</w:t>
            </w:r>
            <w:r>
              <w:rPr>
                <w:sz w:val="20"/>
                <w:szCs w:val="20"/>
              </w:rPr>
              <w:t xml:space="preserve"> were measured by ELISA. Clinical presentation and tick bite history were also assessed. </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3AF8F93C" w14:textId="77777777" w:rsidR="002D58E4" w:rsidRDefault="00F721D4">
            <w:pPr>
              <w:rPr>
                <w:sz w:val="20"/>
                <w:szCs w:val="20"/>
              </w:rPr>
            </w:pPr>
            <w:r>
              <w:rPr>
                <w:sz w:val="20"/>
                <w:szCs w:val="20"/>
              </w:rPr>
              <w:t xml:space="preserve">769 adult neurological patients with various diagnoses living in an endemic area. </w:t>
            </w:r>
          </w:p>
          <w:p w14:paraId="7C7E4810" w14:textId="77777777" w:rsidR="002D58E4" w:rsidRDefault="002D58E4">
            <w:pPr>
              <w:rPr>
                <w:sz w:val="20"/>
                <w:szCs w:val="20"/>
              </w:rPr>
            </w:pPr>
          </w:p>
          <w:p w14:paraId="139F82C7" w14:textId="77777777" w:rsidR="002D58E4" w:rsidRDefault="00F721D4">
            <w:pPr>
              <w:rPr>
                <w:sz w:val="20"/>
                <w:szCs w:val="20"/>
              </w:rPr>
            </w:pPr>
            <w:r>
              <w:rPr>
                <w:sz w:val="20"/>
                <w:szCs w:val="20"/>
              </w:rPr>
              <w:t xml:space="preserve">26 patients were diagnosed with multiple sclerosis based on clinical examination and MRI, and 25 patients were diagnosed with neuroborreliosis.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968D499" w14:textId="77777777" w:rsidR="002D58E4" w:rsidRDefault="00F721D4">
            <w:pPr>
              <w:rPr>
                <w:sz w:val="20"/>
                <w:szCs w:val="20"/>
              </w:rPr>
            </w:pPr>
            <w:r>
              <w:rPr>
                <w:sz w:val="20"/>
                <w:szCs w:val="20"/>
              </w:rPr>
              <w:t>38.5% (10 of 26) of MS patients were seropositive.</w:t>
            </w:r>
          </w:p>
          <w:p w14:paraId="75B0D648" w14:textId="77777777" w:rsidR="002D58E4" w:rsidRDefault="002D58E4">
            <w:pPr>
              <w:rPr>
                <w:sz w:val="20"/>
                <w:szCs w:val="20"/>
              </w:rPr>
            </w:pPr>
          </w:p>
          <w:p w14:paraId="1C198D28" w14:textId="77777777" w:rsidR="002D58E4" w:rsidRDefault="00F721D4">
            <w:pPr>
              <w:rPr>
                <w:sz w:val="20"/>
                <w:szCs w:val="20"/>
              </w:rPr>
            </w:pPr>
            <w:r>
              <w:rPr>
                <w:sz w:val="20"/>
                <w:szCs w:val="20"/>
              </w:rPr>
              <w:t xml:space="preserve">19.4% (149 of 769) of the overall examined neurological patients were seropositive.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B48FAE5" w14:textId="77777777" w:rsidR="002D58E4" w:rsidRDefault="00F721D4">
            <w:pPr>
              <w:rPr>
                <w:sz w:val="20"/>
                <w:szCs w:val="20"/>
              </w:rPr>
            </w:pPr>
            <w:r>
              <w:rPr>
                <w:sz w:val="20"/>
                <w:szCs w:val="20"/>
              </w:rPr>
              <w:t>The relationship between diagnosis of MS and presence of anti-</w:t>
            </w:r>
            <w:r>
              <w:rPr>
                <w:i/>
                <w:sz w:val="20"/>
                <w:szCs w:val="20"/>
              </w:rPr>
              <w:t>Borrelia</w:t>
            </w:r>
            <w:r>
              <w:rPr>
                <w:sz w:val="20"/>
                <w:szCs w:val="20"/>
              </w:rPr>
              <w:t xml:space="preserve"> antibodies was found to be statistically significant in this cohort of patients (p= 0.04). The authors concluded that MS may be associated with </w:t>
            </w:r>
            <w:r>
              <w:rPr>
                <w:i/>
                <w:sz w:val="20"/>
                <w:szCs w:val="20"/>
              </w:rPr>
              <w:t>Borrelia</w:t>
            </w:r>
            <w:r>
              <w:rPr>
                <w:sz w:val="20"/>
                <w:szCs w:val="20"/>
              </w:rPr>
              <w:t xml:space="preserve"> infection but indicated that further studies were required to suggest any recommendation.</w:t>
            </w:r>
          </w:p>
        </w:tc>
      </w:tr>
      <w:tr w:rsidR="002D58E4" w14:paraId="66A627E6" w14:textId="77777777" w:rsidTr="003D1C11">
        <w:trPr>
          <w:trHeight w:val="46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A633C44" w14:textId="77777777" w:rsidR="002D58E4" w:rsidRPr="002914A2" w:rsidRDefault="00F721D4">
            <w:pPr>
              <w:rPr>
                <w:sz w:val="20"/>
                <w:szCs w:val="20"/>
                <w:lang w:val="fr-CA"/>
              </w:rPr>
            </w:pPr>
            <w:r w:rsidRPr="002914A2">
              <w:rPr>
                <w:sz w:val="20"/>
                <w:szCs w:val="20"/>
                <w:lang w:val="fr-CA"/>
              </w:rPr>
              <w:t>Mosayebi, et al., 2009</w:t>
            </w:r>
          </w:p>
          <w:p w14:paraId="5C0BCDA0" w14:textId="77777777" w:rsidR="002D58E4" w:rsidRPr="002914A2" w:rsidRDefault="002D58E4">
            <w:pPr>
              <w:rPr>
                <w:sz w:val="20"/>
                <w:szCs w:val="20"/>
                <w:lang w:val="fr-CA"/>
              </w:rPr>
            </w:pPr>
          </w:p>
          <w:p w14:paraId="4BDC538F" w14:textId="77777777" w:rsidR="002D58E4" w:rsidRPr="002914A2" w:rsidRDefault="00F721D4">
            <w:pPr>
              <w:rPr>
                <w:sz w:val="20"/>
                <w:szCs w:val="20"/>
                <w:lang w:val="fr-CA"/>
              </w:rPr>
            </w:pPr>
            <w:r w:rsidRPr="002914A2">
              <w:rPr>
                <w:sz w:val="20"/>
                <w:szCs w:val="20"/>
                <w:lang w:val="fr-CA"/>
              </w:rPr>
              <w:t>Arak, Iran</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5E7E6605"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21CBC30" w14:textId="77777777" w:rsidR="002D58E4" w:rsidRDefault="00F721D4">
            <w:pPr>
              <w:jc w:val="center"/>
              <w:rPr>
                <w:sz w:val="20"/>
                <w:szCs w:val="20"/>
              </w:rPr>
            </w:pPr>
            <w:r>
              <w:rPr>
                <w:sz w:val="20"/>
                <w:szCs w:val="20"/>
              </w:rPr>
              <w:t>6</w:t>
            </w:r>
          </w:p>
        </w:tc>
        <w:tc>
          <w:tcPr>
            <w:tcW w:w="2630" w:type="dxa"/>
            <w:tcBorders>
              <w:top w:val="single" w:sz="6" w:space="0" w:color="AEAEAE"/>
              <w:left w:val="single" w:sz="6" w:space="0" w:color="AEAEAE"/>
              <w:bottom w:val="single" w:sz="6" w:space="0" w:color="AEAEAE"/>
              <w:right w:val="single" w:sz="6" w:space="0" w:color="AEAEAE"/>
            </w:tcBorders>
            <w:vAlign w:val="center"/>
          </w:tcPr>
          <w:p w14:paraId="136C4645" w14:textId="77777777" w:rsidR="002D58E4" w:rsidRDefault="00F721D4">
            <w:pPr>
              <w:rPr>
                <w:sz w:val="20"/>
                <w:szCs w:val="20"/>
              </w:rPr>
            </w:pPr>
            <w:r>
              <w:rPr>
                <w:sz w:val="20"/>
                <w:szCs w:val="20"/>
              </w:rPr>
              <w:t xml:space="preserve">IgM and IgG antibodies for </w:t>
            </w:r>
            <w:r>
              <w:rPr>
                <w:i/>
                <w:sz w:val="20"/>
                <w:szCs w:val="20"/>
              </w:rPr>
              <w:t xml:space="preserve">B. burgdorferi </w:t>
            </w:r>
            <w:r>
              <w:rPr>
                <w:sz w:val="20"/>
                <w:szCs w:val="20"/>
              </w:rPr>
              <w:t>were detected in serum by ELISA.</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3BD08DD3" w14:textId="77777777" w:rsidR="002D58E4" w:rsidRDefault="00F721D4">
            <w:pPr>
              <w:rPr>
                <w:sz w:val="20"/>
                <w:szCs w:val="20"/>
              </w:rPr>
            </w:pPr>
            <w:r>
              <w:rPr>
                <w:sz w:val="20"/>
                <w:szCs w:val="20"/>
              </w:rPr>
              <w:t xml:space="preserve">31 new cases of MS patients and 65 healthy controls.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ADD9970" w14:textId="77777777" w:rsidR="002D58E4" w:rsidRDefault="00F721D4">
            <w:pPr>
              <w:rPr>
                <w:sz w:val="20"/>
                <w:szCs w:val="20"/>
              </w:rPr>
            </w:pPr>
            <w:r>
              <w:rPr>
                <w:sz w:val="20"/>
                <w:szCs w:val="20"/>
              </w:rPr>
              <w:t>ND</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25449F6" w14:textId="77777777" w:rsidR="002D58E4" w:rsidRDefault="00F721D4">
            <w:pPr>
              <w:rPr>
                <w:sz w:val="20"/>
                <w:szCs w:val="20"/>
              </w:rPr>
            </w:pPr>
            <w:r>
              <w:rPr>
                <w:sz w:val="20"/>
                <w:szCs w:val="20"/>
              </w:rPr>
              <w:t xml:space="preserve">The authors found a significant difference between case and control groups with regard to prevalence of IgM antibody titer against </w:t>
            </w:r>
            <w:r>
              <w:rPr>
                <w:i/>
                <w:sz w:val="20"/>
                <w:szCs w:val="20"/>
              </w:rPr>
              <w:t xml:space="preserve">B. burgdorferi </w:t>
            </w:r>
            <w:r>
              <w:rPr>
                <w:sz w:val="20"/>
                <w:szCs w:val="20"/>
              </w:rPr>
              <w:t>(p=0.0001). They concluded that the probability of MS may be increased by acute Borrelia infection.</w:t>
            </w:r>
          </w:p>
        </w:tc>
      </w:tr>
      <w:tr w:rsidR="002D58E4" w14:paraId="535B7CCD"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F5591FA" w14:textId="77777777" w:rsidR="002D58E4" w:rsidRDefault="00F721D4">
            <w:pPr>
              <w:rPr>
                <w:sz w:val="20"/>
                <w:szCs w:val="20"/>
              </w:rPr>
            </w:pPr>
            <w:r>
              <w:rPr>
                <w:sz w:val="20"/>
                <w:szCs w:val="20"/>
              </w:rPr>
              <w:t>O’Mahony, et al., 2010</w:t>
            </w:r>
          </w:p>
          <w:p w14:paraId="60CDDB1E" w14:textId="77777777" w:rsidR="002D58E4" w:rsidRDefault="002D58E4">
            <w:pPr>
              <w:rPr>
                <w:sz w:val="20"/>
                <w:szCs w:val="20"/>
              </w:rPr>
            </w:pPr>
          </w:p>
          <w:p w14:paraId="545BE9AF" w14:textId="77777777" w:rsidR="002D58E4" w:rsidRDefault="00F721D4">
            <w:pPr>
              <w:rPr>
                <w:sz w:val="20"/>
                <w:szCs w:val="20"/>
              </w:rPr>
            </w:pPr>
            <w:r>
              <w:rPr>
                <w:sz w:val="20"/>
                <w:szCs w:val="20"/>
              </w:rPr>
              <w:t>Canada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6520CBF8"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63DCA6D" w14:textId="77777777" w:rsidR="002D58E4" w:rsidRDefault="00F721D4">
            <w:pPr>
              <w:jc w:val="center"/>
              <w:rPr>
                <w:sz w:val="20"/>
                <w:szCs w:val="20"/>
              </w:rPr>
            </w:pPr>
            <w:r>
              <w:rPr>
                <w:sz w:val="20"/>
                <w:szCs w:val="20"/>
              </w:rPr>
              <w:t>4</w:t>
            </w:r>
          </w:p>
        </w:tc>
        <w:tc>
          <w:tcPr>
            <w:tcW w:w="2630" w:type="dxa"/>
            <w:tcBorders>
              <w:top w:val="single" w:sz="6" w:space="0" w:color="AEAEAE"/>
              <w:left w:val="single" w:sz="6" w:space="0" w:color="AEAEAE"/>
              <w:bottom w:val="single" w:sz="6" w:space="0" w:color="AEAEAE"/>
              <w:right w:val="single" w:sz="6" w:space="0" w:color="AEAEAE"/>
            </w:tcBorders>
            <w:vAlign w:val="center"/>
          </w:tcPr>
          <w:p w14:paraId="7B8B8F8F" w14:textId="77777777" w:rsidR="002D58E4" w:rsidRDefault="00F721D4">
            <w:pPr>
              <w:jc w:val="center"/>
              <w:rPr>
                <w:sz w:val="20"/>
                <w:szCs w:val="20"/>
              </w:rPr>
            </w:pPr>
            <w:r>
              <w:rPr>
                <w:sz w:val="20"/>
                <w:szCs w:val="20"/>
              </w:rPr>
              <w:t>ND</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340F6A98" w14:textId="77777777" w:rsidR="002D58E4" w:rsidRDefault="00F721D4">
            <w:pPr>
              <w:rPr>
                <w:sz w:val="20"/>
                <w:szCs w:val="20"/>
              </w:rPr>
            </w:pPr>
            <w:r>
              <w:rPr>
                <w:sz w:val="20"/>
                <w:szCs w:val="20"/>
              </w:rPr>
              <w:t xml:space="preserve">19 children (median age 11.7 years; range 1-15) initially diagnosed with acute demyelinating syndromes (ADS).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E79169E" w14:textId="77777777" w:rsidR="002D58E4" w:rsidRDefault="00F721D4">
            <w:pPr>
              <w:rPr>
                <w:sz w:val="20"/>
                <w:szCs w:val="20"/>
              </w:rPr>
            </w:pPr>
            <w:r>
              <w:rPr>
                <w:sz w:val="20"/>
                <w:szCs w:val="20"/>
              </w:rPr>
              <w:t xml:space="preserve"> One of 19 (0.05%) children initially diagnosed with ADS was subsequently diagnosed with Lyme disease manifesting as transverse myelitis.</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6659D98" w14:textId="77777777" w:rsidR="002D58E4" w:rsidRDefault="00F721D4">
            <w:pPr>
              <w:rPr>
                <w:sz w:val="20"/>
                <w:szCs w:val="20"/>
              </w:rPr>
            </w:pPr>
            <w:r>
              <w:rPr>
                <w:sz w:val="20"/>
                <w:szCs w:val="20"/>
              </w:rPr>
              <w:t>The authors concluded that patients presenting with symptoms of ADS should be assessed for atypical presentation and that their clinical, laboratory, and MRI features should be monitored to exclude alternate diagnoses.</w:t>
            </w:r>
          </w:p>
        </w:tc>
      </w:tr>
      <w:tr w:rsidR="002D58E4" w14:paraId="4DB97633"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7CFA13B" w14:textId="77777777" w:rsidR="002D58E4" w:rsidRDefault="00F721D4">
            <w:pPr>
              <w:rPr>
                <w:sz w:val="20"/>
                <w:szCs w:val="20"/>
              </w:rPr>
            </w:pPr>
            <w:r>
              <w:rPr>
                <w:sz w:val="20"/>
                <w:szCs w:val="20"/>
              </w:rPr>
              <w:t>Spirin, et al., 2010</w:t>
            </w:r>
          </w:p>
          <w:p w14:paraId="73694FB0" w14:textId="77777777" w:rsidR="002D58E4" w:rsidRDefault="002D58E4">
            <w:pPr>
              <w:rPr>
                <w:sz w:val="20"/>
                <w:szCs w:val="20"/>
              </w:rPr>
            </w:pPr>
          </w:p>
          <w:p w14:paraId="2A230B80" w14:textId="77777777" w:rsidR="002D58E4" w:rsidRDefault="00F721D4">
            <w:pPr>
              <w:rPr>
                <w:sz w:val="20"/>
                <w:szCs w:val="20"/>
              </w:rPr>
            </w:pPr>
            <w:r>
              <w:rPr>
                <w:sz w:val="20"/>
                <w:szCs w:val="20"/>
              </w:rPr>
              <w:t>Yaroslavl, Russia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1D7CEB05"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C50D729" w14:textId="77777777" w:rsidR="002D58E4" w:rsidRDefault="00F721D4">
            <w:pPr>
              <w:jc w:val="center"/>
              <w:rPr>
                <w:sz w:val="20"/>
                <w:szCs w:val="20"/>
              </w:rPr>
            </w:pPr>
            <w:r>
              <w:rPr>
                <w:sz w:val="20"/>
                <w:szCs w:val="20"/>
              </w:rPr>
              <w:t>5</w:t>
            </w:r>
          </w:p>
        </w:tc>
        <w:tc>
          <w:tcPr>
            <w:tcW w:w="2630" w:type="dxa"/>
            <w:tcBorders>
              <w:top w:val="single" w:sz="6" w:space="0" w:color="AEAEAE"/>
              <w:left w:val="single" w:sz="6" w:space="0" w:color="AEAEAE"/>
              <w:bottom w:val="single" w:sz="6" w:space="0" w:color="AEAEAE"/>
              <w:right w:val="single" w:sz="6" w:space="0" w:color="AEAEAE"/>
            </w:tcBorders>
            <w:vAlign w:val="center"/>
          </w:tcPr>
          <w:p w14:paraId="245B3084" w14:textId="77777777" w:rsidR="002D58E4" w:rsidRDefault="00F721D4">
            <w:pPr>
              <w:jc w:val="center"/>
              <w:rPr>
                <w:sz w:val="20"/>
                <w:szCs w:val="20"/>
              </w:rPr>
            </w:pPr>
            <w:r>
              <w:rPr>
                <w:sz w:val="20"/>
                <w:szCs w:val="20"/>
              </w:rPr>
              <w:t>ND</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5960EBA7" w14:textId="77777777" w:rsidR="002D58E4" w:rsidRDefault="00F721D4">
            <w:pPr>
              <w:rPr>
                <w:sz w:val="20"/>
                <w:szCs w:val="20"/>
              </w:rPr>
            </w:pPr>
            <w:r>
              <w:rPr>
                <w:sz w:val="20"/>
                <w:szCs w:val="20"/>
              </w:rPr>
              <w:t>10 patients with primary progressive multiple sclerosis (PPMS).</w:t>
            </w:r>
          </w:p>
          <w:p w14:paraId="763D4C3E" w14:textId="77777777" w:rsidR="002D58E4" w:rsidRDefault="002D58E4">
            <w:pPr>
              <w:rPr>
                <w:sz w:val="20"/>
                <w:szCs w:val="20"/>
              </w:rPr>
            </w:pPr>
          </w:p>
          <w:p w14:paraId="28A2D9EA" w14:textId="77777777" w:rsidR="002D58E4" w:rsidRDefault="00F721D4">
            <w:pPr>
              <w:rPr>
                <w:sz w:val="20"/>
                <w:szCs w:val="20"/>
              </w:rPr>
            </w:pPr>
            <w:r>
              <w:rPr>
                <w:sz w:val="20"/>
                <w:szCs w:val="20"/>
              </w:rPr>
              <w:t>10 patients with chronic progressive borrelial encephalomyelitis (CPBEM).</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A8EB55C" w14:textId="77777777" w:rsidR="002D58E4" w:rsidRDefault="00F721D4">
            <w:pPr>
              <w:rPr>
                <w:sz w:val="20"/>
                <w:szCs w:val="20"/>
              </w:rPr>
            </w:pPr>
            <w:r>
              <w:rPr>
                <w:sz w:val="20"/>
                <w:szCs w:val="20"/>
              </w:rPr>
              <w:t>ND</w:t>
            </w:r>
          </w:p>
          <w:p w14:paraId="1FD04B9D" w14:textId="77777777" w:rsidR="002D58E4" w:rsidRDefault="002D58E4">
            <w:pPr>
              <w:rPr>
                <w:sz w:val="20"/>
                <w:szCs w:val="20"/>
              </w:rPr>
            </w:pPr>
          </w:p>
          <w:p w14:paraId="14F17A90" w14:textId="77777777" w:rsidR="002D58E4" w:rsidRDefault="00F721D4">
            <w:pPr>
              <w:rPr>
                <w:sz w:val="20"/>
                <w:szCs w:val="20"/>
              </w:rPr>
            </w:pPr>
            <w:r>
              <w:rPr>
                <w:sz w:val="20"/>
                <w:szCs w:val="20"/>
              </w:rPr>
              <w:t xml:space="preserve">(30% of patients with PPMS recalled a tick bite, whereas 80% of patients with CPBEM recalled a tick bite. Difference not significant)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EF7A674" w14:textId="77777777" w:rsidR="002D58E4" w:rsidRDefault="00F721D4">
            <w:pPr>
              <w:rPr>
                <w:sz w:val="20"/>
                <w:szCs w:val="20"/>
              </w:rPr>
            </w:pPr>
            <w:r>
              <w:rPr>
                <w:sz w:val="20"/>
                <w:szCs w:val="20"/>
              </w:rPr>
              <w:t xml:space="preserve">The authors compared the clinical features of patients with PPMS to those with CPBEM. Patients with multiple sclerosis showed some significant differences from patients with borrelial encephalomyelitis, including the absence of erythema migrans (p= 0.015). These patients also were less likely to experience arthralgia (p= 0.005) or sensory dysfunction and did not have </w:t>
            </w:r>
            <w:r>
              <w:rPr>
                <w:i/>
                <w:sz w:val="20"/>
                <w:szCs w:val="20"/>
              </w:rPr>
              <w:t>B. burgdorferi</w:t>
            </w:r>
            <w:r>
              <w:rPr>
                <w:sz w:val="20"/>
                <w:szCs w:val="20"/>
              </w:rPr>
              <w:t xml:space="preserve"> antibodies in their CSF. </w:t>
            </w:r>
          </w:p>
        </w:tc>
      </w:tr>
      <w:tr w:rsidR="002D58E4" w14:paraId="42A649E0"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EF855FF" w14:textId="77777777" w:rsidR="002D58E4" w:rsidRPr="002914A2" w:rsidRDefault="00F721D4">
            <w:pPr>
              <w:rPr>
                <w:sz w:val="20"/>
                <w:szCs w:val="20"/>
                <w:lang w:val="fr-CA"/>
              </w:rPr>
            </w:pPr>
            <w:r w:rsidRPr="002914A2">
              <w:rPr>
                <w:sz w:val="20"/>
                <w:szCs w:val="20"/>
                <w:lang w:val="fr-CA"/>
              </w:rPr>
              <w:t>Radolovic Prenc, et al., 2011</w:t>
            </w:r>
          </w:p>
          <w:p w14:paraId="7807FECF" w14:textId="77777777" w:rsidR="002D58E4" w:rsidRPr="002914A2" w:rsidRDefault="002D58E4">
            <w:pPr>
              <w:rPr>
                <w:sz w:val="20"/>
                <w:szCs w:val="20"/>
                <w:lang w:val="fr-CA"/>
              </w:rPr>
            </w:pPr>
          </w:p>
          <w:p w14:paraId="65C74FF8" w14:textId="77777777" w:rsidR="002D58E4" w:rsidRPr="002914A2" w:rsidRDefault="00F721D4">
            <w:pPr>
              <w:rPr>
                <w:sz w:val="20"/>
                <w:szCs w:val="20"/>
                <w:lang w:val="fr-CA"/>
              </w:rPr>
            </w:pPr>
            <w:r w:rsidRPr="002914A2">
              <w:rPr>
                <w:sz w:val="20"/>
                <w:szCs w:val="20"/>
                <w:lang w:val="fr-CA"/>
              </w:rPr>
              <w:t>Croatia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2A53D834"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D9A0713" w14:textId="77777777" w:rsidR="002D58E4" w:rsidRDefault="00F721D4">
            <w:pPr>
              <w:jc w:val="center"/>
              <w:rPr>
                <w:sz w:val="20"/>
                <w:szCs w:val="20"/>
              </w:rPr>
            </w:pPr>
            <w:r>
              <w:rPr>
                <w:sz w:val="20"/>
                <w:szCs w:val="20"/>
              </w:rPr>
              <w:t>4</w:t>
            </w:r>
          </w:p>
        </w:tc>
        <w:tc>
          <w:tcPr>
            <w:tcW w:w="2630" w:type="dxa"/>
            <w:tcBorders>
              <w:top w:val="single" w:sz="6" w:space="0" w:color="AEAEAE"/>
              <w:left w:val="single" w:sz="6" w:space="0" w:color="AEAEAE"/>
              <w:bottom w:val="single" w:sz="6" w:space="0" w:color="AEAEAE"/>
              <w:right w:val="single" w:sz="6" w:space="0" w:color="AEAEAE"/>
            </w:tcBorders>
            <w:vAlign w:val="center"/>
          </w:tcPr>
          <w:p w14:paraId="490E48FB" w14:textId="77777777" w:rsidR="002D58E4" w:rsidRDefault="00F721D4">
            <w:pPr>
              <w:jc w:val="center"/>
              <w:rPr>
                <w:sz w:val="20"/>
                <w:szCs w:val="20"/>
              </w:rPr>
            </w:pPr>
            <w:r>
              <w:rPr>
                <w:sz w:val="20"/>
                <w:szCs w:val="20"/>
              </w:rPr>
              <w:t>ND</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4412A05F" w14:textId="77777777" w:rsidR="002D58E4" w:rsidRDefault="00F721D4">
            <w:pPr>
              <w:rPr>
                <w:sz w:val="20"/>
                <w:szCs w:val="20"/>
              </w:rPr>
            </w:pPr>
            <w:r>
              <w:rPr>
                <w:sz w:val="20"/>
                <w:szCs w:val="20"/>
              </w:rPr>
              <w:t>121 patients with clinically and laboratory-supported definite MS.</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99F3887" w14:textId="77777777" w:rsidR="002D58E4" w:rsidRDefault="00F721D4">
            <w:pPr>
              <w:rPr>
                <w:sz w:val="20"/>
                <w:szCs w:val="20"/>
              </w:rPr>
            </w:pPr>
            <w:r>
              <w:rPr>
                <w:sz w:val="20"/>
                <w:szCs w:val="20"/>
              </w:rPr>
              <w:t xml:space="preserve">A faulty MS diagnosis was found in 14 (16.9%) of 121 patients. </w:t>
            </w:r>
          </w:p>
          <w:p w14:paraId="0C48489F" w14:textId="77777777" w:rsidR="002D58E4" w:rsidRDefault="002D58E4">
            <w:pPr>
              <w:rPr>
                <w:sz w:val="20"/>
                <w:szCs w:val="20"/>
              </w:rPr>
            </w:pPr>
          </w:p>
          <w:p w14:paraId="4C16AA5E" w14:textId="77777777" w:rsidR="002D58E4" w:rsidRDefault="00F721D4">
            <w:pPr>
              <w:rPr>
                <w:sz w:val="20"/>
                <w:szCs w:val="20"/>
              </w:rPr>
            </w:pPr>
            <w:r>
              <w:rPr>
                <w:sz w:val="20"/>
                <w:szCs w:val="20"/>
              </w:rPr>
              <w:t xml:space="preserve">21.4% (3 of 14) faulty diagnoses were in patients diagnosed with Lyme disease.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C92B13E" w14:textId="77777777" w:rsidR="002D58E4" w:rsidRDefault="00F721D4">
            <w:pPr>
              <w:rPr>
                <w:sz w:val="20"/>
                <w:szCs w:val="20"/>
              </w:rPr>
            </w:pPr>
            <w:r>
              <w:rPr>
                <w:sz w:val="20"/>
                <w:szCs w:val="20"/>
              </w:rPr>
              <w:t xml:space="preserve">The authors concluded that the most commonly indicated examinations and diagnostic tests are not sufficient, and that serologic tests for </w:t>
            </w:r>
            <w:r>
              <w:rPr>
                <w:i/>
                <w:sz w:val="20"/>
                <w:szCs w:val="20"/>
              </w:rPr>
              <w:t xml:space="preserve">B. burgdorferi </w:t>
            </w:r>
            <w:r>
              <w:rPr>
                <w:sz w:val="20"/>
                <w:szCs w:val="20"/>
              </w:rPr>
              <w:t xml:space="preserve">were recommended in differential diagnosis of relapsing-remitting MS. </w:t>
            </w:r>
          </w:p>
        </w:tc>
      </w:tr>
      <w:tr w:rsidR="002D58E4" w14:paraId="6EA43B83" w14:textId="77777777" w:rsidTr="003D1C11">
        <w:trPr>
          <w:trHeight w:val="38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006CF29E" w14:textId="77777777" w:rsidR="002D58E4" w:rsidRDefault="00F721D4">
            <w:pPr>
              <w:jc w:val="center"/>
              <w:rPr>
                <w:b/>
                <w:sz w:val="20"/>
                <w:szCs w:val="20"/>
              </w:rPr>
            </w:pPr>
            <w:r>
              <w:rPr>
                <w:b/>
              </w:rPr>
              <w:t>Parkinsonism</w:t>
            </w:r>
          </w:p>
        </w:tc>
      </w:tr>
      <w:tr w:rsidR="002D58E4" w14:paraId="5E252DA0"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D8BFF90" w14:textId="77777777" w:rsidR="002D58E4" w:rsidRDefault="00F721D4">
            <w:pPr>
              <w:jc w:val="cente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6ED7F6C6"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6E23045C" w14:textId="77777777" w:rsidR="002D58E4" w:rsidRDefault="00F721D4">
            <w:pPr>
              <w:jc w:val="cente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506B3621" w14:textId="77777777" w:rsidR="002D58E4" w:rsidRDefault="00F721D4">
            <w:pPr>
              <w:jc w:val="center"/>
              <w:rPr>
                <w:b/>
                <w:color w:val="000000"/>
                <w:sz w:val="20"/>
                <w:szCs w:val="20"/>
              </w:rPr>
            </w:pPr>
            <w:r>
              <w:rPr>
                <w:b/>
                <w:color w:val="000000"/>
                <w:sz w:val="20"/>
                <w:szCs w:val="20"/>
              </w:rPr>
              <w:t>Lyme Disease Diagnosis method</w:t>
            </w:r>
          </w:p>
        </w:tc>
        <w:tc>
          <w:tcPr>
            <w:tcW w:w="2977" w:type="dxa"/>
            <w:gridSpan w:val="2"/>
            <w:tcBorders>
              <w:top w:val="single" w:sz="6" w:space="0" w:color="AEAEAE"/>
              <w:left w:val="single" w:sz="6" w:space="0" w:color="AEAEAE"/>
              <w:bottom w:val="single" w:sz="6" w:space="0" w:color="AEAEAE"/>
              <w:right w:val="single" w:sz="6" w:space="0" w:color="AEAEAE"/>
            </w:tcBorders>
            <w:shd w:val="clear" w:color="auto" w:fill="D9D9D9"/>
          </w:tcPr>
          <w:p w14:paraId="3C0881CE" w14:textId="77777777" w:rsidR="002D58E4" w:rsidRDefault="00F721D4">
            <w:pPr>
              <w:jc w:val="center"/>
              <w:rPr>
                <w:sz w:val="20"/>
                <w:szCs w:val="20"/>
              </w:rPr>
            </w:pPr>
            <w:r>
              <w:rPr>
                <w:b/>
                <w:color w:val="000000"/>
                <w:sz w:val="20"/>
                <w:szCs w:val="20"/>
              </w:rPr>
              <w:t>Population characteristics and Observed Neurologic Presentation</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D68924E" w14:textId="77777777" w:rsidR="002D58E4" w:rsidRDefault="00F721D4">
            <w:pPr>
              <w:jc w:val="center"/>
              <w:rPr>
                <w:b/>
                <w:color w:val="000000"/>
                <w:sz w:val="20"/>
                <w:szCs w:val="20"/>
              </w:rPr>
            </w:pPr>
            <w:r>
              <w:rPr>
                <w:b/>
                <w:color w:val="000000"/>
                <w:sz w:val="20"/>
                <w:szCs w:val="20"/>
              </w:rPr>
              <w:t xml:space="preserve">Prevalence of Lyme in Patients with Disorder </w:t>
            </w:r>
            <w:r>
              <w:rPr>
                <w:b/>
                <w:i/>
                <w:color w:val="000000"/>
                <w:sz w:val="20"/>
                <w:szCs w:val="20"/>
                <w:u w:val="single"/>
              </w:rPr>
              <w:t>or</w:t>
            </w:r>
            <w:r>
              <w:rPr>
                <w:b/>
                <w:i/>
                <w:color w:val="000000"/>
                <w:sz w:val="20"/>
                <w:szCs w:val="20"/>
              </w:rPr>
              <w:t xml:space="preserve"> Prevalence of Disorder in Lyme patients</w:t>
            </w:r>
          </w:p>
        </w:tc>
        <w:tc>
          <w:tcPr>
            <w:tcW w:w="3309" w:type="dxa"/>
            <w:tcBorders>
              <w:top w:val="single" w:sz="6" w:space="0" w:color="AEAEAE"/>
              <w:left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1FC18557" w14:textId="77777777" w:rsidR="002D58E4" w:rsidRDefault="00F721D4">
            <w:pPr>
              <w:jc w:val="center"/>
              <w:rPr>
                <w:b/>
                <w:color w:val="000000"/>
                <w:sz w:val="20"/>
                <w:szCs w:val="20"/>
              </w:rPr>
            </w:pPr>
            <w:r>
              <w:rPr>
                <w:b/>
                <w:color w:val="000000"/>
                <w:sz w:val="20"/>
                <w:szCs w:val="20"/>
              </w:rPr>
              <w:t>Study Conclusions</w:t>
            </w:r>
          </w:p>
        </w:tc>
      </w:tr>
      <w:tr w:rsidR="002D58E4" w14:paraId="6B63C9EC"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35436DB" w14:textId="77777777" w:rsidR="002D58E4" w:rsidRDefault="00F721D4">
            <w:pPr>
              <w:rPr>
                <w:sz w:val="20"/>
                <w:szCs w:val="20"/>
              </w:rPr>
            </w:pPr>
            <w:r>
              <w:rPr>
                <w:sz w:val="20"/>
                <w:szCs w:val="20"/>
              </w:rPr>
              <w:t>Baranova and Bykanova, 2012</w:t>
            </w:r>
          </w:p>
          <w:p w14:paraId="60C94054" w14:textId="77777777" w:rsidR="002D58E4" w:rsidRDefault="002D58E4">
            <w:pPr>
              <w:rPr>
                <w:sz w:val="20"/>
                <w:szCs w:val="20"/>
              </w:rPr>
            </w:pPr>
          </w:p>
          <w:p w14:paraId="23B5CF61" w14:textId="77777777" w:rsidR="002D58E4" w:rsidRDefault="00F721D4">
            <w:pPr>
              <w:rPr>
                <w:sz w:val="20"/>
                <w:szCs w:val="20"/>
              </w:rPr>
            </w:pPr>
            <w:r>
              <w:rPr>
                <w:sz w:val="20"/>
                <w:szCs w:val="20"/>
              </w:rPr>
              <w:t>Russia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10E16F31"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373720F" w14:textId="77777777" w:rsidR="002D58E4" w:rsidRDefault="00F721D4">
            <w:pPr>
              <w:jc w:val="center"/>
              <w:rPr>
                <w:sz w:val="20"/>
                <w:szCs w:val="20"/>
              </w:rPr>
            </w:pPr>
            <w:r>
              <w:rPr>
                <w:sz w:val="20"/>
                <w:szCs w:val="20"/>
              </w:rPr>
              <w:t>3</w:t>
            </w:r>
          </w:p>
        </w:tc>
        <w:tc>
          <w:tcPr>
            <w:tcW w:w="2630" w:type="dxa"/>
            <w:tcBorders>
              <w:top w:val="single" w:sz="6" w:space="0" w:color="AEAEAE"/>
              <w:left w:val="single" w:sz="6" w:space="0" w:color="AEAEAE"/>
              <w:bottom w:val="single" w:sz="6" w:space="0" w:color="AEAEAE"/>
              <w:right w:val="single" w:sz="6" w:space="0" w:color="AEAEAE"/>
            </w:tcBorders>
            <w:vAlign w:val="center"/>
          </w:tcPr>
          <w:p w14:paraId="6EEB7952" w14:textId="77777777" w:rsidR="002D58E4" w:rsidRDefault="00F721D4">
            <w:pPr>
              <w:rPr>
                <w:sz w:val="20"/>
                <w:szCs w:val="20"/>
              </w:rPr>
            </w:pPr>
            <w:r>
              <w:rPr>
                <w:sz w:val="20"/>
                <w:szCs w:val="20"/>
              </w:rPr>
              <w:t xml:space="preserve">Chronic neuroborreliosis was defined by presence of neurologic symptoms ≤ 6 mo from appearance of EM and/or a tick bite or symptoms persisting for ≥6 mo; presence of antibodies to </w:t>
            </w:r>
            <w:r>
              <w:rPr>
                <w:i/>
                <w:sz w:val="20"/>
                <w:szCs w:val="20"/>
              </w:rPr>
              <w:t>B. burgdorferi</w:t>
            </w:r>
            <w:r>
              <w:rPr>
                <w:sz w:val="20"/>
                <w:szCs w:val="20"/>
              </w:rPr>
              <w:t xml:space="preserve"> in serum or CSF; clinical improvement from specific antibiotic therapy; the exclusion of other causes, which could explain development of existing symptoms</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5A9A30C1" w14:textId="77777777" w:rsidR="002D58E4" w:rsidRDefault="00F721D4">
            <w:pPr>
              <w:rPr>
                <w:sz w:val="20"/>
                <w:szCs w:val="20"/>
              </w:rPr>
            </w:pPr>
            <w:r>
              <w:rPr>
                <w:sz w:val="20"/>
                <w:szCs w:val="20"/>
              </w:rPr>
              <w:t>164 patients diagnosed with chronic neuroborreliosis participated in the study (70% female, 30% male, mean age 49.6 years old).</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84D4097" w14:textId="77777777" w:rsidR="002D58E4" w:rsidRDefault="00F721D4">
            <w:pPr>
              <w:rPr>
                <w:sz w:val="20"/>
                <w:szCs w:val="20"/>
              </w:rPr>
            </w:pPr>
            <w:r>
              <w:rPr>
                <w:sz w:val="20"/>
                <w:szCs w:val="20"/>
              </w:rPr>
              <w:t>Only 1 patient of 82 (1.2%) chronic neuroborreliosis cases reported Parkinson’s as a manifestation of Lyme disease.</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6B3D0F2" w14:textId="77777777" w:rsidR="002D58E4" w:rsidRDefault="00F721D4">
            <w:pPr>
              <w:rPr>
                <w:sz w:val="20"/>
                <w:szCs w:val="20"/>
              </w:rPr>
            </w:pPr>
            <w:r>
              <w:rPr>
                <w:sz w:val="20"/>
                <w:szCs w:val="20"/>
              </w:rPr>
              <w:t xml:space="preserve">Parkinson’s as a manifestation of neuroborreliosis is relatively rare. Treatment with antibiotic therapy significantly improved the symptoms in this patient. </w:t>
            </w:r>
          </w:p>
        </w:tc>
      </w:tr>
      <w:tr w:rsidR="002D58E4" w14:paraId="1DCCDD3F" w14:textId="77777777" w:rsidTr="003D1C11">
        <w:trPr>
          <w:trHeight w:val="32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6E46663B" w14:textId="77777777" w:rsidR="002D58E4" w:rsidRDefault="00F721D4">
            <w:pPr>
              <w:jc w:val="center"/>
              <w:rPr>
                <w:b/>
                <w:sz w:val="20"/>
                <w:szCs w:val="20"/>
              </w:rPr>
            </w:pPr>
            <w:r>
              <w:rPr>
                <w:b/>
              </w:rPr>
              <w:t>Dementia</w:t>
            </w:r>
          </w:p>
        </w:tc>
      </w:tr>
      <w:tr w:rsidR="002D58E4" w14:paraId="42BEDB81"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57507E72" w14:textId="77777777" w:rsidR="002D58E4" w:rsidRDefault="00F721D4">
            <w:pPr>
              <w:jc w:val="cente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460FBCF8"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64D162F6" w14:textId="77777777" w:rsidR="002D58E4" w:rsidRDefault="00F721D4">
            <w:pPr>
              <w:jc w:val="cente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4FCE74A6" w14:textId="77777777" w:rsidR="002D58E4" w:rsidRDefault="00F721D4">
            <w:pPr>
              <w:jc w:val="center"/>
              <w:rPr>
                <w:b/>
                <w:color w:val="000000"/>
                <w:sz w:val="20"/>
                <w:szCs w:val="20"/>
              </w:rPr>
            </w:pPr>
            <w:r>
              <w:rPr>
                <w:b/>
                <w:color w:val="000000"/>
                <w:sz w:val="20"/>
                <w:szCs w:val="20"/>
              </w:rPr>
              <w:t>Lyme Disease Diagnosis method</w:t>
            </w:r>
          </w:p>
        </w:tc>
        <w:tc>
          <w:tcPr>
            <w:tcW w:w="2977" w:type="dxa"/>
            <w:gridSpan w:val="2"/>
            <w:tcBorders>
              <w:top w:val="single" w:sz="6" w:space="0" w:color="AEAEAE"/>
              <w:left w:val="single" w:sz="6" w:space="0" w:color="AEAEAE"/>
              <w:bottom w:val="single" w:sz="6" w:space="0" w:color="AEAEAE"/>
              <w:right w:val="single" w:sz="6" w:space="0" w:color="AEAEAE"/>
            </w:tcBorders>
            <w:shd w:val="clear" w:color="auto" w:fill="D9D9D9"/>
          </w:tcPr>
          <w:p w14:paraId="3E5DD2C1" w14:textId="77777777" w:rsidR="002D58E4" w:rsidRDefault="00F721D4">
            <w:pPr>
              <w:jc w:val="center"/>
              <w:rPr>
                <w:sz w:val="20"/>
                <w:szCs w:val="20"/>
              </w:rPr>
            </w:pPr>
            <w:r>
              <w:rPr>
                <w:b/>
                <w:color w:val="000000"/>
                <w:sz w:val="20"/>
                <w:szCs w:val="20"/>
              </w:rPr>
              <w:t>Population characteristics and Observed Neurologic Presentation</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06B16C6" w14:textId="77777777" w:rsidR="002D58E4" w:rsidRDefault="00F721D4">
            <w:pPr>
              <w:jc w:val="center"/>
              <w:rPr>
                <w:b/>
                <w:color w:val="000000"/>
                <w:sz w:val="20"/>
                <w:szCs w:val="20"/>
              </w:rPr>
            </w:pPr>
            <w:r>
              <w:rPr>
                <w:b/>
                <w:color w:val="000000"/>
                <w:sz w:val="20"/>
                <w:szCs w:val="20"/>
              </w:rPr>
              <w:t xml:space="preserve">Prevalence of Lyme in Patients with Disorder </w:t>
            </w:r>
            <w:r>
              <w:rPr>
                <w:b/>
                <w:i/>
                <w:color w:val="000000"/>
                <w:sz w:val="20"/>
                <w:szCs w:val="20"/>
                <w:u w:val="single"/>
              </w:rPr>
              <w:t>or</w:t>
            </w:r>
            <w:r>
              <w:rPr>
                <w:b/>
                <w:i/>
                <w:color w:val="000000"/>
                <w:sz w:val="20"/>
                <w:szCs w:val="20"/>
              </w:rPr>
              <w:t xml:space="preserve"> Prevalence of Disorder in Lyme patients</w:t>
            </w:r>
          </w:p>
        </w:tc>
        <w:tc>
          <w:tcPr>
            <w:tcW w:w="3309" w:type="dxa"/>
            <w:tcBorders>
              <w:top w:val="single" w:sz="6" w:space="0" w:color="AEAEAE"/>
              <w:left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1755698C" w14:textId="77777777" w:rsidR="002D58E4" w:rsidRDefault="00F721D4">
            <w:pPr>
              <w:jc w:val="center"/>
              <w:rPr>
                <w:b/>
                <w:color w:val="000000"/>
                <w:sz w:val="20"/>
                <w:szCs w:val="20"/>
              </w:rPr>
            </w:pPr>
            <w:r>
              <w:rPr>
                <w:b/>
                <w:color w:val="000000"/>
                <w:sz w:val="20"/>
                <w:szCs w:val="20"/>
              </w:rPr>
              <w:t>Study Conclusions</w:t>
            </w:r>
          </w:p>
        </w:tc>
      </w:tr>
      <w:tr w:rsidR="002D58E4" w14:paraId="1C7823FA"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EF7ADD2" w14:textId="77777777" w:rsidR="002D58E4" w:rsidRDefault="00F721D4">
            <w:pPr>
              <w:rPr>
                <w:sz w:val="20"/>
                <w:szCs w:val="20"/>
              </w:rPr>
            </w:pPr>
            <w:r>
              <w:rPr>
                <w:sz w:val="20"/>
                <w:szCs w:val="20"/>
              </w:rPr>
              <w:t>Blanc, 2014</w:t>
            </w:r>
          </w:p>
          <w:p w14:paraId="6ED40F7A" w14:textId="77777777" w:rsidR="002D58E4" w:rsidRDefault="002D58E4">
            <w:pPr>
              <w:rPr>
                <w:sz w:val="20"/>
                <w:szCs w:val="20"/>
              </w:rPr>
            </w:pPr>
          </w:p>
          <w:p w14:paraId="5862B261" w14:textId="77777777" w:rsidR="002D58E4" w:rsidRDefault="00F721D4">
            <w:pPr>
              <w:rPr>
                <w:sz w:val="20"/>
                <w:szCs w:val="20"/>
              </w:rPr>
            </w:pPr>
            <w:r>
              <w:rPr>
                <w:sz w:val="20"/>
                <w:szCs w:val="20"/>
              </w:rPr>
              <w:t>Strasbourg, France</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5D622534"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93A204C" w14:textId="77777777" w:rsidR="002D58E4" w:rsidRDefault="00F721D4">
            <w:pPr>
              <w:jc w:val="center"/>
              <w:rPr>
                <w:sz w:val="20"/>
                <w:szCs w:val="20"/>
              </w:rPr>
            </w:pPr>
            <w:r>
              <w:rPr>
                <w:sz w:val="20"/>
                <w:szCs w:val="20"/>
              </w:rPr>
              <w:t>7</w:t>
            </w:r>
          </w:p>
        </w:tc>
        <w:tc>
          <w:tcPr>
            <w:tcW w:w="2630" w:type="dxa"/>
            <w:tcBorders>
              <w:top w:val="single" w:sz="6" w:space="0" w:color="AEAEAE"/>
              <w:left w:val="single" w:sz="6" w:space="0" w:color="AEAEAE"/>
              <w:bottom w:val="single" w:sz="6" w:space="0" w:color="AEAEAE"/>
              <w:right w:val="single" w:sz="6" w:space="0" w:color="AEAEAE"/>
            </w:tcBorders>
            <w:vAlign w:val="center"/>
          </w:tcPr>
          <w:p w14:paraId="65F5C65E" w14:textId="77777777" w:rsidR="002D58E4" w:rsidRDefault="00F721D4">
            <w:pPr>
              <w:rPr>
                <w:sz w:val="20"/>
                <w:szCs w:val="20"/>
              </w:rPr>
            </w:pPr>
            <w:r>
              <w:rPr>
                <w:i/>
                <w:sz w:val="20"/>
                <w:szCs w:val="20"/>
              </w:rPr>
              <w:t>B. burgdorferi</w:t>
            </w:r>
            <w:r>
              <w:rPr>
                <w:sz w:val="20"/>
                <w:szCs w:val="20"/>
              </w:rPr>
              <w:t xml:space="preserve"> ELISA, Antibody index, and Western Blot were</w:t>
            </w:r>
          </w:p>
          <w:p w14:paraId="20C7FE49" w14:textId="77777777" w:rsidR="002D58E4" w:rsidRDefault="00F721D4">
            <w:pPr>
              <w:rPr>
                <w:sz w:val="20"/>
                <w:szCs w:val="20"/>
              </w:rPr>
            </w:pPr>
            <w:r>
              <w:rPr>
                <w:sz w:val="20"/>
                <w:szCs w:val="20"/>
              </w:rPr>
              <w:t xml:space="preserve">performed on serum and CSF for IgG </w:t>
            </w:r>
          </w:p>
          <w:p w14:paraId="3372ECD8" w14:textId="77777777" w:rsidR="002D58E4" w:rsidRDefault="002D58E4">
            <w:pPr>
              <w:rPr>
                <w:sz w:val="20"/>
                <w:szCs w:val="20"/>
              </w:rPr>
            </w:pP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5AF4E865" w14:textId="77777777" w:rsidR="002D58E4" w:rsidRDefault="00F721D4">
            <w:pPr>
              <w:rPr>
                <w:sz w:val="20"/>
                <w:szCs w:val="20"/>
              </w:rPr>
            </w:pPr>
            <w:r>
              <w:rPr>
                <w:sz w:val="20"/>
                <w:szCs w:val="20"/>
              </w:rPr>
              <w:t xml:space="preserve">1,594 patients presenting with a dementia consistent with the DSM-IV definition. 65% of patients had Alzheimer’s disease dementia.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08440F0" w14:textId="77777777" w:rsidR="002D58E4" w:rsidRDefault="00F721D4">
            <w:pPr>
              <w:rPr>
                <w:sz w:val="20"/>
                <w:szCs w:val="20"/>
              </w:rPr>
            </w:pPr>
            <w:r>
              <w:rPr>
                <w:sz w:val="20"/>
                <w:szCs w:val="20"/>
              </w:rPr>
              <w:t xml:space="preserve">1.25% (20 out of 1,594) of dementia patients also had neuroborreliosis. 0.44% (7 out of 1,594) patients reported a “pure Lyme dementia.”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CBBED49" w14:textId="77777777" w:rsidR="002D58E4" w:rsidRDefault="00F721D4">
            <w:pPr>
              <w:rPr>
                <w:sz w:val="20"/>
                <w:szCs w:val="20"/>
              </w:rPr>
            </w:pPr>
            <w:r>
              <w:rPr>
                <w:sz w:val="20"/>
                <w:szCs w:val="20"/>
              </w:rPr>
              <w:t xml:space="preserve">Patients with “pure Lyme dementia” had a stable outcome or mild improvement after treatment with ceftriaxone. The authors indicated that in endemic areas, serological testing for antibodies to </w:t>
            </w:r>
            <w:r>
              <w:rPr>
                <w:i/>
                <w:sz w:val="20"/>
                <w:szCs w:val="20"/>
              </w:rPr>
              <w:t>B. burgdorferi</w:t>
            </w:r>
            <w:r>
              <w:rPr>
                <w:sz w:val="20"/>
                <w:szCs w:val="20"/>
              </w:rPr>
              <w:t xml:space="preserve"> should be done on dementia patients and should be confirmed by CSF analysis. </w:t>
            </w:r>
          </w:p>
          <w:p w14:paraId="008AE8E9" w14:textId="77777777" w:rsidR="002D58E4" w:rsidRDefault="002D58E4">
            <w:pPr>
              <w:rPr>
                <w:sz w:val="20"/>
                <w:szCs w:val="20"/>
              </w:rPr>
            </w:pPr>
          </w:p>
          <w:p w14:paraId="6C15D423" w14:textId="77777777" w:rsidR="002D58E4" w:rsidRDefault="00F721D4">
            <w:pPr>
              <w:rPr>
                <w:sz w:val="20"/>
                <w:szCs w:val="20"/>
              </w:rPr>
            </w:pPr>
            <w:r>
              <w:rPr>
                <w:sz w:val="20"/>
                <w:szCs w:val="20"/>
              </w:rPr>
              <w:t xml:space="preserve">The presence of “pure Lyme dementia” which was manageable with antibiotics in this cohort was the primary reason for this recommendation. </w:t>
            </w:r>
          </w:p>
        </w:tc>
      </w:tr>
      <w:tr w:rsidR="002D58E4" w14:paraId="181F6DA1" w14:textId="77777777" w:rsidTr="003D1C11">
        <w:trPr>
          <w:trHeight w:val="32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4808E3FE" w14:textId="77777777" w:rsidR="002D58E4" w:rsidRDefault="00F721D4">
            <w:pPr>
              <w:jc w:val="center"/>
              <w:rPr>
                <w:b/>
              </w:rPr>
            </w:pPr>
            <w:r>
              <w:rPr>
                <w:b/>
              </w:rPr>
              <w:t>Amyotrophic Lateral Sclerosis (ALS)</w:t>
            </w:r>
          </w:p>
        </w:tc>
      </w:tr>
      <w:tr w:rsidR="002D58E4" w14:paraId="3E6637E6"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8BD719D" w14:textId="77777777" w:rsidR="002D58E4" w:rsidRDefault="00F721D4">
            <w:pPr>
              <w:jc w:val="cente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66BC4962"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60581B07" w14:textId="77777777" w:rsidR="002D58E4" w:rsidRDefault="00F721D4">
            <w:pPr>
              <w:jc w:val="cente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2F11C0FF" w14:textId="77777777" w:rsidR="002D58E4" w:rsidRDefault="00F721D4">
            <w:pPr>
              <w:jc w:val="center"/>
              <w:rPr>
                <w:b/>
                <w:color w:val="000000"/>
                <w:sz w:val="20"/>
                <w:szCs w:val="20"/>
              </w:rPr>
            </w:pPr>
            <w:r>
              <w:rPr>
                <w:b/>
                <w:color w:val="000000"/>
                <w:sz w:val="20"/>
                <w:szCs w:val="20"/>
              </w:rPr>
              <w:t>Lyme Disease Diagnosis method</w:t>
            </w:r>
          </w:p>
        </w:tc>
        <w:tc>
          <w:tcPr>
            <w:tcW w:w="2977" w:type="dxa"/>
            <w:gridSpan w:val="2"/>
            <w:tcBorders>
              <w:top w:val="single" w:sz="6" w:space="0" w:color="AEAEAE"/>
              <w:left w:val="single" w:sz="6" w:space="0" w:color="AEAEAE"/>
              <w:bottom w:val="single" w:sz="6" w:space="0" w:color="AEAEAE"/>
              <w:right w:val="single" w:sz="6" w:space="0" w:color="AEAEAE"/>
            </w:tcBorders>
            <w:shd w:val="clear" w:color="auto" w:fill="D9D9D9"/>
          </w:tcPr>
          <w:p w14:paraId="5725CE3A" w14:textId="77777777" w:rsidR="002D58E4" w:rsidRDefault="00F721D4">
            <w:pPr>
              <w:jc w:val="center"/>
              <w:rPr>
                <w:sz w:val="20"/>
                <w:szCs w:val="20"/>
              </w:rPr>
            </w:pPr>
            <w:r>
              <w:rPr>
                <w:b/>
                <w:color w:val="000000"/>
                <w:sz w:val="20"/>
                <w:szCs w:val="20"/>
              </w:rPr>
              <w:t>Population characteristics and Observed Neurologic Presentation</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60656DDF" w14:textId="77777777" w:rsidR="002D58E4" w:rsidRDefault="00F721D4">
            <w:pPr>
              <w:jc w:val="center"/>
              <w:rPr>
                <w:b/>
                <w:color w:val="000000"/>
                <w:sz w:val="20"/>
                <w:szCs w:val="20"/>
              </w:rPr>
            </w:pPr>
            <w:r>
              <w:rPr>
                <w:b/>
                <w:color w:val="000000"/>
                <w:sz w:val="20"/>
                <w:szCs w:val="20"/>
              </w:rPr>
              <w:t xml:space="preserve">Prevalence of Lyme in Patients with Disorder </w:t>
            </w:r>
            <w:r>
              <w:rPr>
                <w:b/>
                <w:i/>
                <w:color w:val="000000"/>
                <w:sz w:val="20"/>
                <w:szCs w:val="20"/>
                <w:u w:val="single"/>
              </w:rPr>
              <w:t>or</w:t>
            </w:r>
            <w:r>
              <w:rPr>
                <w:b/>
                <w:i/>
                <w:color w:val="000000"/>
                <w:sz w:val="20"/>
                <w:szCs w:val="20"/>
              </w:rPr>
              <w:t xml:space="preserve"> Prevalence of Disorder in Lyme patients</w:t>
            </w:r>
          </w:p>
        </w:tc>
        <w:tc>
          <w:tcPr>
            <w:tcW w:w="3309" w:type="dxa"/>
            <w:tcBorders>
              <w:top w:val="single" w:sz="6" w:space="0" w:color="AEAEAE"/>
              <w:left w:val="single" w:sz="6" w:space="0" w:color="AEAEAE"/>
              <w:bottom w:val="single" w:sz="6" w:space="0" w:color="AEAEAE"/>
              <w:right w:val="single" w:sz="6" w:space="0" w:color="AEAEAE"/>
            </w:tcBorders>
            <w:shd w:val="clear" w:color="auto" w:fill="D9D9D9"/>
          </w:tcPr>
          <w:p w14:paraId="2E34E5F2" w14:textId="77777777" w:rsidR="002D58E4" w:rsidRDefault="00F721D4">
            <w:pPr>
              <w:jc w:val="center"/>
              <w:rPr>
                <w:b/>
                <w:color w:val="000000"/>
                <w:sz w:val="20"/>
                <w:szCs w:val="20"/>
              </w:rPr>
            </w:pPr>
            <w:r>
              <w:rPr>
                <w:b/>
                <w:color w:val="000000"/>
                <w:sz w:val="20"/>
                <w:szCs w:val="20"/>
              </w:rPr>
              <w:t>Study Conclusions</w:t>
            </w:r>
          </w:p>
        </w:tc>
      </w:tr>
      <w:tr w:rsidR="002D58E4" w14:paraId="662E7514"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27B5B3A" w14:textId="77777777" w:rsidR="002D58E4" w:rsidRDefault="00F721D4">
            <w:pPr>
              <w:rPr>
                <w:sz w:val="20"/>
                <w:szCs w:val="20"/>
              </w:rPr>
            </w:pPr>
            <w:r>
              <w:rPr>
                <w:sz w:val="20"/>
                <w:szCs w:val="20"/>
              </w:rPr>
              <w:t>Halperin, et al., 1990</w:t>
            </w:r>
          </w:p>
          <w:p w14:paraId="0167B6C3" w14:textId="77777777" w:rsidR="002D58E4" w:rsidRDefault="002D58E4">
            <w:pPr>
              <w:rPr>
                <w:sz w:val="20"/>
                <w:szCs w:val="20"/>
              </w:rPr>
            </w:pPr>
          </w:p>
          <w:p w14:paraId="02DAFF88" w14:textId="77777777" w:rsidR="002D58E4" w:rsidRDefault="00F721D4">
            <w:pPr>
              <w:rPr>
                <w:sz w:val="20"/>
                <w:szCs w:val="20"/>
              </w:rPr>
            </w:pPr>
            <w:r>
              <w:rPr>
                <w:sz w:val="20"/>
                <w:szCs w:val="20"/>
              </w:rPr>
              <w:t>Suffolk County and Nassau County, NY and Boston, MA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2689A9B9"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0A40EEB8" w14:textId="77777777" w:rsidR="002D58E4" w:rsidRDefault="00F721D4">
            <w:pPr>
              <w:jc w:val="center"/>
              <w:rPr>
                <w:sz w:val="20"/>
                <w:szCs w:val="20"/>
              </w:rPr>
            </w:pPr>
            <w:r>
              <w:rPr>
                <w:sz w:val="20"/>
                <w:szCs w:val="20"/>
              </w:rPr>
              <w:t>8</w:t>
            </w:r>
          </w:p>
        </w:tc>
        <w:tc>
          <w:tcPr>
            <w:tcW w:w="2630" w:type="dxa"/>
            <w:tcBorders>
              <w:top w:val="single" w:sz="6" w:space="0" w:color="AEAEAE"/>
              <w:left w:val="single" w:sz="6" w:space="0" w:color="AEAEAE"/>
              <w:bottom w:val="single" w:sz="6" w:space="0" w:color="AEAEAE"/>
              <w:right w:val="single" w:sz="6" w:space="0" w:color="AEAEAE"/>
            </w:tcBorders>
            <w:vAlign w:val="center"/>
          </w:tcPr>
          <w:p w14:paraId="7812BF20" w14:textId="77777777" w:rsidR="002D58E4" w:rsidRDefault="00F721D4">
            <w:pPr>
              <w:rPr>
                <w:sz w:val="20"/>
                <w:szCs w:val="20"/>
              </w:rPr>
            </w:pPr>
            <w:r>
              <w:rPr>
                <w:sz w:val="20"/>
                <w:szCs w:val="20"/>
              </w:rPr>
              <w:t xml:space="preserve">Patients were serologically tested by ELISA. Cerebrospinal fluid samples were taken from 24 patients and examined for cell count, Lyme titer, and other indicators of Lyme disease. </w:t>
            </w:r>
          </w:p>
          <w:p w14:paraId="023B329E" w14:textId="77777777" w:rsidR="002D58E4" w:rsidRDefault="002D58E4">
            <w:pPr>
              <w:rPr>
                <w:sz w:val="20"/>
                <w:szCs w:val="20"/>
              </w:rPr>
            </w:pPr>
          </w:p>
          <w:p w14:paraId="34117632" w14:textId="77777777" w:rsidR="002D58E4" w:rsidRDefault="00F721D4">
            <w:pPr>
              <w:rPr>
                <w:sz w:val="20"/>
                <w:szCs w:val="20"/>
              </w:rPr>
            </w:pPr>
            <w:r>
              <w:rPr>
                <w:sz w:val="20"/>
                <w:szCs w:val="20"/>
              </w:rPr>
              <w:t xml:space="preserve">Medical histories were reviewed for history of tick bite, arthritis, meningitis, radicular pain, or erythema migrans. None of the patients across all groups reported typical symptoms of Lyme disease. </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1CF028BF" w14:textId="77777777" w:rsidR="002D58E4" w:rsidRDefault="00F721D4">
            <w:pPr>
              <w:rPr>
                <w:sz w:val="20"/>
                <w:szCs w:val="20"/>
              </w:rPr>
            </w:pPr>
            <w:r>
              <w:rPr>
                <w:sz w:val="20"/>
                <w:szCs w:val="20"/>
              </w:rPr>
              <w:t>52 patients (19 from Suffolk County, 14 from Nassau County, and 19 from Boston, MA) who had been diagnosed with ALS (had signs and symptoms consistent with ALS).</w:t>
            </w:r>
          </w:p>
          <w:p w14:paraId="4457E3EE" w14:textId="77777777" w:rsidR="002D58E4" w:rsidRDefault="002D58E4">
            <w:pPr>
              <w:rPr>
                <w:sz w:val="20"/>
                <w:szCs w:val="20"/>
              </w:rPr>
            </w:pPr>
          </w:p>
          <w:p w14:paraId="7ACFF24E" w14:textId="77777777" w:rsidR="002D58E4" w:rsidRDefault="00F721D4">
            <w:pPr>
              <w:rPr>
                <w:sz w:val="20"/>
                <w:szCs w:val="20"/>
              </w:rPr>
            </w:pPr>
            <w:r>
              <w:rPr>
                <w:sz w:val="20"/>
                <w:szCs w:val="20"/>
              </w:rPr>
              <w:t xml:space="preserve">38 age-, sex-, and residency-matched controls were matched to the 19 patients from Suffolk County. </w:t>
            </w:r>
          </w:p>
          <w:p w14:paraId="168F9A2B" w14:textId="77777777" w:rsidR="002D58E4" w:rsidRDefault="002D58E4">
            <w:pPr>
              <w:rPr>
                <w:sz w:val="20"/>
                <w:szCs w:val="20"/>
              </w:rPr>
            </w:pPr>
          </w:p>
          <w:p w14:paraId="1E1A129B" w14:textId="77777777" w:rsidR="002D58E4" w:rsidRDefault="00F721D4">
            <w:pPr>
              <w:rPr>
                <w:sz w:val="20"/>
                <w:szCs w:val="20"/>
              </w:rPr>
            </w:pPr>
            <w:r>
              <w:rPr>
                <w:sz w:val="20"/>
                <w:szCs w:val="20"/>
              </w:rPr>
              <w:t>37 patients from Suffolk County with other neuromuscular diseases were selected as a separate control group.</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9487383" w14:textId="77777777" w:rsidR="002D58E4" w:rsidRDefault="00F721D4">
            <w:pPr>
              <w:rPr>
                <w:sz w:val="20"/>
                <w:szCs w:val="20"/>
              </w:rPr>
            </w:pPr>
            <w:r>
              <w:rPr>
                <w:sz w:val="20"/>
                <w:szCs w:val="20"/>
              </w:rPr>
              <w:t xml:space="preserve">9 of 19 (47%) ALS patients from Suffolk County were seropositive. </w:t>
            </w:r>
          </w:p>
          <w:p w14:paraId="1B845311" w14:textId="77777777" w:rsidR="002D58E4" w:rsidRDefault="002D58E4">
            <w:pPr>
              <w:rPr>
                <w:sz w:val="20"/>
                <w:szCs w:val="20"/>
              </w:rPr>
            </w:pPr>
          </w:p>
          <w:p w14:paraId="3E736AEC" w14:textId="77777777" w:rsidR="002D58E4" w:rsidRDefault="00F721D4">
            <w:pPr>
              <w:rPr>
                <w:sz w:val="20"/>
                <w:szCs w:val="20"/>
              </w:rPr>
            </w:pPr>
            <w:r>
              <w:rPr>
                <w:sz w:val="20"/>
                <w:szCs w:val="20"/>
              </w:rPr>
              <w:t xml:space="preserve">4 of 38 (10.5%) matched controls were seropositive. </w:t>
            </w:r>
          </w:p>
          <w:p w14:paraId="6CD9BEF7" w14:textId="77777777" w:rsidR="002D58E4" w:rsidRDefault="002D58E4">
            <w:pPr>
              <w:rPr>
                <w:sz w:val="20"/>
                <w:szCs w:val="20"/>
              </w:rPr>
            </w:pPr>
          </w:p>
          <w:p w14:paraId="788004C2" w14:textId="77777777" w:rsidR="002D58E4" w:rsidRDefault="00F721D4">
            <w:pPr>
              <w:rPr>
                <w:sz w:val="20"/>
                <w:szCs w:val="20"/>
              </w:rPr>
            </w:pPr>
            <w:r>
              <w:rPr>
                <w:sz w:val="20"/>
                <w:szCs w:val="20"/>
              </w:rPr>
              <w:t xml:space="preserve">3 of 14 (21.4%) Nassau County residents with ALS were seropositive. </w:t>
            </w:r>
          </w:p>
          <w:p w14:paraId="62439091" w14:textId="77777777" w:rsidR="002D58E4" w:rsidRDefault="002D58E4">
            <w:pPr>
              <w:rPr>
                <w:sz w:val="20"/>
                <w:szCs w:val="20"/>
              </w:rPr>
            </w:pPr>
          </w:p>
          <w:p w14:paraId="550E01E3" w14:textId="77777777" w:rsidR="002D58E4" w:rsidRDefault="00F721D4">
            <w:pPr>
              <w:rPr>
                <w:sz w:val="20"/>
                <w:szCs w:val="20"/>
              </w:rPr>
            </w:pPr>
            <w:r>
              <w:rPr>
                <w:sz w:val="20"/>
                <w:szCs w:val="20"/>
              </w:rPr>
              <w:t xml:space="preserve">One of 19 (5.3%) Boston residents with ALS was seropositive. </w:t>
            </w:r>
          </w:p>
        </w:tc>
        <w:tc>
          <w:tcPr>
            <w:tcW w:w="3309" w:type="dxa"/>
            <w:tcBorders>
              <w:top w:val="single" w:sz="6" w:space="0" w:color="AEAEAE"/>
              <w:left w:val="single" w:sz="6" w:space="0" w:color="AEAEAE"/>
              <w:bottom w:val="single" w:sz="6" w:space="0" w:color="AEAEAE"/>
              <w:right w:val="single" w:sz="6" w:space="0" w:color="AEAEAE"/>
            </w:tcBorders>
            <w:shd w:val="clear" w:color="auto" w:fill="auto"/>
            <w:vAlign w:val="center"/>
          </w:tcPr>
          <w:p w14:paraId="156B3AEF" w14:textId="77777777" w:rsidR="002D58E4" w:rsidRDefault="00F721D4">
            <w:pPr>
              <w:rPr>
                <w:sz w:val="20"/>
                <w:szCs w:val="20"/>
              </w:rPr>
            </w:pPr>
            <w:r>
              <w:rPr>
                <w:sz w:val="20"/>
                <w:szCs w:val="20"/>
              </w:rPr>
              <w:t xml:space="preserve">Patients with ALS living in Suffolk County (a highly endemic area) were significantly more likely to be seropositive for Lyme disease than healthy controls (p=0.0053; OR 7.65 [95%CI 1.65, 38.46]). </w:t>
            </w:r>
          </w:p>
          <w:p w14:paraId="4DC091A7" w14:textId="77777777" w:rsidR="002D58E4" w:rsidRDefault="002D58E4">
            <w:pPr>
              <w:rPr>
                <w:sz w:val="20"/>
                <w:szCs w:val="20"/>
              </w:rPr>
            </w:pPr>
          </w:p>
          <w:p w14:paraId="6FA0A1A9" w14:textId="77777777" w:rsidR="002D58E4" w:rsidRDefault="00F721D4">
            <w:pPr>
              <w:rPr>
                <w:sz w:val="20"/>
                <w:szCs w:val="20"/>
              </w:rPr>
            </w:pPr>
            <w:r>
              <w:rPr>
                <w:sz w:val="20"/>
                <w:szCs w:val="20"/>
              </w:rPr>
              <w:t xml:space="preserve">ALS patients from Suffolk County were significantly more likely to be seropositive than patients from Boston (p=0.0078, OR 16.2 [95%CI 1.68, 747.7]). There was no significant difference in the rates of seropositivity between the Suffolk County and Nassau County residents (p=0.12). </w:t>
            </w:r>
          </w:p>
          <w:p w14:paraId="0066C31D" w14:textId="77777777" w:rsidR="002D58E4" w:rsidRDefault="002D58E4">
            <w:pPr>
              <w:rPr>
                <w:sz w:val="20"/>
                <w:szCs w:val="20"/>
              </w:rPr>
            </w:pPr>
          </w:p>
          <w:p w14:paraId="0157E69D" w14:textId="77777777" w:rsidR="002D58E4" w:rsidRDefault="00F721D4">
            <w:pPr>
              <w:rPr>
                <w:sz w:val="20"/>
                <w:szCs w:val="20"/>
              </w:rPr>
            </w:pPr>
            <w:r>
              <w:rPr>
                <w:sz w:val="20"/>
                <w:szCs w:val="20"/>
              </w:rPr>
              <w:t xml:space="preserve">14 of 15 seropositive ALS patients received ceftriaxone (2g/day for 14 days); 1 other patient received other antibiotics non-specific to Lyme due to another medical condition. 3 of 14 (21.4%) seropositive ALS patients improved with ceftriaxone treatment. 5 of 14 (35.7%) patients treated with ceftriaxone died. </w:t>
            </w:r>
          </w:p>
          <w:p w14:paraId="2436B58F" w14:textId="77777777" w:rsidR="002D58E4" w:rsidRDefault="002D58E4">
            <w:pPr>
              <w:rPr>
                <w:sz w:val="20"/>
                <w:szCs w:val="20"/>
              </w:rPr>
            </w:pPr>
          </w:p>
          <w:p w14:paraId="61DFEA5A" w14:textId="77777777" w:rsidR="002D58E4" w:rsidRDefault="00F721D4">
            <w:pPr>
              <w:rPr>
                <w:b/>
                <w:sz w:val="20"/>
                <w:szCs w:val="20"/>
              </w:rPr>
            </w:pPr>
            <w:r>
              <w:rPr>
                <w:sz w:val="20"/>
                <w:szCs w:val="20"/>
              </w:rPr>
              <w:t xml:space="preserve">The authors found that in hyperendemic regions, there is a statistically significant association between ALS and seropositivity for </w:t>
            </w:r>
            <w:r>
              <w:rPr>
                <w:i/>
                <w:sz w:val="20"/>
                <w:szCs w:val="20"/>
              </w:rPr>
              <w:t>B. burgdorferi</w:t>
            </w:r>
            <w:r>
              <w:rPr>
                <w:sz w:val="20"/>
                <w:szCs w:val="20"/>
              </w:rPr>
              <w:t xml:space="preserve">. The authors did not conclude that such infection is a frequent cause of ALS and noted that the association may be coincidental. </w:t>
            </w:r>
          </w:p>
        </w:tc>
      </w:tr>
      <w:tr w:rsidR="002D58E4" w14:paraId="29048AF9"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F4E802C" w14:textId="77777777" w:rsidR="002D58E4" w:rsidRDefault="00F721D4">
            <w:pPr>
              <w:rPr>
                <w:sz w:val="20"/>
                <w:szCs w:val="20"/>
              </w:rPr>
            </w:pPr>
            <w:r>
              <w:rPr>
                <w:sz w:val="20"/>
                <w:szCs w:val="20"/>
              </w:rPr>
              <w:t>ALS Untangled Group, 2009</w:t>
            </w:r>
          </w:p>
          <w:p w14:paraId="2197CDC9" w14:textId="77777777" w:rsidR="002D58E4" w:rsidRDefault="002D58E4">
            <w:pPr>
              <w:rPr>
                <w:sz w:val="20"/>
                <w:szCs w:val="20"/>
              </w:rPr>
            </w:pPr>
          </w:p>
          <w:p w14:paraId="57BE5B87" w14:textId="77777777" w:rsidR="002D58E4" w:rsidRDefault="00F721D4">
            <w:pPr>
              <w:rPr>
                <w:sz w:val="20"/>
                <w:szCs w:val="20"/>
              </w:rPr>
            </w:pPr>
            <w:r>
              <w:rPr>
                <w:sz w:val="20"/>
                <w:szCs w:val="20"/>
              </w:rPr>
              <w:t>United States and Ireland</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3CCA3D22" w14:textId="77777777" w:rsidR="002D58E4" w:rsidRDefault="00F721D4">
            <w:pPr>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5981B31" w14:textId="77777777" w:rsidR="002D58E4" w:rsidRDefault="00F721D4">
            <w:pPr>
              <w:jc w:val="center"/>
              <w:rPr>
                <w:sz w:val="20"/>
                <w:szCs w:val="20"/>
              </w:rPr>
            </w:pPr>
            <w:r>
              <w:rPr>
                <w:sz w:val="20"/>
                <w:szCs w:val="20"/>
              </w:rPr>
              <w:t>2</w:t>
            </w:r>
          </w:p>
        </w:tc>
        <w:tc>
          <w:tcPr>
            <w:tcW w:w="2630" w:type="dxa"/>
            <w:tcBorders>
              <w:top w:val="single" w:sz="6" w:space="0" w:color="AEAEAE"/>
              <w:left w:val="single" w:sz="6" w:space="0" w:color="AEAEAE"/>
              <w:bottom w:val="single" w:sz="6" w:space="0" w:color="AEAEAE"/>
              <w:right w:val="single" w:sz="6" w:space="0" w:color="AEAEAE"/>
            </w:tcBorders>
            <w:vAlign w:val="center"/>
          </w:tcPr>
          <w:p w14:paraId="2757F879" w14:textId="77777777" w:rsidR="002D58E4" w:rsidRDefault="00F721D4">
            <w:pPr>
              <w:rPr>
                <w:sz w:val="20"/>
                <w:szCs w:val="20"/>
              </w:rPr>
            </w:pPr>
            <w:r>
              <w:rPr>
                <w:sz w:val="20"/>
                <w:szCs w:val="20"/>
              </w:rPr>
              <w:t xml:space="preserve">Patients were tested for Lyme by ELISA, confirmed by Western Blot. </w:t>
            </w:r>
          </w:p>
          <w:p w14:paraId="74E41358" w14:textId="77777777" w:rsidR="002D58E4" w:rsidRDefault="002D58E4">
            <w:pPr>
              <w:rPr>
                <w:sz w:val="20"/>
                <w:szCs w:val="20"/>
              </w:rPr>
            </w:pPr>
          </w:p>
          <w:p w14:paraId="6CC70B8E" w14:textId="77777777" w:rsidR="002D58E4" w:rsidRDefault="00F721D4">
            <w:pPr>
              <w:rPr>
                <w:sz w:val="20"/>
                <w:szCs w:val="20"/>
              </w:rPr>
            </w:pPr>
            <w:r>
              <w:rPr>
                <w:sz w:val="20"/>
                <w:szCs w:val="20"/>
              </w:rPr>
              <w:t>Per the authors: “(Of ten clinician-scientists within this group) Only 3 clinician-scientists have routinely tested most or all newly diagnosed patients with ALS for Lyme, the other 7 test it only when there are other symptoms or signs of possible Lyme, or when a patient asks for it.”</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2B1338B4" w14:textId="77777777" w:rsidR="002D58E4" w:rsidRDefault="00F721D4">
            <w:pPr>
              <w:rPr>
                <w:sz w:val="20"/>
                <w:szCs w:val="20"/>
              </w:rPr>
            </w:pPr>
            <w:r>
              <w:rPr>
                <w:sz w:val="20"/>
                <w:szCs w:val="20"/>
              </w:rPr>
              <w:t xml:space="preserve">4,000 patients with confirmed ALS across multiple clinics.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B731D72" w14:textId="77777777" w:rsidR="002D58E4" w:rsidRDefault="00F721D4">
            <w:pPr>
              <w:rPr>
                <w:sz w:val="20"/>
                <w:szCs w:val="20"/>
              </w:rPr>
            </w:pPr>
            <w:r>
              <w:rPr>
                <w:sz w:val="20"/>
                <w:szCs w:val="20"/>
              </w:rPr>
              <w:t xml:space="preserve">30 of 4,000 (0.075%) of patients with confirmed ALS were positive for Lyme disease by ELISA and Western Blot. </w:t>
            </w:r>
          </w:p>
        </w:tc>
        <w:tc>
          <w:tcPr>
            <w:tcW w:w="3309" w:type="dxa"/>
            <w:tcBorders>
              <w:top w:val="single" w:sz="6" w:space="0" w:color="AEAEAE"/>
              <w:left w:val="single" w:sz="6" w:space="0" w:color="AEAEAE"/>
              <w:bottom w:val="single" w:sz="6" w:space="0" w:color="AEAEAE"/>
              <w:right w:val="single" w:sz="6" w:space="0" w:color="AEAEAE"/>
            </w:tcBorders>
            <w:shd w:val="clear" w:color="auto" w:fill="auto"/>
            <w:vAlign w:val="center"/>
          </w:tcPr>
          <w:p w14:paraId="2A3D5FE7" w14:textId="77777777" w:rsidR="002D58E4" w:rsidRDefault="00F721D4">
            <w:pPr>
              <w:rPr>
                <w:sz w:val="20"/>
                <w:szCs w:val="20"/>
              </w:rPr>
            </w:pPr>
            <w:r>
              <w:rPr>
                <w:sz w:val="20"/>
                <w:szCs w:val="20"/>
              </w:rPr>
              <w:t xml:space="preserve">Of 30 ALS with confirmed Lyme disease, most were treated with intravenous antibiotics, but none of the patients’ neurologic symptoms improved with treatment. </w:t>
            </w:r>
          </w:p>
          <w:p w14:paraId="0F94F152" w14:textId="77777777" w:rsidR="002D58E4" w:rsidRDefault="002D58E4">
            <w:pPr>
              <w:rPr>
                <w:sz w:val="20"/>
                <w:szCs w:val="20"/>
              </w:rPr>
            </w:pPr>
          </w:p>
          <w:p w14:paraId="5FFA8671" w14:textId="77777777" w:rsidR="002D58E4" w:rsidRDefault="00F721D4">
            <w:pPr>
              <w:rPr>
                <w:sz w:val="20"/>
                <w:szCs w:val="20"/>
              </w:rPr>
            </w:pPr>
            <w:r>
              <w:rPr>
                <w:sz w:val="20"/>
                <w:szCs w:val="20"/>
              </w:rPr>
              <w:t>The authors concluded that there is no convincing evidence that ALS can be caused by Lyme disease, and warned clinicians against suggesting that antibiotic treatment may reverse or improve the symptoms of ALS.</w:t>
            </w:r>
          </w:p>
        </w:tc>
      </w:tr>
      <w:tr w:rsidR="002D58E4" w14:paraId="62DDAD8E"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E5437D8" w14:textId="77777777" w:rsidR="002D58E4" w:rsidRPr="002914A2" w:rsidRDefault="00F721D4">
            <w:pPr>
              <w:rPr>
                <w:sz w:val="20"/>
                <w:szCs w:val="20"/>
                <w:lang w:val="fr-CA"/>
              </w:rPr>
            </w:pPr>
            <w:r w:rsidRPr="002914A2">
              <w:rPr>
                <w:sz w:val="20"/>
                <w:szCs w:val="20"/>
                <w:lang w:val="fr-CA"/>
              </w:rPr>
              <w:t>Qureshi, et al., 2009</w:t>
            </w:r>
          </w:p>
          <w:p w14:paraId="6FEF1496" w14:textId="77777777" w:rsidR="002D58E4" w:rsidRPr="002914A2" w:rsidRDefault="002D58E4">
            <w:pPr>
              <w:rPr>
                <w:sz w:val="20"/>
                <w:szCs w:val="20"/>
                <w:lang w:val="fr-CA"/>
              </w:rPr>
            </w:pPr>
          </w:p>
          <w:p w14:paraId="41F5A465" w14:textId="77777777" w:rsidR="002D58E4" w:rsidRPr="002914A2" w:rsidRDefault="00F721D4">
            <w:pPr>
              <w:rPr>
                <w:sz w:val="20"/>
                <w:szCs w:val="20"/>
                <w:lang w:val="fr-CA"/>
              </w:rPr>
            </w:pPr>
            <w:r w:rsidRPr="002914A2">
              <w:rPr>
                <w:sz w:val="20"/>
                <w:szCs w:val="20"/>
                <w:lang w:val="fr-CA"/>
              </w:rPr>
              <w:t>Boston, MA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7B091BC" w14:textId="77777777" w:rsidR="002D58E4" w:rsidRDefault="00F721D4">
            <w:pPr>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BD38103" w14:textId="77777777" w:rsidR="002D58E4" w:rsidRDefault="00F721D4">
            <w:pPr>
              <w:jc w:val="center"/>
              <w:rPr>
                <w:sz w:val="20"/>
                <w:szCs w:val="20"/>
              </w:rPr>
            </w:pPr>
            <w:r>
              <w:rPr>
                <w:sz w:val="20"/>
                <w:szCs w:val="20"/>
              </w:rPr>
              <w:t>3</w:t>
            </w:r>
          </w:p>
        </w:tc>
        <w:tc>
          <w:tcPr>
            <w:tcW w:w="2630" w:type="dxa"/>
            <w:tcBorders>
              <w:top w:val="single" w:sz="6" w:space="0" w:color="AEAEAE"/>
              <w:left w:val="single" w:sz="6" w:space="0" w:color="AEAEAE"/>
              <w:bottom w:val="single" w:sz="6" w:space="0" w:color="AEAEAE"/>
              <w:right w:val="single" w:sz="6" w:space="0" w:color="AEAEAE"/>
            </w:tcBorders>
            <w:vAlign w:val="center"/>
          </w:tcPr>
          <w:p w14:paraId="1C090DE9" w14:textId="77777777" w:rsidR="002D58E4" w:rsidRDefault="00F721D4">
            <w:pPr>
              <w:rPr>
                <w:sz w:val="20"/>
                <w:szCs w:val="20"/>
              </w:rPr>
            </w:pPr>
            <w:r>
              <w:rPr>
                <w:sz w:val="20"/>
                <w:szCs w:val="20"/>
              </w:rPr>
              <w:t xml:space="preserve">Serum IgG antibody titers against </w:t>
            </w:r>
            <w:r>
              <w:rPr>
                <w:i/>
                <w:sz w:val="20"/>
                <w:szCs w:val="20"/>
              </w:rPr>
              <w:t xml:space="preserve">B. burgdorferi </w:t>
            </w:r>
            <w:r>
              <w:rPr>
                <w:sz w:val="20"/>
                <w:szCs w:val="20"/>
              </w:rPr>
              <w:t>were measured by ELISA, and positive or borderline results were confirmed by Western Blot.</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22675181" w14:textId="77777777" w:rsidR="002D58E4" w:rsidRDefault="00F721D4">
            <w:pPr>
              <w:rPr>
                <w:sz w:val="20"/>
                <w:szCs w:val="20"/>
              </w:rPr>
            </w:pPr>
            <w:r>
              <w:rPr>
                <w:sz w:val="20"/>
                <w:szCs w:val="20"/>
              </w:rPr>
              <w:t>The charts of 1,760 patients with confirmed or suspected ALS were reviewed.</w:t>
            </w:r>
          </w:p>
          <w:p w14:paraId="70AE7BA1" w14:textId="77777777" w:rsidR="002D58E4" w:rsidRDefault="002D58E4">
            <w:pPr>
              <w:rPr>
                <w:sz w:val="20"/>
                <w:szCs w:val="20"/>
              </w:rPr>
            </w:pPr>
          </w:p>
          <w:p w14:paraId="70C9D169" w14:textId="77777777" w:rsidR="002D58E4" w:rsidRDefault="00F721D4">
            <w:pPr>
              <w:rPr>
                <w:sz w:val="20"/>
                <w:szCs w:val="20"/>
              </w:rPr>
            </w:pPr>
            <w:r>
              <w:rPr>
                <w:sz w:val="20"/>
                <w:szCs w:val="20"/>
              </w:rPr>
              <w:t xml:space="preserve">414 patients (23.5%) with confirmed or suspected ALS who underwent at least one laboratory test for Lyme disease.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973A827" w14:textId="77777777" w:rsidR="002D58E4" w:rsidRDefault="00F721D4">
            <w:pPr>
              <w:rPr>
                <w:sz w:val="20"/>
                <w:szCs w:val="20"/>
              </w:rPr>
            </w:pPr>
            <w:r>
              <w:rPr>
                <w:sz w:val="20"/>
                <w:szCs w:val="20"/>
              </w:rPr>
              <w:t xml:space="preserve">24 of 414 (5.8%) of patients with ALS were positive by ELISA. </w:t>
            </w:r>
          </w:p>
          <w:p w14:paraId="35068F26" w14:textId="77777777" w:rsidR="002D58E4" w:rsidRDefault="002D58E4">
            <w:pPr>
              <w:rPr>
                <w:sz w:val="20"/>
                <w:szCs w:val="20"/>
              </w:rPr>
            </w:pPr>
          </w:p>
          <w:p w14:paraId="57AE7A5F" w14:textId="77777777" w:rsidR="002D58E4" w:rsidRDefault="00F721D4">
            <w:pPr>
              <w:rPr>
                <w:sz w:val="20"/>
                <w:szCs w:val="20"/>
              </w:rPr>
            </w:pPr>
            <w:r>
              <w:rPr>
                <w:sz w:val="20"/>
                <w:szCs w:val="20"/>
              </w:rPr>
              <w:t>4 of 414 (0.97%) had positive ELISA which was confirmed by Western Blot. Of these 4 patients, only 3 reported clinical symptoms and/or exposure to ticks in the recent past. None of these 4 patients had a family history of ALS.</w:t>
            </w:r>
          </w:p>
        </w:tc>
        <w:tc>
          <w:tcPr>
            <w:tcW w:w="3309" w:type="dxa"/>
            <w:tcBorders>
              <w:top w:val="single" w:sz="6" w:space="0" w:color="AEAEAE"/>
              <w:left w:val="single" w:sz="6" w:space="0" w:color="AEAEAE"/>
              <w:bottom w:val="single" w:sz="6" w:space="0" w:color="AEAEAE"/>
              <w:right w:val="single" w:sz="6" w:space="0" w:color="AEAEAE"/>
            </w:tcBorders>
            <w:shd w:val="clear" w:color="auto" w:fill="auto"/>
            <w:vAlign w:val="center"/>
          </w:tcPr>
          <w:p w14:paraId="5B9978FC" w14:textId="77777777" w:rsidR="002D58E4" w:rsidRDefault="00F721D4">
            <w:pPr>
              <w:rPr>
                <w:sz w:val="20"/>
                <w:szCs w:val="20"/>
              </w:rPr>
            </w:pPr>
            <w:r>
              <w:rPr>
                <w:sz w:val="20"/>
                <w:szCs w:val="20"/>
              </w:rPr>
              <w:t xml:space="preserve">Two of 4 ALS patients with exposure to </w:t>
            </w:r>
            <w:r>
              <w:rPr>
                <w:i/>
                <w:sz w:val="20"/>
                <w:szCs w:val="20"/>
              </w:rPr>
              <w:t>B. burgdorferi</w:t>
            </w:r>
            <w:r>
              <w:rPr>
                <w:sz w:val="20"/>
                <w:szCs w:val="20"/>
              </w:rPr>
              <w:t>, confirmed by ELISA and Western Blot, received treatment with ceftriaxone for 4-5 weeks. Antibiotic treatment did not lead to improvement of neurologic symptoms. All 4 ALS patients positive for antibodies against</w:t>
            </w:r>
            <w:r>
              <w:rPr>
                <w:i/>
                <w:sz w:val="20"/>
                <w:szCs w:val="20"/>
              </w:rPr>
              <w:t xml:space="preserve"> B. burgdorferi</w:t>
            </w:r>
            <w:r>
              <w:rPr>
                <w:sz w:val="20"/>
                <w:szCs w:val="20"/>
              </w:rPr>
              <w:t xml:space="preserve"> died of ALS. </w:t>
            </w:r>
          </w:p>
          <w:p w14:paraId="29C339A9" w14:textId="77777777" w:rsidR="002D58E4" w:rsidRDefault="002D58E4">
            <w:pPr>
              <w:rPr>
                <w:sz w:val="20"/>
                <w:szCs w:val="20"/>
              </w:rPr>
            </w:pPr>
          </w:p>
          <w:p w14:paraId="4187C144" w14:textId="77777777" w:rsidR="002D58E4" w:rsidRDefault="00F721D4">
            <w:pPr>
              <w:rPr>
                <w:sz w:val="20"/>
                <w:szCs w:val="20"/>
              </w:rPr>
            </w:pPr>
            <w:r>
              <w:rPr>
                <w:sz w:val="20"/>
                <w:szCs w:val="20"/>
              </w:rPr>
              <w:t xml:space="preserve">The authors found that the prevalence rate of confirmed previous Lyme disease in ALS patients was similar to the occurrence of Lyme disease in endemic regions. </w:t>
            </w:r>
          </w:p>
          <w:p w14:paraId="100E2260" w14:textId="77777777" w:rsidR="002D58E4" w:rsidRDefault="002D58E4">
            <w:pPr>
              <w:rPr>
                <w:sz w:val="20"/>
                <w:szCs w:val="20"/>
              </w:rPr>
            </w:pPr>
          </w:p>
          <w:p w14:paraId="09497A18" w14:textId="77777777" w:rsidR="002D58E4" w:rsidRDefault="00F721D4">
            <w:pPr>
              <w:rPr>
                <w:sz w:val="20"/>
                <w:szCs w:val="20"/>
              </w:rPr>
            </w:pPr>
            <w:r>
              <w:rPr>
                <w:sz w:val="20"/>
                <w:szCs w:val="20"/>
              </w:rPr>
              <w:t>The authors conclude that testing for Lyme disease should not be performed in ALS patients unless clear symptoms and history are suggestive of Lyme infection.</w:t>
            </w:r>
          </w:p>
        </w:tc>
      </w:tr>
      <w:tr w:rsidR="002D58E4" w14:paraId="40E47D75"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D57FB52" w14:textId="77777777" w:rsidR="002D58E4" w:rsidRPr="002914A2" w:rsidRDefault="00F721D4">
            <w:pPr>
              <w:rPr>
                <w:sz w:val="20"/>
                <w:szCs w:val="20"/>
                <w:lang w:val="fr-CA"/>
              </w:rPr>
            </w:pPr>
            <w:r w:rsidRPr="002914A2">
              <w:rPr>
                <w:sz w:val="20"/>
                <w:szCs w:val="20"/>
                <w:lang w:val="fr-CA"/>
              </w:rPr>
              <w:t>Visser, et al., 2017</w:t>
            </w:r>
          </w:p>
          <w:p w14:paraId="635177B7" w14:textId="77777777" w:rsidR="002D58E4" w:rsidRPr="002914A2" w:rsidRDefault="002D58E4">
            <w:pPr>
              <w:rPr>
                <w:sz w:val="20"/>
                <w:szCs w:val="20"/>
                <w:lang w:val="fr-CA"/>
              </w:rPr>
            </w:pPr>
          </w:p>
          <w:p w14:paraId="476A9C4B" w14:textId="77777777" w:rsidR="002D58E4" w:rsidRPr="002914A2" w:rsidRDefault="00F721D4">
            <w:pPr>
              <w:rPr>
                <w:sz w:val="20"/>
                <w:szCs w:val="20"/>
                <w:lang w:val="fr-CA"/>
              </w:rPr>
            </w:pPr>
            <w:r w:rsidRPr="002914A2">
              <w:rPr>
                <w:sz w:val="20"/>
                <w:szCs w:val="20"/>
                <w:lang w:val="fr-CA"/>
              </w:rPr>
              <w:t>Utrecht, The Netherlands</w:t>
            </w:r>
          </w:p>
          <w:p w14:paraId="5FFAC9E7" w14:textId="77777777" w:rsidR="002D58E4" w:rsidRPr="002914A2" w:rsidRDefault="002D58E4">
            <w:pPr>
              <w:rPr>
                <w:sz w:val="20"/>
                <w:szCs w:val="20"/>
                <w:lang w:val="fr-CA"/>
              </w:rPr>
            </w:pPr>
          </w:p>
          <w:p w14:paraId="332088E5" w14:textId="77777777" w:rsidR="002D58E4" w:rsidRPr="002914A2" w:rsidRDefault="002D58E4">
            <w:pPr>
              <w:rPr>
                <w:sz w:val="20"/>
                <w:szCs w:val="20"/>
                <w:lang w:val="fr-CA"/>
              </w:rPr>
            </w:pP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2309B34"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DBEBD7C" w14:textId="77777777" w:rsidR="002D58E4" w:rsidRDefault="00F721D4">
            <w:pPr>
              <w:jc w:val="center"/>
              <w:rPr>
                <w:sz w:val="20"/>
                <w:szCs w:val="20"/>
              </w:rPr>
            </w:pPr>
            <w:r>
              <w:rPr>
                <w:sz w:val="20"/>
                <w:szCs w:val="20"/>
              </w:rPr>
              <w:t>8</w:t>
            </w:r>
          </w:p>
        </w:tc>
        <w:tc>
          <w:tcPr>
            <w:tcW w:w="2630" w:type="dxa"/>
            <w:tcBorders>
              <w:top w:val="single" w:sz="6" w:space="0" w:color="AEAEAE"/>
              <w:left w:val="single" w:sz="6" w:space="0" w:color="AEAEAE"/>
              <w:bottom w:val="single" w:sz="6" w:space="0" w:color="AEAEAE"/>
              <w:right w:val="single" w:sz="6" w:space="0" w:color="AEAEAE"/>
            </w:tcBorders>
            <w:vAlign w:val="center"/>
          </w:tcPr>
          <w:p w14:paraId="3977FC3E" w14:textId="77777777" w:rsidR="002D58E4" w:rsidRDefault="00F721D4">
            <w:pPr>
              <w:rPr>
                <w:sz w:val="20"/>
                <w:szCs w:val="20"/>
              </w:rPr>
            </w:pPr>
            <w:r>
              <w:rPr>
                <w:sz w:val="20"/>
                <w:szCs w:val="20"/>
              </w:rPr>
              <w:t xml:space="preserve">Serum IgG antibody titers against </w:t>
            </w:r>
            <w:r>
              <w:rPr>
                <w:i/>
                <w:sz w:val="20"/>
                <w:szCs w:val="20"/>
              </w:rPr>
              <w:t xml:space="preserve">B. burgdorferi </w:t>
            </w:r>
            <w:r>
              <w:rPr>
                <w:sz w:val="20"/>
                <w:szCs w:val="20"/>
              </w:rPr>
              <w:t xml:space="preserve">were measured by ELISA, and positive or borderline results were confirmed by Western Blot. </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4B1497DC" w14:textId="77777777" w:rsidR="002D58E4" w:rsidRDefault="00F721D4">
            <w:pPr>
              <w:rPr>
                <w:sz w:val="20"/>
                <w:szCs w:val="20"/>
              </w:rPr>
            </w:pPr>
            <w:r>
              <w:rPr>
                <w:sz w:val="20"/>
                <w:szCs w:val="20"/>
              </w:rPr>
              <w:t xml:space="preserve">491 patients (median age 64.9 years; range 19.5-90.5) were diagnosed with definite (22.6%, 111 of 491), probable (34%, 167 of 491), laboratory-supported probable (29.1%, 143 of 491), or possible (14.3%, 70 of 491) ALS were observed. </w:t>
            </w:r>
          </w:p>
          <w:p w14:paraId="7012BBBE" w14:textId="77777777" w:rsidR="002D58E4" w:rsidRDefault="002D58E4">
            <w:pPr>
              <w:rPr>
                <w:sz w:val="20"/>
                <w:szCs w:val="20"/>
              </w:rPr>
            </w:pPr>
          </w:p>
          <w:p w14:paraId="19B96CA6" w14:textId="77777777" w:rsidR="002D58E4" w:rsidRDefault="00F721D4">
            <w:pPr>
              <w:rPr>
                <w:sz w:val="20"/>
                <w:szCs w:val="20"/>
              </w:rPr>
            </w:pPr>
            <w:r>
              <w:rPr>
                <w:sz w:val="20"/>
                <w:szCs w:val="20"/>
              </w:rPr>
              <w:t>982 age-, sex-, and residency-matched controls were selected.</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989E342" w14:textId="77777777" w:rsidR="002D58E4" w:rsidRDefault="00F721D4">
            <w:pPr>
              <w:rPr>
                <w:sz w:val="20"/>
                <w:szCs w:val="20"/>
              </w:rPr>
            </w:pPr>
            <w:r>
              <w:rPr>
                <w:sz w:val="20"/>
                <w:szCs w:val="20"/>
              </w:rPr>
              <w:t>58 of 491 (11.8%) of ALS patients had a positive or borderline ELISA. 20 of 491 (4.1%) ALS patients were confirmed IgG positive by Western Blot.</w:t>
            </w:r>
          </w:p>
          <w:p w14:paraId="39E05BB4" w14:textId="77777777" w:rsidR="002D58E4" w:rsidRDefault="002D58E4">
            <w:pPr>
              <w:rPr>
                <w:sz w:val="20"/>
                <w:szCs w:val="20"/>
              </w:rPr>
            </w:pPr>
          </w:p>
          <w:p w14:paraId="6F2AE4A0" w14:textId="77777777" w:rsidR="002D58E4" w:rsidRDefault="00F721D4">
            <w:pPr>
              <w:rPr>
                <w:sz w:val="20"/>
                <w:szCs w:val="20"/>
              </w:rPr>
            </w:pPr>
            <w:r>
              <w:rPr>
                <w:sz w:val="20"/>
                <w:szCs w:val="20"/>
              </w:rPr>
              <w:t>107 of 982 (10.9%) of controls had a positive or borderline ELISA. 58 of 982 (5.9%) controls were confirmed IgG positive by Western Blot.</w:t>
            </w:r>
          </w:p>
        </w:tc>
        <w:tc>
          <w:tcPr>
            <w:tcW w:w="3309" w:type="dxa"/>
            <w:tcBorders>
              <w:top w:val="single" w:sz="6" w:space="0" w:color="AEAEAE"/>
              <w:left w:val="single" w:sz="6" w:space="0" w:color="AEAEAE"/>
              <w:bottom w:val="single" w:sz="6" w:space="0" w:color="AEAEAE"/>
              <w:right w:val="single" w:sz="6" w:space="0" w:color="AEAEAE"/>
            </w:tcBorders>
            <w:shd w:val="clear" w:color="auto" w:fill="auto"/>
            <w:vAlign w:val="center"/>
          </w:tcPr>
          <w:p w14:paraId="5B91BEF7" w14:textId="77777777" w:rsidR="002D58E4" w:rsidRDefault="00F721D4">
            <w:pPr>
              <w:rPr>
                <w:sz w:val="20"/>
                <w:szCs w:val="20"/>
              </w:rPr>
            </w:pPr>
            <w:r>
              <w:rPr>
                <w:sz w:val="20"/>
                <w:szCs w:val="20"/>
              </w:rPr>
              <w:t xml:space="preserve">The authors found no significant difference in seroprevalence of </w:t>
            </w:r>
            <w:r>
              <w:rPr>
                <w:i/>
                <w:sz w:val="20"/>
                <w:szCs w:val="20"/>
              </w:rPr>
              <w:t>B. burgdorferi</w:t>
            </w:r>
            <w:r>
              <w:rPr>
                <w:sz w:val="20"/>
                <w:szCs w:val="20"/>
              </w:rPr>
              <w:t xml:space="preserve"> between ALS patients and healthy controls (p=0.60, ELISA; p=0.17, Western Blot). The seroprevalence of 4.1% in ALS patients was similar to that of the normal population in The Netherlands. </w:t>
            </w:r>
          </w:p>
          <w:p w14:paraId="0157F8DA" w14:textId="77777777" w:rsidR="002D58E4" w:rsidRDefault="002D58E4">
            <w:pPr>
              <w:rPr>
                <w:sz w:val="20"/>
                <w:szCs w:val="20"/>
              </w:rPr>
            </w:pPr>
          </w:p>
          <w:p w14:paraId="26F284FC" w14:textId="77777777" w:rsidR="002D58E4" w:rsidRDefault="00F721D4">
            <w:pPr>
              <w:rPr>
                <w:sz w:val="20"/>
                <w:szCs w:val="20"/>
              </w:rPr>
            </w:pPr>
            <w:r>
              <w:rPr>
                <w:sz w:val="20"/>
                <w:szCs w:val="20"/>
              </w:rPr>
              <w:t xml:space="preserve">The authors conclude that there is no association between </w:t>
            </w:r>
            <w:r>
              <w:rPr>
                <w:i/>
                <w:sz w:val="20"/>
                <w:szCs w:val="20"/>
              </w:rPr>
              <w:t>B. burgdorferi</w:t>
            </w:r>
            <w:r>
              <w:rPr>
                <w:sz w:val="20"/>
                <w:szCs w:val="20"/>
              </w:rPr>
              <w:t xml:space="preserve"> antibodies and ALS, and do not recommend routine serologic testing for patients with classical ALS. </w:t>
            </w:r>
          </w:p>
        </w:tc>
      </w:tr>
      <w:tr w:rsidR="002D58E4" w14:paraId="5D0CFFCC" w14:textId="77777777" w:rsidTr="003D1C11">
        <w:trPr>
          <w:trHeight w:val="32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18ADC28B" w14:textId="77777777" w:rsidR="002D58E4" w:rsidRDefault="00F721D4">
            <w:pPr>
              <w:jc w:val="center"/>
              <w:rPr>
                <w:b/>
                <w:sz w:val="20"/>
                <w:szCs w:val="20"/>
              </w:rPr>
            </w:pPr>
            <w:r>
              <w:rPr>
                <w:b/>
              </w:rPr>
              <w:t>Sensorineural Hearing Loss</w:t>
            </w:r>
          </w:p>
        </w:tc>
      </w:tr>
      <w:tr w:rsidR="002D58E4" w14:paraId="00EE11E4"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56BE22E1" w14:textId="77777777" w:rsidR="002D58E4" w:rsidRDefault="00F721D4">
            <w:pPr>
              <w:jc w:val="cente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574CEF8C"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3D8EB795" w14:textId="77777777" w:rsidR="002D58E4" w:rsidRDefault="00F721D4">
            <w:pPr>
              <w:jc w:val="cente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2725B449" w14:textId="77777777" w:rsidR="002D58E4" w:rsidRDefault="00F721D4">
            <w:pPr>
              <w:jc w:val="center"/>
              <w:rPr>
                <w:b/>
                <w:color w:val="000000"/>
                <w:sz w:val="20"/>
                <w:szCs w:val="20"/>
              </w:rPr>
            </w:pPr>
            <w:r>
              <w:rPr>
                <w:b/>
                <w:color w:val="000000"/>
                <w:sz w:val="20"/>
                <w:szCs w:val="20"/>
              </w:rPr>
              <w:t>Lyme Disease Diagnosis method</w:t>
            </w:r>
          </w:p>
        </w:tc>
        <w:tc>
          <w:tcPr>
            <w:tcW w:w="2977" w:type="dxa"/>
            <w:gridSpan w:val="2"/>
            <w:tcBorders>
              <w:top w:val="single" w:sz="6" w:space="0" w:color="AEAEAE"/>
              <w:left w:val="single" w:sz="6" w:space="0" w:color="AEAEAE"/>
              <w:bottom w:val="single" w:sz="6" w:space="0" w:color="AEAEAE"/>
              <w:right w:val="single" w:sz="6" w:space="0" w:color="AEAEAE"/>
            </w:tcBorders>
            <w:shd w:val="clear" w:color="auto" w:fill="D9D9D9"/>
          </w:tcPr>
          <w:p w14:paraId="6C82103C" w14:textId="77777777" w:rsidR="002D58E4" w:rsidRDefault="00F721D4">
            <w:pPr>
              <w:jc w:val="center"/>
              <w:rPr>
                <w:sz w:val="20"/>
                <w:szCs w:val="20"/>
              </w:rPr>
            </w:pPr>
            <w:r>
              <w:rPr>
                <w:b/>
                <w:color w:val="000000"/>
                <w:sz w:val="20"/>
                <w:szCs w:val="20"/>
              </w:rPr>
              <w:t>Population characteristics and Observed Neurologic Presentation</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54B5C515" w14:textId="77777777" w:rsidR="002D58E4" w:rsidRDefault="00F721D4">
            <w:pPr>
              <w:jc w:val="center"/>
              <w:rPr>
                <w:b/>
                <w:color w:val="000000"/>
                <w:sz w:val="20"/>
                <w:szCs w:val="20"/>
              </w:rPr>
            </w:pPr>
            <w:r>
              <w:rPr>
                <w:b/>
                <w:color w:val="000000"/>
                <w:sz w:val="20"/>
                <w:szCs w:val="20"/>
              </w:rPr>
              <w:t xml:space="preserve">Prevalence of Lyme in Patients with Disorder </w:t>
            </w:r>
            <w:r>
              <w:rPr>
                <w:b/>
                <w:i/>
                <w:color w:val="000000"/>
                <w:sz w:val="20"/>
                <w:szCs w:val="20"/>
                <w:u w:val="single"/>
              </w:rPr>
              <w:t>or</w:t>
            </w:r>
            <w:r>
              <w:rPr>
                <w:b/>
                <w:i/>
                <w:color w:val="000000"/>
                <w:sz w:val="20"/>
                <w:szCs w:val="20"/>
              </w:rPr>
              <w:t xml:space="preserve"> Prevalence of Disorder in Lyme patients</w:t>
            </w:r>
          </w:p>
        </w:tc>
        <w:tc>
          <w:tcPr>
            <w:tcW w:w="3309" w:type="dxa"/>
            <w:tcBorders>
              <w:top w:val="single" w:sz="6" w:space="0" w:color="AEAEAE"/>
              <w:left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5C56970F" w14:textId="77777777" w:rsidR="002D58E4" w:rsidRDefault="00F721D4">
            <w:pPr>
              <w:jc w:val="center"/>
              <w:rPr>
                <w:b/>
                <w:color w:val="000000"/>
                <w:sz w:val="20"/>
                <w:szCs w:val="20"/>
              </w:rPr>
            </w:pPr>
            <w:r>
              <w:rPr>
                <w:b/>
                <w:color w:val="000000"/>
                <w:sz w:val="20"/>
                <w:szCs w:val="20"/>
              </w:rPr>
              <w:t>Study Conclusions</w:t>
            </w:r>
          </w:p>
        </w:tc>
      </w:tr>
      <w:tr w:rsidR="002D58E4" w14:paraId="72934033"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830F979" w14:textId="77777777" w:rsidR="002D58E4" w:rsidRDefault="00F721D4">
            <w:pPr>
              <w:rPr>
                <w:sz w:val="20"/>
                <w:szCs w:val="20"/>
              </w:rPr>
            </w:pPr>
            <w:r>
              <w:rPr>
                <w:sz w:val="20"/>
                <w:szCs w:val="20"/>
              </w:rPr>
              <w:t>Hanner, et al.,1989</w:t>
            </w:r>
          </w:p>
          <w:p w14:paraId="19DF5FCB" w14:textId="77777777" w:rsidR="002D58E4" w:rsidRDefault="002D58E4">
            <w:pPr>
              <w:rPr>
                <w:sz w:val="20"/>
                <w:szCs w:val="20"/>
              </w:rPr>
            </w:pPr>
          </w:p>
          <w:p w14:paraId="296A9C9B" w14:textId="77777777" w:rsidR="002D58E4" w:rsidRDefault="00F721D4">
            <w:pPr>
              <w:rPr>
                <w:sz w:val="20"/>
                <w:szCs w:val="20"/>
              </w:rPr>
            </w:pPr>
            <w:r>
              <w:rPr>
                <w:sz w:val="20"/>
                <w:szCs w:val="20"/>
              </w:rPr>
              <w:t>Sweden</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7A06A013"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B37FAD3" w14:textId="77777777" w:rsidR="002D58E4" w:rsidRDefault="00F721D4">
            <w:pPr>
              <w:jc w:val="center"/>
              <w:rPr>
                <w:sz w:val="20"/>
                <w:szCs w:val="20"/>
              </w:rPr>
            </w:pPr>
            <w:r>
              <w:rPr>
                <w:sz w:val="20"/>
                <w:szCs w:val="20"/>
              </w:rPr>
              <w:t>4</w:t>
            </w:r>
          </w:p>
        </w:tc>
        <w:tc>
          <w:tcPr>
            <w:tcW w:w="2630" w:type="dxa"/>
            <w:tcBorders>
              <w:top w:val="single" w:sz="6" w:space="0" w:color="AEAEAE"/>
              <w:left w:val="single" w:sz="6" w:space="0" w:color="AEAEAE"/>
              <w:bottom w:val="single" w:sz="6" w:space="0" w:color="AEAEAE"/>
              <w:right w:val="single" w:sz="6" w:space="0" w:color="AEAEAE"/>
            </w:tcBorders>
            <w:vAlign w:val="center"/>
          </w:tcPr>
          <w:p w14:paraId="5D9E6FA8" w14:textId="77777777" w:rsidR="002D58E4" w:rsidRDefault="00F721D4">
            <w:pPr>
              <w:rPr>
                <w:sz w:val="20"/>
                <w:szCs w:val="20"/>
              </w:rPr>
            </w:pPr>
            <w:r>
              <w:rPr>
                <w:sz w:val="20"/>
                <w:szCs w:val="20"/>
              </w:rPr>
              <w:t xml:space="preserve">Serum antibody titer against </w:t>
            </w:r>
            <w:r>
              <w:rPr>
                <w:i/>
                <w:sz w:val="20"/>
                <w:szCs w:val="20"/>
              </w:rPr>
              <w:t xml:space="preserve">B. burgdorferi </w:t>
            </w:r>
            <w:r>
              <w:rPr>
                <w:sz w:val="20"/>
                <w:szCs w:val="20"/>
              </w:rPr>
              <w:t xml:space="preserve">≥320 was the criteria for positive infection. </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222E5560" w14:textId="77777777" w:rsidR="002D58E4" w:rsidRDefault="00F721D4">
            <w:pPr>
              <w:rPr>
                <w:sz w:val="20"/>
                <w:szCs w:val="20"/>
              </w:rPr>
            </w:pPr>
            <w:r>
              <w:rPr>
                <w:sz w:val="20"/>
                <w:szCs w:val="20"/>
              </w:rPr>
              <w:t>98 patients who had a history of sudden hearing loss, disorders similar to Meniere’s disease, or hearing loss with acute facial palsy or vertigo.</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68E1971" w14:textId="77777777" w:rsidR="002D58E4" w:rsidRDefault="00F721D4">
            <w:pPr>
              <w:rPr>
                <w:sz w:val="20"/>
                <w:szCs w:val="20"/>
              </w:rPr>
            </w:pPr>
            <w:r>
              <w:rPr>
                <w:sz w:val="20"/>
                <w:szCs w:val="20"/>
              </w:rPr>
              <w:t xml:space="preserve">17% (17 of 98) of patients showed serological evidence of borreliosis. </w:t>
            </w:r>
          </w:p>
          <w:p w14:paraId="7472EE85" w14:textId="77777777" w:rsidR="002D58E4" w:rsidRDefault="002D58E4">
            <w:pPr>
              <w:rPr>
                <w:sz w:val="20"/>
                <w:szCs w:val="20"/>
              </w:rPr>
            </w:pPr>
          </w:p>
          <w:p w14:paraId="783568C9" w14:textId="77777777" w:rsidR="002D58E4" w:rsidRDefault="00F721D4">
            <w:pPr>
              <w:rPr>
                <w:sz w:val="20"/>
                <w:szCs w:val="20"/>
              </w:rPr>
            </w:pPr>
            <w:r>
              <w:rPr>
                <w:sz w:val="20"/>
                <w:szCs w:val="20"/>
              </w:rPr>
              <w:t xml:space="preserve">82% (14 of 17) of patients with borreliosis also experienced vertigo.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401EC9E" w14:textId="77777777" w:rsidR="002D58E4" w:rsidRDefault="00F721D4">
            <w:pPr>
              <w:rPr>
                <w:sz w:val="20"/>
                <w:szCs w:val="20"/>
              </w:rPr>
            </w:pPr>
            <w:r>
              <w:rPr>
                <w:sz w:val="20"/>
                <w:szCs w:val="20"/>
              </w:rPr>
              <w:t xml:space="preserve">All 17 patients received treatment with high dose IV benzylpenicillin. In 5 patients, treatment led to improved hearing. </w:t>
            </w:r>
          </w:p>
          <w:p w14:paraId="48DF3E24" w14:textId="77777777" w:rsidR="002D58E4" w:rsidRDefault="002D58E4">
            <w:pPr>
              <w:rPr>
                <w:sz w:val="20"/>
                <w:szCs w:val="20"/>
              </w:rPr>
            </w:pPr>
          </w:p>
          <w:p w14:paraId="375FD5A1" w14:textId="77777777" w:rsidR="002D58E4" w:rsidRDefault="00F721D4">
            <w:pPr>
              <w:rPr>
                <w:sz w:val="20"/>
                <w:szCs w:val="20"/>
              </w:rPr>
            </w:pPr>
            <w:r>
              <w:rPr>
                <w:sz w:val="20"/>
                <w:szCs w:val="20"/>
              </w:rPr>
              <w:t xml:space="preserve">The authors concluded that serological testing for </w:t>
            </w:r>
            <w:r>
              <w:rPr>
                <w:i/>
                <w:sz w:val="20"/>
                <w:szCs w:val="20"/>
              </w:rPr>
              <w:t>B. burgdorferi</w:t>
            </w:r>
            <w:r>
              <w:rPr>
                <w:sz w:val="20"/>
                <w:szCs w:val="20"/>
              </w:rPr>
              <w:t xml:space="preserve"> is worthwhile in patients with unexplained hearing disorders.</w:t>
            </w:r>
          </w:p>
        </w:tc>
      </w:tr>
      <w:tr w:rsidR="002D58E4" w14:paraId="08322061"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612E602" w14:textId="77777777" w:rsidR="002D58E4" w:rsidRDefault="00F721D4">
            <w:pPr>
              <w:rPr>
                <w:sz w:val="20"/>
                <w:szCs w:val="20"/>
              </w:rPr>
            </w:pPr>
            <w:r>
              <w:rPr>
                <w:sz w:val="20"/>
                <w:szCs w:val="20"/>
              </w:rPr>
              <w:t>Richardson, et al., 1994</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6E0E8968"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EBA3AD7" w14:textId="77777777" w:rsidR="002D58E4" w:rsidRDefault="00F721D4">
            <w:pPr>
              <w:jc w:val="center"/>
              <w:rPr>
                <w:sz w:val="20"/>
                <w:szCs w:val="20"/>
              </w:rPr>
            </w:pPr>
            <w:r>
              <w:rPr>
                <w:sz w:val="20"/>
                <w:szCs w:val="20"/>
              </w:rPr>
              <w:t>4</w:t>
            </w:r>
          </w:p>
        </w:tc>
        <w:tc>
          <w:tcPr>
            <w:tcW w:w="2630" w:type="dxa"/>
            <w:tcBorders>
              <w:top w:val="single" w:sz="6" w:space="0" w:color="AEAEAE"/>
              <w:left w:val="single" w:sz="6" w:space="0" w:color="AEAEAE"/>
              <w:bottom w:val="single" w:sz="6" w:space="0" w:color="AEAEAE"/>
              <w:right w:val="single" w:sz="6" w:space="0" w:color="AEAEAE"/>
            </w:tcBorders>
            <w:vAlign w:val="center"/>
          </w:tcPr>
          <w:p w14:paraId="09701EDA" w14:textId="77777777" w:rsidR="002D58E4" w:rsidRDefault="00F721D4">
            <w:pPr>
              <w:jc w:val="center"/>
              <w:rPr>
                <w:sz w:val="20"/>
                <w:szCs w:val="20"/>
              </w:rPr>
            </w:pPr>
            <w:r>
              <w:rPr>
                <w:sz w:val="20"/>
                <w:szCs w:val="20"/>
              </w:rPr>
              <w:t>ND</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2D5C5562" w14:textId="77777777" w:rsidR="002D58E4" w:rsidRDefault="00F721D4">
            <w:pPr>
              <w:rPr>
                <w:sz w:val="20"/>
                <w:szCs w:val="20"/>
              </w:rPr>
            </w:pPr>
            <w:r>
              <w:rPr>
                <w:sz w:val="20"/>
                <w:szCs w:val="20"/>
              </w:rPr>
              <w:t>100 patients presenting with asymmetrical sensorineural hearing loss.</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A444F51" w14:textId="77777777" w:rsidR="002D58E4" w:rsidRDefault="00F721D4">
            <w:pPr>
              <w:rPr>
                <w:sz w:val="20"/>
                <w:szCs w:val="20"/>
              </w:rPr>
            </w:pPr>
            <w:r>
              <w:rPr>
                <w:sz w:val="20"/>
                <w:szCs w:val="20"/>
              </w:rPr>
              <w:t>One patient of 100 (1%) had positive Lyme serology.</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9A3B18A" w14:textId="77777777" w:rsidR="002D58E4" w:rsidRDefault="00F721D4">
            <w:pPr>
              <w:rPr>
                <w:sz w:val="20"/>
                <w:szCs w:val="20"/>
              </w:rPr>
            </w:pPr>
            <w:r>
              <w:rPr>
                <w:sz w:val="20"/>
                <w:szCs w:val="20"/>
              </w:rPr>
              <w:t xml:space="preserve">The patient who had positive serology for Lyme disease was treated with antibiotics, but experienced no improvement in hearing after treatment. </w:t>
            </w:r>
          </w:p>
          <w:p w14:paraId="57DED02D" w14:textId="77777777" w:rsidR="002D58E4" w:rsidRDefault="002D58E4">
            <w:pPr>
              <w:rPr>
                <w:sz w:val="20"/>
                <w:szCs w:val="20"/>
              </w:rPr>
            </w:pPr>
          </w:p>
          <w:p w14:paraId="19E52E69" w14:textId="77777777" w:rsidR="002D58E4" w:rsidRDefault="00F721D4">
            <w:pPr>
              <w:rPr>
                <w:sz w:val="20"/>
                <w:szCs w:val="20"/>
              </w:rPr>
            </w:pPr>
            <w:r>
              <w:rPr>
                <w:sz w:val="20"/>
                <w:szCs w:val="20"/>
              </w:rPr>
              <w:t>The authors concluded that routine screening for Lyme disease was not cost effective in non-endemic regions.</w:t>
            </w:r>
          </w:p>
        </w:tc>
      </w:tr>
      <w:tr w:rsidR="002D58E4" w14:paraId="1D949FD4"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610DF7D" w14:textId="77777777" w:rsidR="002D58E4" w:rsidRDefault="00F721D4">
            <w:pPr>
              <w:rPr>
                <w:sz w:val="20"/>
                <w:szCs w:val="20"/>
              </w:rPr>
            </w:pPr>
            <w:r>
              <w:rPr>
                <w:sz w:val="20"/>
                <w:szCs w:val="20"/>
              </w:rPr>
              <w:t>Hydén, 1995</w:t>
            </w:r>
          </w:p>
          <w:p w14:paraId="505A855E" w14:textId="77777777" w:rsidR="002D58E4" w:rsidRDefault="002D58E4">
            <w:pPr>
              <w:rPr>
                <w:sz w:val="20"/>
                <w:szCs w:val="20"/>
              </w:rPr>
            </w:pPr>
          </w:p>
          <w:p w14:paraId="3BBB4183" w14:textId="77777777" w:rsidR="002D58E4" w:rsidRDefault="00F721D4">
            <w:pPr>
              <w:rPr>
                <w:sz w:val="20"/>
                <w:szCs w:val="20"/>
              </w:rPr>
            </w:pPr>
            <w:r>
              <w:rPr>
                <w:sz w:val="20"/>
                <w:szCs w:val="20"/>
              </w:rPr>
              <w:t>Sweden</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19CD1AAE"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C8541C0" w14:textId="77777777" w:rsidR="002D58E4" w:rsidRDefault="00F721D4">
            <w:pPr>
              <w:jc w:val="center"/>
              <w:rPr>
                <w:sz w:val="20"/>
                <w:szCs w:val="20"/>
              </w:rPr>
            </w:pPr>
            <w:r>
              <w:rPr>
                <w:sz w:val="20"/>
                <w:szCs w:val="20"/>
              </w:rPr>
              <w:t>4</w:t>
            </w:r>
          </w:p>
        </w:tc>
        <w:tc>
          <w:tcPr>
            <w:tcW w:w="2630" w:type="dxa"/>
            <w:tcBorders>
              <w:top w:val="single" w:sz="6" w:space="0" w:color="AEAEAE"/>
              <w:left w:val="single" w:sz="6" w:space="0" w:color="AEAEAE"/>
              <w:bottom w:val="single" w:sz="6" w:space="0" w:color="AEAEAE"/>
              <w:right w:val="single" w:sz="6" w:space="0" w:color="AEAEAE"/>
            </w:tcBorders>
            <w:vAlign w:val="center"/>
          </w:tcPr>
          <w:p w14:paraId="4F3859F6" w14:textId="77777777" w:rsidR="002D58E4" w:rsidRDefault="00F721D4">
            <w:pPr>
              <w:rPr>
                <w:sz w:val="20"/>
                <w:szCs w:val="20"/>
              </w:rPr>
            </w:pPr>
            <w:r>
              <w:rPr>
                <w:sz w:val="20"/>
                <w:szCs w:val="20"/>
              </w:rPr>
              <w:t xml:space="preserve">Serological testing of CSF and serum </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3FE00BE8" w14:textId="77777777" w:rsidR="002D58E4" w:rsidRDefault="00F721D4">
            <w:pPr>
              <w:rPr>
                <w:sz w:val="20"/>
                <w:szCs w:val="20"/>
              </w:rPr>
            </w:pPr>
            <w:r>
              <w:rPr>
                <w:sz w:val="20"/>
                <w:szCs w:val="20"/>
              </w:rPr>
              <w:t xml:space="preserve">21 patients with sudden unilateral deafness and 16 patients with vestibular neuritis with “typical clinical history and findings”.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1359F72" w14:textId="77777777" w:rsidR="002D58E4" w:rsidRDefault="00F721D4">
            <w:pPr>
              <w:rPr>
                <w:sz w:val="20"/>
                <w:szCs w:val="20"/>
              </w:rPr>
            </w:pPr>
            <w:r>
              <w:rPr>
                <w:sz w:val="20"/>
                <w:szCs w:val="20"/>
              </w:rPr>
              <w:t>None of the patients presenting with sudden deafness had positive Lyme serology.</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1329BEC" w14:textId="77777777" w:rsidR="002D58E4" w:rsidRDefault="00F721D4">
            <w:pPr>
              <w:rPr>
                <w:sz w:val="20"/>
                <w:szCs w:val="20"/>
              </w:rPr>
            </w:pPr>
            <w:r>
              <w:rPr>
                <w:sz w:val="20"/>
                <w:szCs w:val="20"/>
              </w:rPr>
              <w:t xml:space="preserve">Despite a lack of findings, the authors concluded that testing for </w:t>
            </w:r>
            <w:r>
              <w:rPr>
                <w:i/>
                <w:sz w:val="20"/>
                <w:szCs w:val="20"/>
              </w:rPr>
              <w:t>Borrelia</w:t>
            </w:r>
            <w:r>
              <w:rPr>
                <w:sz w:val="20"/>
                <w:szCs w:val="20"/>
              </w:rPr>
              <w:t xml:space="preserve"> was prudent in endemic areas. </w:t>
            </w:r>
          </w:p>
        </w:tc>
      </w:tr>
      <w:tr w:rsidR="002D58E4" w14:paraId="3B64E4AC"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9C43B7D" w14:textId="77777777" w:rsidR="002D58E4" w:rsidRDefault="00F721D4">
            <w:pPr>
              <w:rPr>
                <w:sz w:val="20"/>
                <w:szCs w:val="20"/>
              </w:rPr>
            </w:pPr>
            <w:r>
              <w:rPr>
                <w:sz w:val="20"/>
                <w:szCs w:val="20"/>
              </w:rPr>
              <w:t>Peltomaa, et al., 2000</w:t>
            </w:r>
          </w:p>
          <w:p w14:paraId="282B2272" w14:textId="77777777" w:rsidR="002D58E4" w:rsidRDefault="002D58E4">
            <w:pPr>
              <w:rPr>
                <w:sz w:val="20"/>
                <w:szCs w:val="20"/>
              </w:rPr>
            </w:pPr>
          </w:p>
          <w:p w14:paraId="19D548CE" w14:textId="77777777" w:rsidR="002D58E4" w:rsidRDefault="00F721D4">
            <w:pPr>
              <w:rPr>
                <w:sz w:val="20"/>
                <w:szCs w:val="20"/>
              </w:rPr>
            </w:pPr>
            <w:r>
              <w:rPr>
                <w:sz w:val="20"/>
                <w:szCs w:val="20"/>
              </w:rPr>
              <w:t>Finland</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2656D510"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C389290" w14:textId="77777777" w:rsidR="002D58E4" w:rsidRDefault="00F721D4">
            <w:pPr>
              <w:jc w:val="center"/>
              <w:rPr>
                <w:sz w:val="20"/>
                <w:szCs w:val="20"/>
              </w:rPr>
            </w:pPr>
            <w:r>
              <w:rPr>
                <w:sz w:val="20"/>
                <w:szCs w:val="20"/>
              </w:rPr>
              <w:t>6</w:t>
            </w:r>
          </w:p>
        </w:tc>
        <w:tc>
          <w:tcPr>
            <w:tcW w:w="2630" w:type="dxa"/>
            <w:tcBorders>
              <w:top w:val="single" w:sz="6" w:space="0" w:color="AEAEAE"/>
              <w:left w:val="single" w:sz="6" w:space="0" w:color="AEAEAE"/>
              <w:bottom w:val="single" w:sz="6" w:space="0" w:color="AEAEAE"/>
              <w:right w:val="single" w:sz="6" w:space="0" w:color="AEAEAE"/>
            </w:tcBorders>
            <w:vAlign w:val="center"/>
          </w:tcPr>
          <w:p w14:paraId="515B90A7" w14:textId="77777777" w:rsidR="002D58E4" w:rsidRDefault="00F721D4">
            <w:pPr>
              <w:jc w:val="center"/>
              <w:rPr>
                <w:sz w:val="20"/>
                <w:szCs w:val="20"/>
              </w:rPr>
            </w:pPr>
            <w:r>
              <w:rPr>
                <w:sz w:val="20"/>
                <w:szCs w:val="20"/>
              </w:rPr>
              <w:t>ND</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40C937B3" w14:textId="77777777" w:rsidR="002D58E4" w:rsidRDefault="00F721D4">
            <w:pPr>
              <w:rPr>
                <w:sz w:val="20"/>
                <w:szCs w:val="20"/>
              </w:rPr>
            </w:pPr>
            <w:r>
              <w:rPr>
                <w:sz w:val="20"/>
                <w:szCs w:val="20"/>
              </w:rPr>
              <w:t xml:space="preserve">165 patients with acute idiopathic sensorineural hearing loss.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26AB07D" w14:textId="77777777" w:rsidR="002D58E4" w:rsidRDefault="00F721D4">
            <w:pPr>
              <w:rPr>
                <w:sz w:val="20"/>
                <w:szCs w:val="20"/>
              </w:rPr>
            </w:pPr>
            <w:r>
              <w:rPr>
                <w:sz w:val="20"/>
                <w:szCs w:val="20"/>
              </w:rPr>
              <w:t xml:space="preserve">2.4% (4 of 165) patients in this cohort had confirmed Lyme Disease.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2015272" w14:textId="77777777" w:rsidR="002D58E4" w:rsidRDefault="00F721D4">
            <w:pPr>
              <w:rPr>
                <w:sz w:val="20"/>
                <w:szCs w:val="20"/>
              </w:rPr>
            </w:pPr>
            <w:r>
              <w:rPr>
                <w:sz w:val="20"/>
                <w:szCs w:val="20"/>
              </w:rPr>
              <w:t xml:space="preserve">The prevalence of positive antibody titer against </w:t>
            </w:r>
            <w:r>
              <w:rPr>
                <w:i/>
                <w:sz w:val="20"/>
                <w:szCs w:val="20"/>
              </w:rPr>
              <w:t>B. burgdorferi</w:t>
            </w:r>
            <w:r>
              <w:rPr>
                <w:sz w:val="20"/>
                <w:szCs w:val="20"/>
              </w:rPr>
              <w:t xml:space="preserve"> was four times higher in patients with sensorineural hearing loss than that of the general population of Finland.</w:t>
            </w:r>
          </w:p>
          <w:p w14:paraId="17C4D19C" w14:textId="77777777" w:rsidR="002D58E4" w:rsidRDefault="002D58E4">
            <w:pPr>
              <w:rPr>
                <w:sz w:val="20"/>
                <w:szCs w:val="20"/>
              </w:rPr>
            </w:pPr>
          </w:p>
          <w:p w14:paraId="74AA1141" w14:textId="77777777" w:rsidR="002D58E4" w:rsidRDefault="00F721D4">
            <w:pPr>
              <w:rPr>
                <w:sz w:val="20"/>
                <w:szCs w:val="20"/>
              </w:rPr>
            </w:pPr>
            <w:r>
              <w:rPr>
                <w:sz w:val="20"/>
                <w:szCs w:val="20"/>
              </w:rPr>
              <w:t xml:space="preserve">The authors concluded that Lyme Disease is a rare, but treatable cause of sudden hearing loss, and that serologic testing is warranted in endemic areas. </w:t>
            </w:r>
          </w:p>
        </w:tc>
      </w:tr>
      <w:tr w:rsidR="002D58E4" w14:paraId="145986F3" w14:textId="77777777" w:rsidTr="003D1C11">
        <w:trPr>
          <w:trHeight w:val="116"/>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8A57047" w14:textId="77777777" w:rsidR="002D58E4" w:rsidRDefault="00F721D4">
            <w:pPr>
              <w:rPr>
                <w:sz w:val="20"/>
                <w:szCs w:val="20"/>
              </w:rPr>
            </w:pPr>
            <w:r>
              <w:rPr>
                <w:sz w:val="20"/>
                <w:szCs w:val="20"/>
              </w:rPr>
              <w:t>Finizia, et al., 2001</w:t>
            </w:r>
          </w:p>
          <w:p w14:paraId="6DD12CCE" w14:textId="77777777" w:rsidR="002D58E4" w:rsidRDefault="002D58E4">
            <w:pPr>
              <w:rPr>
                <w:sz w:val="20"/>
                <w:szCs w:val="20"/>
              </w:rPr>
            </w:pPr>
          </w:p>
          <w:p w14:paraId="0CB0D2F3" w14:textId="77777777" w:rsidR="002D58E4" w:rsidRDefault="00F721D4">
            <w:pPr>
              <w:rPr>
                <w:sz w:val="20"/>
                <w:szCs w:val="20"/>
              </w:rPr>
            </w:pPr>
            <w:r>
              <w:rPr>
                <w:sz w:val="20"/>
                <w:szCs w:val="20"/>
              </w:rPr>
              <w:t>Sweden</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76996E58"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772B1D67" w14:textId="77777777" w:rsidR="002D58E4" w:rsidRDefault="00F721D4">
            <w:pPr>
              <w:jc w:val="center"/>
              <w:rPr>
                <w:sz w:val="20"/>
                <w:szCs w:val="20"/>
              </w:rPr>
            </w:pPr>
            <w:r>
              <w:rPr>
                <w:sz w:val="20"/>
                <w:szCs w:val="20"/>
              </w:rPr>
              <w:t>6</w:t>
            </w:r>
          </w:p>
        </w:tc>
        <w:tc>
          <w:tcPr>
            <w:tcW w:w="2630" w:type="dxa"/>
            <w:tcBorders>
              <w:top w:val="single" w:sz="6" w:space="0" w:color="AEAEAE"/>
              <w:left w:val="single" w:sz="6" w:space="0" w:color="AEAEAE"/>
              <w:bottom w:val="single" w:sz="6" w:space="0" w:color="AEAEAE"/>
              <w:right w:val="single" w:sz="6" w:space="0" w:color="AEAEAE"/>
            </w:tcBorders>
            <w:vAlign w:val="center"/>
          </w:tcPr>
          <w:p w14:paraId="4C13E6F0" w14:textId="77777777" w:rsidR="002D58E4" w:rsidRDefault="00F721D4">
            <w:pPr>
              <w:rPr>
                <w:sz w:val="20"/>
                <w:szCs w:val="20"/>
              </w:rPr>
            </w:pPr>
            <w:r>
              <w:rPr>
                <w:sz w:val="20"/>
                <w:szCs w:val="20"/>
              </w:rPr>
              <w:t>Serological testing of CSF and serum, and/or elevated CSF proteins and/or pathological CSF cell counts</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328F5C08" w14:textId="77777777" w:rsidR="002D58E4" w:rsidRDefault="00F721D4">
            <w:pPr>
              <w:rPr>
                <w:sz w:val="20"/>
                <w:szCs w:val="20"/>
              </w:rPr>
            </w:pPr>
            <w:r>
              <w:rPr>
                <w:sz w:val="20"/>
                <w:szCs w:val="20"/>
              </w:rPr>
              <w:t xml:space="preserve">19 patients with sudden sensorineural hearing loss, both seropositive and seronegative.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0CA6663" w14:textId="77777777" w:rsidR="002D58E4" w:rsidRDefault="00F721D4">
            <w:pPr>
              <w:rPr>
                <w:sz w:val="20"/>
                <w:szCs w:val="20"/>
              </w:rPr>
            </w:pPr>
            <w:r>
              <w:rPr>
                <w:sz w:val="20"/>
                <w:szCs w:val="20"/>
              </w:rPr>
              <w:t xml:space="preserve">There was a high prevalence (68%) of pathology in serum and CSF. </w:t>
            </w:r>
          </w:p>
          <w:p w14:paraId="2FC6C8BF" w14:textId="77777777" w:rsidR="002D58E4" w:rsidRDefault="002D58E4">
            <w:pPr>
              <w:rPr>
                <w:sz w:val="20"/>
                <w:szCs w:val="20"/>
              </w:rPr>
            </w:pPr>
          </w:p>
          <w:p w14:paraId="781006A0" w14:textId="77777777" w:rsidR="002D58E4" w:rsidRDefault="00F721D4">
            <w:pPr>
              <w:rPr>
                <w:sz w:val="20"/>
                <w:szCs w:val="20"/>
              </w:rPr>
            </w:pPr>
            <w:r>
              <w:rPr>
                <w:sz w:val="20"/>
                <w:szCs w:val="20"/>
              </w:rPr>
              <w:t>In 54% of the patients, elevated levels of CSF proteins and/or pathological CSF cell counts were present without positive antibodies to Bb.</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9DB0DA8" w14:textId="77777777" w:rsidR="002D58E4" w:rsidRDefault="00F721D4">
            <w:pPr>
              <w:rPr>
                <w:sz w:val="20"/>
                <w:szCs w:val="20"/>
              </w:rPr>
            </w:pPr>
            <w:r>
              <w:rPr>
                <w:sz w:val="20"/>
                <w:szCs w:val="20"/>
              </w:rPr>
              <w:t xml:space="preserve">“Positive levels of antibodies against Bb or pathological proteins in CSF were associated with better hearing recovery (means of 47.2% and 51.7%, respectively) ... Patients with positive serology to </w:t>
            </w:r>
            <w:r>
              <w:rPr>
                <w:i/>
                <w:sz w:val="20"/>
                <w:szCs w:val="20"/>
              </w:rPr>
              <w:t>B. burgdorferi</w:t>
            </w:r>
            <w:r>
              <w:rPr>
                <w:sz w:val="20"/>
                <w:szCs w:val="20"/>
              </w:rPr>
              <w:t xml:space="preserve"> who received antibiotic treatment (oral tetracycline), with or without steroids, had the best hearing recovery (61.7 and 48.4%, respectively)”</w:t>
            </w:r>
          </w:p>
          <w:p w14:paraId="03A79E4E" w14:textId="77777777" w:rsidR="002D58E4" w:rsidRDefault="002D58E4">
            <w:pPr>
              <w:rPr>
                <w:sz w:val="20"/>
                <w:szCs w:val="20"/>
              </w:rPr>
            </w:pPr>
          </w:p>
          <w:p w14:paraId="5070D99F" w14:textId="77777777" w:rsidR="002D58E4" w:rsidRDefault="00F721D4">
            <w:pPr>
              <w:rPr>
                <w:sz w:val="20"/>
                <w:szCs w:val="20"/>
              </w:rPr>
            </w:pPr>
            <w:r>
              <w:rPr>
                <w:sz w:val="20"/>
                <w:szCs w:val="20"/>
              </w:rPr>
              <w:t>The authors concluded that more liberal testing guidelines would be helpful in encouraging earlier antibiotic treatment for patients with Lyme Disease.</w:t>
            </w:r>
          </w:p>
        </w:tc>
      </w:tr>
      <w:tr w:rsidR="002D58E4" w14:paraId="531DE78D"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99AD81E" w14:textId="77777777" w:rsidR="002D58E4" w:rsidRDefault="00F721D4">
            <w:pPr>
              <w:rPr>
                <w:sz w:val="20"/>
                <w:szCs w:val="20"/>
              </w:rPr>
            </w:pPr>
            <w:r>
              <w:rPr>
                <w:sz w:val="20"/>
                <w:szCs w:val="20"/>
              </w:rPr>
              <w:t>Lorenzi, et al., 2003</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5461C772"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462D445E" w14:textId="77777777" w:rsidR="002D58E4" w:rsidRDefault="00F721D4">
            <w:pPr>
              <w:jc w:val="center"/>
              <w:rPr>
                <w:sz w:val="20"/>
                <w:szCs w:val="20"/>
              </w:rPr>
            </w:pPr>
            <w:r>
              <w:rPr>
                <w:sz w:val="20"/>
                <w:szCs w:val="20"/>
              </w:rPr>
              <w:t>6</w:t>
            </w:r>
          </w:p>
        </w:tc>
        <w:tc>
          <w:tcPr>
            <w:tcW w:w="2630" w:type="dxa"/>
            <w:tcBorders>
              <w:top w:val="single" w:sz="6" w:space="0" w:color="AEAEAE"/>
              <w:left w:val="single" w:sz="6" w:space="0" w:color="AEAEAE"/>
              <w:bottom w:val="single" w:sz="6" w:space="0" w:color="AEAEAE"/>
              <w:right w:val="single" w:sz="6" w:space="0" w:color="AEAEAE"/>
            </w:tcBorders>
            <w:vAlign w:val="center"/>
          </w:tcPr>
          <w:p w14:paraId="51A4AFD3" w14:textId="77777777" w:rsidR="002D58E4" w:rsidRDefault="00F721D4">
            <w:pPr>
              <w:rPr>
                <w:sz w:val="20"/>
                <w:szCs w:val="20"/>
              </w:rPr>
            </w:pPr>
            <w:r>
              <w:rPr>
                <w:sz w:val="20"/>
                <w:szCs w:val="20"/>
              </w:rPr>
              <w:t xml:space="preserve">Serological testing for </w:t>
            </w:r>
            <w:r>
              <w:rPr>
                <w:i/>
                <w:sz w:val="20"/>
                <w:szCs w:val="20"/>
              </w:rPr>
              <w:t>B. burgdorferi</w:t>
            </w:r>
            <w:r>
              <w:rPr>
                <w:sz w:val="20"/>
                <w:szCs w:val="20"/>
              </w:rPr>
              <w:t xml:space="preserve"> </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35FA1E26" w14:textId="77777777" w:rsidR="002D58E4" w:rsidRDefault="00F721D4">
            <w:pPr>
              <w:rPr>
                <w:sz w:val="20"/>
                <w:szCs w:val="20"/>
              </w:rPr>
            </w:pPr>
            <w:r>
              <w:rPr>
                <w:sz w:val="20"/>
                <w:szCs w:val="20"/>
              </w:rPr>
              <w:t xml:space="preserve">47 patients with sudden deafness, both seropositive and seronegative.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763723E" w14:textId="77777777" w:rsidR="002D58E4" w:rsidRDefault="00F721D4">
            <w:pPr>
              <w:rPr>
                <w:sz w:val="20"/>
                <w:szCs w:val="20"/>
              </w:rPr>
            </w:pPr>
            <w:r>
              <w:rPr>
                <w:sz w:val="20"/>
                <w:szCs w:val="20"/>
              </w:rPr>
              <w:t xml:space="preserve">21.3% of cases had positive antibody titers to </w:t>
            </w:r>
            <w:r>
              <w:rPr>
                <w:i/>
                <w:sz w:val="20"/>
                <w:szCs w:val="20"/>
              </w:rPr>
              <w:t>B. burgdorferi</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D229795" w14:textId="77777777" w:rsidR="002D58E4" w:rsidRDefault="00F721D4">
            <w:pPr>
              <w:rPr>
                <w:sz w:val="20"/>
                <w:szCs w:val="20"/>
              </w:rPr>
            </w:pPr>
            <w:r>
              <w:rPr>
                <w:sz w:val="20"/>
                <w:szCs w:val="20"/>
              </w:rPr>
              <w:t>The authors reported no distinct differences in clinical presentation between the seropositive and seronegative groups. Both groups experienced a similar clinical outcome.</w:t>
            </w:r>
          </w:p>
        </w:tc>
      </w:tr>
      <w:tr w:rsidR="002D58E4" w14:paraId="70972D51"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D48DD72" w14:textId="77777777" w:rsidR="002D58E4" w:rsidRDefault="00F721D4">
            <w:pPr>
              <w:rPr>
                <w:sz w:val="20"/>
                <w:szCs w:val="20"/>
              </w:rPr>
            </w:pPr>
            <w:r>
              <w:rPr>
                <w:sz w:val="20"/>
                <w:szCs w:val="20"/>
              </w:rPr>
              <w:t>Walther, et al., 2003</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2F64345C" w14:textId="77777777" w:rsidR="002D58E4" w:rsidRDefault="00F721D4">
            <w:pPr>
              <w:rPr>
                <w:sz w:val="20"/>
                <w:szCs w:val="20"/>
              </w:rPr>
            </w:pPr>
            <w:r>
              <w:rPr>
                <w:sz w:val="20"/>
                <w:szCs w:val="20"/>
              </w:rPr>
              <w:t>Retrospective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2396E03" w14:textId="77777777" w:rsidR="002D58E4" w:rsidRDefault="00F721D4">
            <w:pPr>
              <w:jc w:val="center"/>
              <w:rPr>
                <w:sz w:val="20"/>
                <w:szCs w:val="20"/>
              </w:rPr>
            </w:pPr>
            <w:r>
              <w:rPr>
                <w:sz w:val="20"/>
                <w:szCs w:val="20"/>
              </w:rPr>
              <w:t>5</w:t>
            </w:r>
          </w:p>
        </w:tc>
        <w:tc>
          <w:tcPr>
            <w:tcW w:w="2630" w:type="dxa"/>
            <w:tcBorders>
              <w:top w:val="single" w:sz="6" w:space="0" w:color="AEAEAE"/>
              <w:left w:val="single" w:sz="6" w:space="0" w:color="AEAEAE"/>
              <w:bottom w:val="single" w:sz="6" w:space="0" w:color="AEAEAE"/>
              <w:right w:val="single" w:sz="6" w:space="0" w:color="AEAEAE"/>
            </w:tcBorders>
            <w:vAlign w:val="center"/>
          </w:tcPr>
          <w:p w14:paraId="603E3298" w14:textId="77777777" w:rsidR="002D58E4" w:rsidRDefault="00F721D4">
            <w:pPr>
              <w:rPr>
                <w:sz w:val="20"/>
                <w:szCs w:val="20"/>
              </w:rPr>
            </w:pPr>
            <w:r>
              <w:rPr>
                <w:sz w:val="20"/>
                <w:szCs w:val="20"/>
              </w:rPr>
              <w:t xml:space="preserve">IgM and IgG antibodies for </w:t>
            </w:r>
            <w:r>
              <w:rPr>
                <w:i/>
                <w:sz w:val="20"/>
                <w:szCs w:val="20"/>
              </w:rPr>
              <w:t xml:space="preserve">B. burgdorferi </w:t>
            </w:r>
            <w:r>
              <w:rPr>
                <w:sz w:val="20"/>
                <w:szCs w:val="20"/>
              </w:rPr>
              <w:t>were detected in serum by ELISA.</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4D27D253" w14:textId="77777777" w:rsidR="002D58E4" w:rsidRDefault="00F721D4">
            <w:pPr>
              <w:rPr>
                <w:sz w:val="20"/>
                <w:szCs w:val="20"/>
              </w:rPr>
            </w:pPr>
            <w:r>
              <w:rPr>
                <w:sz w:val="20"/>
                <w:szCs w:val="20"/>
              </w:rPr>
              <w:t>344 patients with acute sensorineural hearing loss and 66 patients with vestibular neuronitis.</w:t>
            </w:r>
          </w:p>
          <w:p w14:paraId="0BBCA394" w14:textId="77777777" w:rsidR="002D58E4" w:rsidRDefault="002D58E4">
            <w:pPr>
              <w:rPr>
                <w:sz w:val="20"/>
                <w:szCs w:val="20"/>
              </w:rPr>
            </w:pPr>
          </w:p>
          <w:p w14:paraId="5EDC2E0B" w14:textId="77777777" w:rsidR="002D58E4" w:rsidRDefault="00F721D4">
            <w:pPr>
              <w:rPr>
                <w:sz w:val="20"/>
                <w:szCs w:val="20"/>
              </w:rPr>
            </w:pPr>
            <w:r>
              <w:rPr>
                <w:sz w:val="20"/>
                <w:szCs w:val="20"/>
              </w:rPr>
              <w:t xml:space="preserve">Seropositivity frequencies were compared against those of healthy individuals in the literature.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FDF4E90" w14:textId="77777777" w:rsidR="002D58E4" w:rsidRDefault="00F721D4">
            <w:pPr>
              <w:rPr>
                <w:sz w:val="20"/>
                <w:szCs w:val="20"/>
              </w:rPr>
            </w:pPr>
            <w:r>
              <w:rPr>
                <w:sz w:val="20"/>
                <w:szCs w:val="20"/>
              </w:rPr>
              <w:t xml:space="preserve">IgG antibodies were elevated in 15.7% of patients with sensorineural hearing loss. </w:t>
            </w:r>
          </w:p>
          <w:p w14:paraId="74D5B9BC" w14:textId="77777777" w:rsidR="002D58E4" w:rsidRDefault="002D58E4">
            <w:pPr>
              <w:rPr>
                <w:sz w:val="20"/>
                <w:szCs w:val="20"/>
              </w:rPr>
            </w:pPr>
          </w:p>
          <w:p w14:paraId="46434FD1" w14:textId="77777777" w:rsidR="002D58E4" w:rsidRDefault="00F721D4">
            <w:pPr>
              <w:rPr>
                <w:sz w:val="20"/>
                <w:szCs w:val="20"/>
              </w:rPr>
            </w:pPr>
            <w:r>
              <w:rPr>
                <w:sz w:val="20"/>
                <w:szCs w:val="20"/>
              </w:rPr>
              <w:t xml:space="preserve">IgM antibodies were elevated in 4.7% of patients.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F59DBC5" w14:textId="77777777" w:rsidR="002D58E4" w:rsidRDefault="00F721D4">
            <w:pPr>
              <w:rPr>
                <w:sz w:val="20"/>
                <w:szCs w:val="20"/>
              </w:rPr>
            </w:pPr>
            <w:r>
              <w:rPr>
                <w:sz w:val="20"/>
                <w:szCs w:val="20"/>
              </w:rPr>
              <w:t xml:space="preserve">Patients with sensorineural hearing loss experienced a higher prevalence of IgG seropositivity than the healthy population but showed a comparable prevalence of IgM seropositivity. </w:t>
            </w:r>
          </w:p>
          <w:p w14:paraId="5550DC0C" w14:textId="77777777" w:rsidR="002D58E4" w:rsidRDefault="002D58E4">
            <w:pPr>
              <w:rPr>
                <w:sz w:val="20"/>
                <w:szCs w:val="20"/>
              </w:rPr>
            </w:pPr>
          </w:p>
          <w:p w14:paraId="1A169D24" w14:textId="77777777" w:rsidR="002D58E4" w:rsidRDefault="00F721D4">
            <w:pPr>
              <w:rPr>
                <w:sz w:val="20"/>
                <w:szCs w:val="20"/>
              </w:rPr>
            </w:pPr>
            <w:r>
              <w:rPr>
                <w:sz w:val="20"/>
                <w:szCs w:val="20"/>
              </w:rPr>
              <w:t xml:space="preserve">The authors concluded that low frequency hearing loss may be a sign for a </w:t>
            </w:r>
            <w:r>
              <w:rPr>
                <w:i/>
                <w:sz w:val="20"/>
                <w:szCs w:val="20"/>
              </w:rPr>
              <w:t xml:space="preserve">Borrelia </w:t>
            </w:r>
            <w:r>
              <w:rPr>
                <w:sz w:val="20"/>
                <w:szCs w:val="20"/>
              </w:rPr>
              <w:t>infection and suggest treatment with oral antibiotics in the presence of IgM antibodies.</w:t>
            </w:r>
          </w:p>
        </w:tc>
      </w:tr>
      <w:tr w:rsidR="002D58E4" w14:paraId="0EE3737D"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2B261F3" w14:textId="77777777" w:rsidR="002D58E4" w:rsidRDefault="00F721D4">
            <w:pPr>
              <w:rPr>
                <w:sz w:val="20"/>
                <w:szCs w:val="20"/>
              </w:rPr>
            </w:pPr>
            <w:r>
              <w:rPr>
                <w:sz w:val="20"/>
                <w:szCs w:val="20"/>
              </w:rPr>
              <w:t>Wentland, et al., 2018</w:t>
            </w:r>
          </w:p>
          <w:p w14:paraId="4064AC46" w14:textId="77777777" w:rsidR="002D58E4" w:rsidRDefault="002D58E4">
            <w:pPr>
              <w:rPr>
                <w:sz w:val="20"/>
                <w:szCs w:val="20"/>
              </w:rPr>
            </w:pPr>
          </w:p>
          <w:p w14:paraId="7131E327" w14:textId="77777777" w:rsidR="002D58E4" w:rsidRDefault="002D58E4">
            <w:pPr>
              <w:rPr>
                <w:sz w:val="20"/>
                <w:szCs w:val="20"/>
              </w:rPr>
            </w:pPr>
          </w:p>
          <w:p w14:paraId="21E43453" w14:textId="77777777" w:rsidR="002D58E4" w:rsidRDefault="00F721D4">
            <w:pPr>
              <w:rPr>
                <w:sz w:val="20"/>
                <w:szCs w:val="20"/>
              </w:rPr>
            </w:pPr>
            <w:r>
              <w:rPr>
                <w:sz w:val="20"/>
                <w:szCs w:val="20"/>
              </w:rPr>
              <w:t>Boston, MA</w:t>
            </w:r>
          </w:p>
        </w:tc>
        <w:tc>
          <w:tcPr>
            <w:tcW w:w="720" w:type="dxa"/>
            <w:tcBorders>
              <w:top w:val="single" w:sz="6" w:space="0" w:color="AEAEAE"/>
              <w:left w:val="single" w:sz="6" w:space="0" w:color="AEAEAE"/>
              <w:bottom w:val="single" w:sz="6" w:space="0" w:color="AEAEAE"/>
              <w:right w:val="single" w:sz="6" w:space="0" w:color="AEAEAE"/>
            </w:tcBorders>
            <w:vAlign w:val="center"/>
          </w:tcPr>
          <w:p w14:paraId="4AB81005" w14:textId="77777777" w:rsidR="002D58E4" w:rsidRDefault="00F721D4">
            <w:pPr>
              <w:rPr>
                <w:sz w:val="20"/>
                <w:szCs w:val="20"/>
              </w:rPr>
            </w:pPr>
            <w:r>
              <w:rPr>
                <w:sz w:val="20"/>
                <w:szCs w:val="20"/>
              </w:rPr>
              <w:t>Retrospective study</w:t>
            </w:r>
          </w:p>
        </w:tc>
        <w:tc>
          <w:tcPr>
            <w:tcW w:w="643" w:type="dxa"/>
            <w:gridSpan w:val="2"/>
            <w:tcBorders>
              <w:top w:val="single" w:sz="6" w:space="0" w:color="AEAEAE"/>
              <w:left w:val="single" w:sz="6" w:space="0" w:color="AEAEAE"/>
              <w:bottom w:val="single" w:sz="6" w:space="0" w:color="AEAEAE"/>
              <w:right w:val="single" w:sz="6" w:space="0" w:color="AEAEAE"/>
            </w:tcBorders>
            <w:vAlign w:val="center"/>
          </w:tcPr>
          <w:p w14:paraId="124B6EAE" w14:textId="77777777" w:rsidR="002D58E4" w:rsidRDefault="00F721D4">
            <w:pPr>
              <w:jc w:val="center"/>
              <w:rPr>
                <w:sz w:val="20"/>
                <w:szCs w:val="20"/>
              </w:rPr>
            </w:pPr>
            <w:r>
              <w:rPr>
                <w:sz w:val="20"/>
                <w:szCs w:val="20"/>
              </w:rPr>
              <w:t>7</w:t>
            </w:r>
          </w:p>
        </w:tc>
        <w:tc>
          <w:tcPr>
            <w:tcW w:w="2630" w:type="dxa"/>
            <w:tcBorders>
              <w:top w:val="single" w:sz="6" w:space="0" w:color="AEAEAE"/>
              <w:left w:val="single" w:sz="6" w:space="0" w:color="AEAEAE"/>
              <w:bottom w:val="single" w:sz="6" w:space="0" w:color="AEAEAE"/>
              <w:right w:val="single" w:sz="6" w:space="0" w:color="AEAEAE"/>
            </w:tcBorders>
            <w:vAlign w:val="center"/>
          </w:tcPr>
          <w:p w14:paraId="72E1BB09" w14:textId="77777777" w:rsidR="002D58E4" w:rsidRDefault="00F721D4">
            <w:pPr>
              <w:rPr>
                <w:sz w:val="20"/>
                <w:szCs w:val="20"/>
              </w:rPr>
            </w:pPr>
            <w:r>
              <w:rPr>
                <w:sz w:val="20"/>
                <w:szCs w:val="20"/>
              </w:rPr>
              <w:t xml:space="preserve">Serological testing for </w:t>
            </w:r>
            <w:r>
              <w:rPr>
                <w:i/>
                <w:sz w:val="20"/>
                <w:szCs w:val="20"/>
              </w:rPr>
              <w:t>B. burgdorferi</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58D14074" w14:textId="77777777" w:rsidR="002D58E4" w:rsidRDefault="00F721D4">
            <w:pPr>
              <w:rPr>
                <w:sz w:val="20"/>
                <w:szCs w:val="20"/>
              </w:rPr>
            </w:pPr>
            <w:r>
              <w:rPr>
                <w:sz w:val="20"/>
                <w:szCs w:val="20"/>
              </w:rPr>
              <w:t xml:space="preserve">746 patients (newborn to age 18) with a diagnosis of sensorineural hearing loss or hearing loss. </w:t>
            </w:r>
          </w:p>
          <w:p w14:paraId="6EA28977" w14:textId="77777777" w:rsidR="002D58E4" w:rsidRDefault="002D58E4">
            <w:pPr>
              <w:rPr>
                <w:sz w:val="20"/>
                <w:szCs w:val="20"/>
              </w:rPr>
            </w:pPr>
          </w:p>
          <w:p w14:paraId="6C808693" w14:textId="77777777" w:rsidR="002D58E4" w:rsidRDefault="00F721D4">
            <w:pPr>
              <w:rPr>
                <w:sz w:val="20"/>
                <w:szCs w:val="20"/>
              </w:rPr>
            </w:pPr>
            <w:r>
              <w:rPr>
                <w:sz w:val="20"/>
                <w:szCs w:val="20"/>
              </w:rPr>
              <w:t xml:space="preserve">Lyme titers were performed in 54 patients.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9B7A86C" w14:textId="77777777" w:rsidR="002D58E4" w:rsidRDefault="00F721D4">
            <w:pPr>
              <w:rPr>
                <w:sz w:val="20"/>
                <w:szCs w:val="20"/>
              </w:rPr>
            </w:pPr>
            <w:r>
              <w:rPr>
                <w:sz w:val="20"/>
                <w:szCs w:val="20"/>
              </w:rPr>
              <w:t xml:space="preserve">3 of 54 patients (6%) had positive antibody titers to </w:t>
            </w:r>
            <w:r>
              <w:rPr>
                <w:i/>
                <w:sz w:val="20"/>
                <w:szCs w:val="20"/>
              </w:rPr>
              <w:t>B. burgdorferi</w:t>
            </w:r>
            <w:r>
              <w:rPr>
                <w:sz w:val="20"/>
                <w:szCs w:val="20"/>
              </w:rPr>
              <w:t xml:space="preserve">, and 2 (4%) patients had equivocal results. </w:t>
            </w:r>
          </w:p>
          <w:p w14:paraId="35C4E3D1" w14:textId="77777777" w:rsidR="002D58E4" w:rsidRDefault="002D58E4">
            <w:pPr>
              <w:rPr>
                <w:sz w:val="20"/>
                <w:szCs w:val="20"/>
              </w:rPr>
            </w:pPr>
          </w:p>
          <w:p w14:paraId="5D64A5AF" w14:textId="77777777" w:rsidR="002D58E4" w:rsidRDefault="00F721D4">
            <w:pPr>
              <w:rPr>
                <w:sz w:val="20"/>
                <w:szCs w:val="20"/>
              </w:rPr>
            </w:pPr>
            <w:r>
              <w:rPr>
                <w:sz w:val="20"/>
                <w:szCs w:val="20"/>
              </w:rPr>
              <w:t>One patient with positive antibody titers also had an ipsilateral enlarged vestibular aqueduct (passed newborn hearing screen). It was unknown if the other two positive cases had passed the newborn hearing screen.</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93525D4" w14:textId="77777777" w:rsidR="002D58E4" w:rsidRDefault="00F721D4">
            <w:pPr>
              <w:rPr>
                <w:sz w:val="20"/>
                <w:szCs w:val="20"/>
              </w:rPr>
            </w:pPr>
            <w:r>
              <w:rPr>
                <w:sz w:val="20"/>
                <w:szCs w:val="20"/>
              </w:rPr>
              <w:t xml:space="preserve">The authors stress that cytomegalovirus is the most common infectious cause of sensorineural hearing loss. </w:t>
            </w:r>
          </w:p>
          <w:p w14:paraId="06F92E81" w14:textId="77777777" w:rsidR="002D58E4" w:rsidRDefault="002D58E4">
            <w:pPr>
              <w:rPr>
                <w:sz w:val="20"/>
                <w:szCs w:val="20"/>
              </w:rPr>
            </w:pPr>
          </w:p>
          <w:p w14:paraId="2079C157" w14:textId="77777777" w:rsidR="002D58E4" w:rsidRDefault="00F721D4">
            <w:pPr>
              <w:rPr>
                <w:sz w:val="20"/>
                <w:szCs w:val="20"/>
              </w:rPr>
            </w:pPr>
            <w:r>
              <w:rPr>
                <w:sz w:val="20"/>
                <w:szCs w:val="20"/>
              </w:rPr>
              <w:t xml:space="preserve">In the context of the current study, testing for Lyme titers was only conducted in patients at high risk of Lyme disease (children who acquired hearing loss with residence in or travel to Lyme-endemic areas).  </w:t>
            </w:r>
          </w:p>
          <w:p w14:paraId="79FADC1A" w14:textId="77777777" w:rsidR="002D58E4" w:rsidRDefault="002D58E4">
            <w:pPr>
              <w:rPr>
                <w:sz w:val="20"/>
                <w:szCs w:val="20"/>
              </w:rPr>
            </w:pPr>
          </w:p>
          <w:p w14:paraId="27DAC5D0" w14:textId="77777777" w:rsidR="002D58E4" w:rsidRDefault="00F721D4">
            <w:pPr>
              <w:rPr>
                <w:sz w:val="20"/>
                <w:szCs w:val="20"/>
              </w:rPr>
            </w:pPr>
            <w:r>
              <w:rPr>
                <w:sz w:val="20"/>
                <w:szCs w:val="20"/>
              </w:rPr>
              <w:t xml:space="preserve">Children with positive results were referred to pediatricians or infectious disease specialists for management, and clinical outcomes are not reported. </w:t>
            </w:r>
          </w:p>
        </w:tc>
      </w:tr>
      <w:tr w:rsidR="002D58E4" w14:paraId="0A3BEDB3" w14:textId="77777777" w:rsidTr="003D1C11">
        <w:trPr>
          <w:trHeight w:val="32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46D23B5B" w14:textId="77777777" w:rsidR="002D58E4" w:rsidRDefault="00F721D4">
            <w:pPr>
              <w:jc w:val="center"/>
              <w:rPr>
                <w:b/>
                <w:sz w:val="20"/>
                <w:szCs w:val="20"/>
              </w:rPr>
            </w:pPr>
            <w:r>
              <w:rPr>
                <w:b/>
              </w:rPr>
              <w:t>Radiographic White Matter Disease</w:t>
            </w:r>
          </w:p>
        </w:tc>
      </w:tr>
      <w:tr w:rsidR="002D58E4" w14:paraId="126FBB39"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81AA520" w14:textId="77777777" w:rsidR="002D58E4" w:rsidRDefault="00F721D4">
            <w:pPr>
              <w:jc w:val="cente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713D7FD5"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5F5E0BF5" w14:textId="77777777" w:rsidR="002D58E4" w:rsidRDefault="00F721D4">
            <w:pPr>
              <w:jc w:val="cente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35FDA054" w14:textId="77777777" w:rsidR="002D58E4" w:rsidRDefault="00F721D4">
            <w:pPr>
              <w:jc w:val="center"/>
              <w:rPr>
                <w:b/>
                <w:color w:val="000000"/>
                <w:sz w:val="20"/>
                <w:szCs w:val="20"/>
              </w:rPr>
            </w:pPr>
            <w:r>
              <w:rPr>
                <w:b/>
                <w:color w:val="000000"/>
                <w:sz w:val="20"/>
                <w:szCs w:val="20"/>
              </w:rPr>
              <w:t>Lyme Disease Diagnosis method</w:t>
            </w:r>
          </w:p>
        </w:tc>
        <w:tc>
          <w:tcPr>
            <w:tcW w:w="2977" w:type="dxa"/>
            <w:gridSpan w:val="2"/>
            <w:tcBorders>
              <w:top w:val="single" w:sz="6" w:space="0" w:color="AEAEAE"/>
              <w:left w:val="single" w:sz="6" w:space="0" w:color="AEAEAE"/>
              <w:bottom w:val="single" w:sz="6" w:space="0" w:color="AEAEAE"/>
              <w:right w:val="single" w:sz="6" w:space="0" w:color="AEAEAE"/>
            </w:tcBorders>
            <w:shd w:val="clear" w:color="auto" w:fill="D9D9D9"/>
          </w:tcPr>
          <w:p w14:paraId="5DFC86B0" w14:textId="77777777" w:rsidR="002D58E4" w:rsidRDefault="00F721D4">
            <w:pPr>
              <w:jc w:val="center"/>
              <w:rPr>
                <w:sz w:val="20"/>
                <w:szCs w:val="20"/>
              </w:rPr>
            </w:pPr>
            <w:r>
              <w:rPr>
                <w:b/>
                <w:color w:val="000000"/>
                <w:sz w:val="20"/>
                <w:szCs w:val="20"/>
              </w:rPr>
              <w:t>Population characteristics and Observed Neurologic Presentation</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BC7F56A" w14:textId="77777777" w:rsidR="002D58E4" w:rsidRDefault="00F721D4">
            <w:pPr>
              <w:jc w:val="center"/>
              <w:rPr>
                <w:b/>
                <w:color w:val="000000"/>
                <w:sz w:val="20"/>
                <w:szCs w:val="20"/>
              </w:rPr>
            </w:pPr>
            <w:r>
              <w:rPr>
                <w:b/>
                <w:color w:val="000000"/>
                <w:sz w:val="20"/>
                <w:szCs w:val="20"/>
              </w:rPr>
              <w:t xml:space="preserve">Prevalence of Lyme in Patients with Disorder </w:t>
            </w:r>
            <w:r>
              <w:rPr>
                <w:b/>
                <w:i/>
                <w:color w:val="000000"/>
                <w:sz w:val="20"/>
                <w:szCs w:val="20"/>
                <w:u w:val="single"/>
              </w:rPr>
              <w:t>or</w:t>
            </w:r>
            <w:r>
              <w:rPr>
                <w:b/>
                <w:i/>
                <w:color w:val="000000"/>
                <w:sz w:val="20"/>
                <w:szCs w:val="20"/>
              </w:rPr>
              <w:t xml:space="preserve"> Prevalence of Disorder in Lyme patients</w:t>
            </w:r>
          </w:p>
        </w:tc>
        <w:tc>
          <w:tcPr>
            <w:tcW w:w="3309" w:type="dxa"/>
            <w:tcBorders>
              <w:top w:val="single" w:sz="6" w:space="0" w:color="AEAEAE"/>
              <w:left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011EB76F" w14:textId="77777777" w:rsidR="002D58E4" w:rsidRDefault="00F721D4">
            <w:pPr>
              <w:jc w:val="center"/>
              <w:rPr>
                <w:b/>
                <w:color w:val="000000"/>
                <w:sz w:val="20"/>
                <w:szCs w:val="20"/>
              </w:rPr>
            </w:pPr>
            <w:r>
              <w:rPr>
                <w:b/>
                <w:color w:val="000000"/>
                <w:sz w:val="20"/>
                <w:szCs w:val="20"/>
              </w:rPr>
              <w:t>Study Conclusions</w:t>
            </w:r>
          </w:p>
        </w:tc>
      </w:tr>
      <w:tr w:rsidR="002D58E4" w14:paraId="40AB9A71"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36E3F64" w14:textId="77777777" w:rsidR="002D58E4" w:rsidRPr="002914A2" w:rsidRDefault="00F721D4">
            <w:pPr>
              <w:rPr>
                <w:sz w:val="20"/>
                <w:szCs w:val="20"/>
                <w:lang w:val="fr-CA"/>
              </w:rPr>
            </w:pPr>
            <w:r w:rsidRPr="002914A2">
              <w:rPr>
                <w:sz w:val="20"/>
                <w:szCs w:val="20"/>
                <w:lang w:val="fr-CA"/>
              </w:rPr>
              <w:t>Fernandez, et al., 1990</w:t>
            </w:r>
          </w:p>
          <w:p w14:paraId="1782C1D3" w14:textId="77777777" w:rsidR="002D58E4" w:rsidRPr="002914A2" w:rsidRDefault="002D58E4">
            <w:pPr>
              <w:rPr>
                <w:sz w:val="20"/>
                <w:szCs w:val="20"/>
                <w:lang w:val="fr-CA"/>
              </w:rPr>
            </w:pPr>
          </w:p>
          <w:p w14:paraId="0E527966" w14:textId="77777777" w:rsidR="002D58E4" w:rsidRPr="002914A2" w:rsidRDefault="00F721D4">
            <w:pPr>
              <w:rPr>
                <w:sz w:val="20"/>
                <w:szCs w:val="20"/>
                <w:lang w:val="fr-CA"/>
              </w:rPr>
            </w:pPr>
            <w:r w:rsidRPr="002914A2">
              <w:rPr>
                <w:sz w:val="20"/>
                <w:szCs w:val="20"/>
                <w:lang w:val="fr-CA"/>
              </w:rPr>
              <w:t>Toms River, NJ</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D07E4F2" w14:textId="77777777" w:rsidR="002D58E4" w:rsidRDefault="00F721D4">
            <w:pPr>
              <w:rPr>
                <w:sz w:val="20"/>
                <w:szCs w:val="20"/>
              </w:rPr>
            </w:pPr>
            <w:r>
              <w:rPr>
                <w:sz w:val="20"/>
                <w:szCs w:val="20"/>
              </w:rPr>
              <w:t>Retrospective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02E6D5CF" w14:textId="77777777" w:rsidR="002D58E4" w:rsidRDefault="00F721D4">
            <w:pPr>
              <w:jc w:val="center"/>
              <w:rPr>
                <w:sz w:val="20"/>
                <w:szCs w:val="20"/>
              </w:rPr>
            </w:pPr>
            <w:r>
              <w:rPr>
                <w:sz w:val="20"/>
                <w:szCs w:val="20"/>
              </w:rPr>
              <w:t>4</w:t>
            </w:r>
          </w:p>
        </w:tc>
        <w:tc>
          <w:tcPr>
            <w:tcW w:w="2630" w:type="dxa"/>
            <w:tcBorders>
              <w:top w:val="single" w:sz="6" w:space="0" w:color="AEAEAE"/>
              <w:left w:val="single" w:sz="6" w:space="0" w:color="AEAEAE"/>
              <w:bottom w:val="single" w:sz="6" w:space="0" w:color="AEAEAE"/>
              <w:right w:val="single" w:sz="6" w:space="0" w:color="AEAEAE"/>
            </w:tcBorders>
            <w:vAlign w:val="center"/>
          </w:tcPr>
          <w:p w14:paraId="6CA51B05" w14:textId="77777777" w:rsidR="002D58E4" w:rsidRDefault="00F721D4">
            <w:pPr>
              <w:rPr>
                <w:sz w:val="20"/>
                <w:szCs w:val="20"/>
              </w:rPr>
            </w:pPr>
            <w:r>
              <w:rPr>
                <w:sz w:val="20"/>
                <w:szCs w:val="20"/>
              </w:rPr>
              <w:t>Patients had positive serology and history of Lyme disease or suspected Lyme disease</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150A9132" w14:textId="77777777" w:rsidR="002D58E4" w:rsidRDefault="00F721D4">
            <w:pPr>
              <w:rPr>
                <w:sz w:val="20"/>
                <w:szCs w:val="20"/>
              </w:rPr>
            </w:pPr>
            <w:r>
              <w:rPr>
                <w:sz w:val="20"/>
                <w:szCs w:val="20"/>
              </w:rPr>
              <w:t xml:space="preserve">14 patients with Lyme disease who had been referred for an MRI examination due to complaints of headache, blurred vision, hearing loss, radiculopathy, or transverse myelitis.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170F7D1" w14:textId="77777777" w:rsidR="002D58E4" w:rsidRDefault="00F721D4">
            <w:pPr>
              <w:rPr>
                <w:sz w:val="20"/>
                <w:szCs w:val="20"/>
              </w:rPr>
            </w:pPr>
            <w:r>
              <w:rPr>
                <w:sz w:val="20"/>
                <w:szCs w:val="20"/>
              </w:rPr>
              <w:t>42.9% (6 of 14) of patients with neurologic Lyme disease had MRI abnormalities.</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5DFDFCB" w14:textId="77777777" w:rsidR="002D58E4" w:rsidRDefault="00F721D4">
            <w:pPr>
              <w:rPr>
                <w:sz w:val="20"/>
                <w:szCs w:val="20"/>
              </w:rPr>
            </w:pPr>
            <w:r>
              <w:rPr>
                <w:sz w:val="20"/>
                <w:szCs w:val="20"/>
              </w:rPr>
              <w:t xml:space="preserve">In the six patients who demonstrated an abnormal MRI, lesions in the brain were widely distributed. The authors noted that most of these patients had lesions which involved the subcortical white matter of the frontal and parietal lobes. </w:t>
            </w:r>
          </w:p>
          <w:p w14:paraId="28996AE7" w14:textId="77777777" w:rsidR="002D58E4" w:rsidRDefault="002D58E4">
            <w:pPr>
              <w:rPr>
                <w:sz w:val="20"/>
                <w:szCs w:val="20"/>
              </w:rPr>
            </w:pPr>
          </w:p>
          <w:p w14:paraId="20A6F903" w14:textId="77777777" w:rsidR="002D58E4" w:rsidRDefault="00F721D4">
            <w:pPr>
              <w:rPr>
                <w:sz w:val="20"/>
                <w:szCs w:val="20"/>
              </w:rPr>
            </w:pPr>
            <w:r>
              <w:rPr>
                <w:sz w:val="20"/>
                <w:szCs w:val="20"/>
              </w:rPr>
              <w:t xml:space="preserve">The authors concluded that Lyme Disease of the central nervous system should be considered as a differential diagnosis of white matter lesions, and that MRI may be useful in differentiating Lyme Disease from other white matter diseases. </w:t>
            </w:r>
          </w:p>
        </w:tc>
      </w:tr>
      <w:tr w:rsidR="002D58E4" w14:paraId="3208FEB8"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250BD4A" w14:textId="77777777" w:rsidR="002D58E4" w:rsidRDefault="00F721D4">
            <w:pPr>
              <w:rPr>
                <w:sz w:val="20"/>
                <w:szCs w:val="20"/>
              </w:rPr>
            </w:pPr>
            <w:r>
              <w:rPr>
                <w:sz w:val="20"/>
                <w:szCs w:val="20"/>
              </w:rPr>
              <w:t>Agosta, et al., 2006</w:t>
            </w:r>
          </w:p>
          <w:p w14:paraId="3E7A8A5D" w14:textId="77777777" w:rsidR="002D58E4" w:rsidRDefault="002D58E4">
            <w:pPr>
              <w:rPr>
                <w:sz w:val="20"/>
                <w:szCs w:val="20"/>
              </w:rPr>
            </w:pPr>
          </w:p>
          <w:p w14:paraId="7E1ADA63" w14:textId="77777777" w:rsidR="002D58E4" w:rsidRDefault="002D58E4">
            <w:pPr>
              <w:rPr>
                <w:sz w:val="20"/>
                <w:szCs w:val="20"/>
              </w:rPr>
            </w:pP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6739088A"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2098AA6" w14:textId="77777777" w:rsidR="002D58E4" w:rsidRDefault="00F721D4">
            <w:pPr>
              <w:jc w:val="center"/>
              <w:rPr>
                <w:sz w:val="20"/>
                <w:szCs w:val="20"/>
              </w:rPr>
            </w:pPr>
            <w:r>
              <w:rPr>
                <w:sz w:val="20"/>
                <w:szCs w:val="20"/>
              </w:rPr>
              <w:t>7</w:t>
            </w:r>
          </w:p>
        </w:tc>
        <w:tc>
          <w:tcPr>
            <w:tcW w:w="2630" w:type="dxa"/>
            <w:tcBorders>
              <w:top w:val="single" w:sz="6" w:space="0" w:color="AEAEAE"/>
              <w:left w:val="single" w:sz="6" w:space="0" w:color="AEAEAE"/>
              <w:bottom w:val="single" w:sz="6" w:space="0" w:color="AEAEAE"/>
              <w:right w:val="single" w:sz="6" w:space="0" w:color="AEAEAE"/>
            </w:tcBorders>
            <w:vAlign w:val="center"/>
          </w:tcPr>
          <w:p w14:paraId="1318C718" w14:textId="77777777" w:rsidR="002D58E4" w:rsidRDefault="00F721D4">
            <w:pPr>
              <w:rPr>
                <w:sz w:val="20"/>
                <w:szCs w:val="20"/>
              </w:rPr>
            </w:pPr>
            <w:r>
              <w:rPr>
                <w:sz w:val="20"/>
                <w:szCs w:val="20"/>
              </w:rPr>
              <w:t xml:space="preserve">No information given. 11/20 had confirmation of neuroborreliosis by IgG Western Blot. 2/11 patients had presented with CSF pleocytosis and increased CSF protein count. </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389A8D74" w14:textId="77777777" w:rsidR="002D58E4" w:rsidRDefault="00F721D4">
            <w:pPr>
              <w:rPr>
                <w:sz w:val="20"/>
                <w:szCs w:val="20"/>
              </w:rPr>
            </w:pPr>
            <w:r>
              <w:rPr>
                <w:sz w:val="20"/>
                <w:szCs w:val="20"/>
              </w:rPr>
              <w:t>20 patients with neuroborreliosis</w:t>
            </w:r>
            <w:r>
              <w:t>.</w:t>
            </w:r>
            <w:r>
              <w:rPr>
                <w:sz w:val="20"/>
                <w:szCs w:val="20"/>
              </w:rPr>
              <w:t>15/20 patients presented with focal neurologic syndromes (13 had sensorimotor deficits, one had optic neuritis, and one had a brain stem syndrome), whereas 5 patients presented with non-focal symptoms (3 had fatigue and sleep disorders, and 2 had meningoencephalitis).</w:t>
            </w:r>
          </w:p>
          <w:p w14:paraId="1C317BA7" w14:textId="77777777" w:rsidR="002D58E4" w:rsidRDefault="002D58E4">
            <w:pPr>
              <w:rPr>
                <w:sz w:val="20"/>
                <w:szCs w:val="20"/>
              </w:rPr>
            </w:pPr>
          </w:p>
          <w:p w14:paraId="31616759" w14:textId="77777777" w:rsidR="002D58E4" w:rsidRDefault="00F721D4">
            <w:pPr>
              <w:rPr>
                <w:sz w:val="20"/>
                <w:szCs w:val="20"/>
              </w:rPr>
            </w:pPr>
            <w:r>
              <w:rPr>
                <w:sz w:val="20"/>
                <w:szCs w:val="20"/>
              </w:rPr>
              <w:t>11 healthy controls matched for age and sex were selected.</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0C68539" w14:textId="77777777" w:rsidR="002D58E4" w:rsidRDefault="00F721D4">
            <w:pPr>
              <w:rPr>
                <w:sz w:val="20"/>
                <w:szCs w:val="20"/>
              </w:rPr>
            </w:pPr>
            <w:r>
              <w:rPr>
                <w:sz w:val="20"/>
                <w:szCs w:val="20"/>
              </w:rPr>
              <w:t xml:space="preserve">80% (12 of 15) patients with neuroborreliosis had white matter abnormalities. </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AF17E8C" w14:textId="77777777" w:rsidR="002D58E4" w:rsidRDefault="00F721D4">
            <w:pPr>
              <w:rPr>
                <w:sz w:val="20"/>
                <w:szCs w:val="20"/>
              </w:rPr>
            </w:pPr>
            <w:r>
              <w:rPr>
                <w:sz w:val="20"/>
                <w:szCs w:val="20"/>
              </w:rPr>
              <w:t xml:space="preserve">The authors focused on white matter differences between patients with neuroborreliosis and patients with MS. They found that patients with neuroborreliosis did not report cervical cord pathology or occult brain tissue damage, which are commonly associated with MS. </w:t>
            </w:r>
          </w:p>
          <w:p w14:paraId="7D90AC74" w14:textId="77777777" w:rsidR="002D58E4" w:rsidRDefault="002D58E4">
            <w:pPr>
              <w:rPr>
                <w:sz w:val="20"/>
                <w:szCs w:val="20"/>
              </w:rPr>
            </w:pPr>
          </w:p>
          <w:p w14:paraId="3234E384" w14:textId="77777777" w:rsidR="002D58E4" w:rsidRDefault="00F721D4">
            <w:pPr>
              <w:rPr>
                <w:sz w:val="20"/>
                <w:szCs w:val="20"/>
              </w:rPr>
            </w:pPr>
            <w:r>
              <w:rPr>
                <w:sz w:val="20"/>
                <w:szCs w:val="20"/>
              </w:rPr>
              <w:t>The authors concluded that MRI evaluation could be a valuable diagnostic tool in patients with</w:t>
            </w:r>
            <w:r>
              <w:t xml:space="preserve"> </w:t>
            </w:r>
            <w:r>
              <w:rPr>
                <w:sz w:val="20"/>
                <w:szCs w:val="20"/>
              </w:rPr>
              <w:t>focal neurologic syndromes, absence of systemic manifestations, and multiple white matter lesions</w:t>
            </w:r>
          </w:p>
        </w:tc>
      </w:tr>
      <w:tr w:rsidR="002D58E4" w14:paraId="7C2A85CB"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20A26D" w14:textId="77777777" w:rsidR="002D58E4" w:rsidRDefault="00F721D4">
            <w:pPr>
              <w:rPr>
                <w:sz w:val="20"/>
                <w:szCs w:val="20"/>
              </w:rPr>
            </w:pPr>
            <w:r>
              <w:rPr>
                <w:sz w:val="20"/>
                <w:szCs w:val="20"/>
              </w:rPr>
              <w:t>Aalto, et al., 2007</w:t>
            </w:r>
          </w:p>
          <w:p w14:paraId="6503F14F" w14:textId="77777777" w:rsidR="002D58E4" w:rsidRDefault="002D58E4">
            <w:pPr>
              <w:rPr>
                <w:sz w:val="20"/>
                <w:szCs w:val="20"/>
              </w:rPr>
            </w:pPr>
          </w:p>
          <w:p w14:paraId="634D4900" w14:textId="77777777" w:rsidR="002D58E4" w:rsidRDefault="00F721D4">
            <w:pPr>
              <w:rPr>
                <w:sz w:val="20"/>
                <w:szCs w:val="20"/>
              </w:rPr>
            </w:pPr>
            <w:r>
              <w:rPr>
                <w:sz w:val="20"/>
                <w:szCs w:val="20"/>
              </w:rPr>
              <w:t>Linköping, Sweden</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26F67505"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7F4097F" w14:textId="77777777" w:rsidR="002D58E4" w:rsidRDefault="00F721D4">
            <w:pPr>
              <w:jc w:val="center"/>
              <w:rPr>
                <w:sz w:val="20"/>
                <w:szCs w:val="20"/>
              </w:rPr>
            </w:pPr>
            <w:r>
              <w:rPr>
                <w:sz w:val="20"/>
                <w:szCs w:val="20"/>
              </w:rPr>
              <w:t>7</w:t>
            </w:r>
          </w:p>
        </w:tc>
        <w:tc>
          <w:tcPr>
            <w:tcW w:w="2630" w:type="dxa"/>
            <w:tcBorders>
              <w:top w:val="single" w:sz="6" w:space="0" w:color="AEAEAE"/>
              <w:left w:val="single" w:sz="6" w:space="0" w:color="AEAEAE"/>
              <w:bottom w:val="single" w:sz="6" w:space="0" w:color="AEAEAE"/>
              <w:right w:val="single" w:sz="6" w:space="0" w:color="AEAEAE"/>
            </w:tcBorders>
            <w:vAlign w:val="center"/>
          </w:tcPr>
          <w:p w14:paraId="481D2E52" w14:textId="77777777" w:rsidR="002D58E4" w:rsidRDefault="00F721D4">
            <w:pPr>
              <w:rPr>
                <w:sz w:val="20"/>
                <w:szCs w:val="20"/>
              </w:rPr>
            </w:pPr>
            <w:r>
              <w:rPr>
                <w:sz w:val="20"/>
                <w:szCs w:val="20"/>
              </w:rPr>
              <w:t xml:space="preserve">Patients had a combination of CSF IgM or IgG antibody production for </w:t>
            </w:r>
            <w:r>
              <w:rPr>
                <w:i/>
                <w:sz w:val="20"/>
                <w:szCs w:val="20"/>
              </w:rPr>
              <w:t>Borrelia</w:t>
            </w:r>
            <w:r>
              <w:rPr>
                <w:sz w:val="20"/>
                <w:szCs w:val="20"/>
              </w:rPr>
              <w:t>, CSF lymphocytic pleocytosis, and relevant longstanding symptoms (persisting for 3-6 months or longer).</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2286C9D2" w14:textId="77777777" w:rsidR="002D58E4" w:rsidRDefault="00F721D4">
            <w:pPr>
              <w:rPr>
                <w:sz w:val="20"/>
                <w:szCs w:val="20"/>
              </w:rPr>
            </w:pPr>
            <w:r>
              <w:rPr>
                <w:sz w:val="20"/>
                <w:szCs w:val="20"/>
              </w:rPr>
              <w:t xml:space="preserve">16 patients with chronic neuroborreliosis and 16 matched healthy controls received an MRI examination focused on white matter lesions and lesions in the basal ganglia.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7F94273" w14:textId="77777777" w:rsidR="002D58E4" w:rsidRDefault="00F721D4">
            <w:pPr>
              <w:rPr>
                <w:sz w:val="20"/>
                <w:szCs w:val="20"/>
              </w:rPr>
            </w:pPr>
            <w:r>
              <w:rPr>
                <w:sz w:val="20"/>
                <w:szCs w:val="20"/>
              </w:rPr>
              <w:t>75% (12 of 16) of patients with chronic neuroborreliosis had white matter lesions.</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077025B" w14:textId="77777777" w:rsidR="002D58E4" w:rsidRDefault="00F721D4">
            <w:pPr>
              <w:rPr>
                <w:sz w:val="20"/>
                <w:szCs w:val="20"/>
              </w:rPr>
            </w:pPr>
            <w:r>
              <w:rPr>
                <w:sz w:val="20"/>
                <w:szCs w:val="20"/>
              </w:rPr>
              <w:t xml:space="preserve">Patients with chronic neuroborreliosis had slightly more frequent and more advanced subependymal white matter lesions than matched controls, but the difference was not statistically significant (p= 0.12). White matter lesions were generally detected in control subjects age 43 and older, but they were detected at younger ages in the patient group. </w:t>
            </w:r>
          </w:p>
          <w:p w14:paraId="10A228F7" w14:textId="77777777" w:rsidR="002D58E4" w:rsidRDefault="002D58E4">
            <w:pPr>
              <w:rPr>
                <w:sz w:val="20"/>
                <w:szCs w:val="20"/>
              </w:rPr>
            </w:pPr>
          </w:p>
          <w:p w14:paraId="380A3F48" w14:textId="77777777" w:rsidR="002D58E4" w:rsidRDefault="00F721D4">
            <w:pPr>
              <w:rPr>
                <w:sz w:val="20"/>
                <w:szCs w:val="20"/>
              </w:rPr>
            </w:pPr>
            <w:r>
              <w:rPr>
                <w:sz w:val="20"/>
                <w:szCs w:val="20"/>
              </w:rPr>
              <w:t xml:space="preserve">The authors concluded that there were no significant differences in prevalence or severity of white matter lesions between patients and controls. The correlation of age with white matter lesions led the authors to suggest that MRI may not be useful in differentiating chronic neuroborreliosis in older patients. </w:t>
            </w:r>
          </w:p>
        </w:tc>
      </w:tr>
      <w:tr w:rsidR="002D58E4" w14:paraId="5837F932"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65BB862" w14:textId="77777777" w:rsidR="002D58E4" w:rsidRDefault="00F721D4">
            <w:pPr>
              <w:rPr>
                <w:sz w:val="20"/>
                <w:szCs w:val="20"/>
              </w:rPr>
            </w:pPr>
            <w:r>
              <w:rPr>
                <w:sz w:val="20"/>
                <w:szCs w:val="20"/>
              </w:rPr>
              <w:t>Monteventi, et al., 2018</w:t>
            </w:r>
          </w:p>
          <w:p w14:paraId="07BD2FFE" w14:textId="77777777" w:rsidR="002D58E4" w:rsidRDefault="002D58E4">
            <w:pPr>
              <w:rPr>
                <w:sz w:val="20"/>
                <w:szCs w:val="20"/>
              </w:rPr>
            </w:pPr>
          </w:p>
          <w:p w14:paraId="7FE6D313" w14:textId="77777777" w:rsidR="002D58E4" w:rsidRDefault="002D58E4">
            <w:pPr>
              <w:rPr>
                <w:sz w:val="20"/>
                <w:szCs w:val="20"/>
              </w:rPr>
            </w:pPr>
          </w:p>
          <w:p w14:paraId="553C7BC2" w14:textId="77777777" w:rsidR="002D58E4" w:rsidRDefault="00F721D4">
            <w:pPr>
              <w:rPr>
                <w:sz w:val="20"/>
                <w:szCs w:val="20"/>
              </w:rPr>
            </w:pPr>
            <w:r>
              <w:rPr>
                <w:sz w:val="20"/>
                <w:szCs w:val="20"/>
              </w:rPr>
              <w:t>Switzerland</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C64A50F" w14:textId="77777777" w:rsidR="002D58E4" w:rsidRDefault="00F721D4">
            <w:pPr>
              <w:rPr>
                <w:sz w:val="20"/>
                <w:szCs w:val="20"/>
              </w:rPr>
            </w:pPr>
            <w:r>
              <w:rPr>
                <w:sz w:val="20"/>
                <w:szCs w:val="20"/>
              </w:rPr>
              <w:t>Retrospective case series</w:t>
            </w:r>
          </w:p>
        </w:tc>
        <w:tc>
          <w:tcPr>
            <w:tcW w:w="630" w:type="dxa"/>
            <w:tcBorders>
              <w:top w:val="single" w:sz="6" w:space="0" w:color="AEAEAE"/>
              <w:left w:val="single" w:sz="6" w:space="0" w:color="AEAEAE"/>
              <w:bottom w:val="single" w:sz="6" w:space="0" w:color="AEAEAE"/>
              <w:right w:val="single" w:sz="6" w:space="0" w:color="AEAEAE"/>
            </w:tcBorders>
            <w:vAlign w:val="center"/>
          </w:tcPr>
          <w:p w14:paraId="0C1CF34A" w14:textId="77777777" w:rsidR="002D58E4" w:rsidRDefault="00F721D4">
            <w:pPr>
              <w:jc w:val="center"/>
              <w:rPr>
                <w:sz w:val="20"/>
                <w:szCs w:val="20"/>
              </w:rPr>
            </w:pPr>
            <w:r>
              <w:rPr>
                <w:sz w:val="20"/>
                <w:szCs w:val="20"/>
              </w:rPr>
              <w:t>NA</w:t>
            </w:r>
          </w:p>
        </w:tc>
        <w:tc>
          <w:tcPr>
            <w:tcW w:w="2630" w:type="dxa"/>
            <w:tcBorders>
              <w:top w:val="single" w:sz="6" w:space="0" w:color="AEAEAE"/>
              <w:left w:val="single" w:sz="6" w:space="0" w:color="AEAEAE"/>
              <w:bottom w:val="single" w:sz="6" w:space="0" w:color="AEAEAE"/>
              <w:right w:val="single" w:sz="6" w:space="0" w:color="AEAEAE"/>
            </w:tcBorders>
            <w:vAlign w:val="center"/>
          </w:tcPr>
          <w:p w14:paraId="4DAE1242" w14:textId="77777777" w:rsidR="002D58E4" w:rsidRDefault="00F721D4">
            <w:pPr>
              <w:rPr>
                <w:sz w:val="20"/>
                <w:szCs w:val="20"/>
              </w:rPr>
            </w:pPr>
            <w:r>
              <w:rPr>
                <w:sz w:val="20"/>
                <w:szCs w:val="20"/>
              </w:rPr>
              <w:t xml:space="preserve">Demonstration of </w:t>
            </w:r>
            <w:r>
              <w:rPr>
                <w:i/>
                <w:sz w:val="20"/>
                <w:szCs w:val="20"/>
              </w:rPr>
              <w:t xml:space="preserve">B. burgdorferi </w:t>
            </w:r>
            <w:r>
              <w:rPr>
                <w:sz w:val="20"/>
                <w:szCs w:val="20"/>
              </w:rPr>
              <w:t>specific antibodies</w:t>
            </w:r>
          </w:p>
          <w:p w14:paraId="29FF468B" w14:textId="77777777" w:rsidR="002D58E4" w:rsidRDefault="00F721D4">
            <w:pPr>
              <w:rPr>
                <w:sz w:val="20"/>
                <w:szCs w:val="20"/>
              </w:rPr>
            </w:pPr>
            <w:r>
              <w:rPr>
                <w:sz w:val="20"/>
                <w:szCs w:val="20"/>
              </w:rPr>
              <w:t>in both the serum and in the CSF</w:t>
            </w:r>
          </w:p>
        </w:tc>
        <w:tc>
          <w:tcPr>
            <w:tcW w:w="2977" w:type="dxa"/>
            <w:gridSpan w:val="2"/>
            <w:tcBorders>
              <w:top w:val="single" w:sz="6" w:space="0" w:color="AEAEAE"/>
              <w:left w:val="single" w:sz="6" w:space="0" w:color="AEAEAE"/>
              <w:bottom w:val="single" w:sz="6" w:space="0" w:color="AEAEAE"/>
              <w:right w:val="single" w:sz="6" w:space="0" w:color="AEAEAE"/>
            </w:tcBorders>
            <w:vAlign w:val="center"/>
          </w:tcPr>
          <w:p w14:paraId="414210CC" w14:textId="77777777" w:rsidR="002D58E4" w:rsidRDefault="00F721D4">
            <w:pPr>
              <w:rPr>
                <w:sz w:val="20"/>
                <w:szCs w:val="20"/>
              </w:rPr>
            </w:pPr>
            <w:r>
              <w:rPr>
                <w:sz w:val="20"/>
                <w:szCs w:val="20"/>
              </w:rPr>
              <w:t>The clinical records of 4 children who had serologically confirmed neuroborreliosis and had suffered arterial ischemic childhood stroke that was attributed “with confidence” to LNB were reviewed.</w:t>
            </w:r>
          </w:p>
          <w:p w14:paraId="1E8B34D5" w14:textId="77777777" w:rsidR="002D58E4" w:rsidRDefault="002D58E4">
            <w:pPr>
              <w:rPr>
                <w:sz w:val="20"/>
                <w:szCs w:val="20"/>
              </w:rPr>
            </w:pPr>
          </w:p>
          <w:p w14:paraId="5D76973C" w14:textId="77777777" w:rsidR="002D58E4" w:rsidRDefault="00F721D4">
            <w:pPr>
              <w:rPr>
                <w:sz w:val="20"/>
                <w:szCs w:val="20"/>
              </w:rPr>
            </w:pPr>
            <w:r>
              <w:rPr>
                <w:sz w:val="20"/>
                <w:szCs w:val="20"/>
              </w:rPr>
              <w:t xml:space="preserve">All patients underwent MRI, and two patients had supplemental vessel imaging with MRA. </w:t>
            </w:r>
          </w:p>
        </w:tc>
        <w:tc>
          <w:tcPr>
            <w:tcW w:w="3071" w:type="dxa"/>
            <w:gridSpan w:val="2"/>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994BA0E" w14:textId="77777777" w:rsidR="002D58E4" w:rsidRDefault="00F721D4">
            <w:pPr>
              <w:rPr>
                <w:sz w:val="20"/>
                <w:szCs w:val="20"/>
              </w:rPr>
            </w:pPr>
            <w:r>
              <w:rPr>
                <w:sz w:val="20"/>
                <w:szCs w:val="20"/>
              </w:rPr>
              <w:t xml:space="preserve">1 of 4 patients (25%) who had LNB-related stroke presented with scattered white matter lesions, in addition to multifocal vasculitis with prominent basilar artery involvement. </w:t>
            </w:r>
          </w:p>
          <w:p w14:paraId="49B27C15" w14:textId="77777777" w:rsidR="002D58E4" w:rsidRDefault="002D58E4">
            <w:pPr>
              <w:rPr>
                <w:sz w:val="20"/>
                <w:szCs w:val="20"/>
              </w:rPr>
            </w:pPr>
          </w:p>
          <w:p w14:paraId="5F4F1907" w14:textId="77777777" w:rsidR="002D58E4" w:rsidRDefault="00F721D4">
            <w:pPr>
              <w:rPr>
                <w:sz w:val="20"/>
                <w:szCs w:val="20"/>
              </w:rPr>
            </w:pPr>
            <w:r>
              <w:rPr>
                <w:sz w:val="20"/>
                <w:szCs w:val="20"/>
              </w:rPr>
              <w:t>All cases, except for the child with white matter lesions, displayed CSF pleocytosis; however, the authors attribute the absence of pleocytosis potentially to the delay in diagnosis for this case.</w:t>
            </w:r>
          </w:p>
        </w:tc>
        <w:tc>
          <w:tcPr>
            <w:tcW w:w="330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88014DB" w14:textId="77777777" w:rsidR="002D58E4" w:rsidRDefault="00F721D4">
            <w:pPr>
              <w:rPr>
                <w:sz w:val="20"/>
                <w:szCs w:val="20"/>
              </w:rPr>
            </w:pPr>
            <w:r>
              <w:rPr>
                <w:sz w:val="20"/>
                <w:szCs w:val="20"/>
              </w:rPr>
              <w:t xml:space="preserve">The child received IV ceftriaxone (2g QD for 2 weeks) with 100 mg aspirin QD. The child experienced mild sequelae after discharge, despite treatment. Imaging at 10 months revealed stable vascular lesions and no new parenchymal lesions. </w:t>
            </w:r>
          </w:p>
          <w:p w14:paraId="64AD044D" w14:textId="77777777" w:rsidR="002D58E4" w:rsidRDefault="002D58E4">
            <w:pPr>
              <w:rPr>
                <w:sz w:val="20"/>
                <w:szCs w:val="20"/>
              </w:rPr>
            </w:pPr>
          </w:p>
          <w:p w14:paraId="5C8AE9CB" w14:textId="77777777" w:rsidR="002D58E4" w:rsidRDefault="00F721D4">
            <w:pPr>
              <w:rPr>
                <w:sz w:val="20"/>
                <w:szCs w:val="20"/>
              </w:rPr>
            </w:pPr>
            <w:r>
              <w:rPr>
                <w:sz w:val="20"/>
                <w:szCs w:val="20"/>
              </w:rPr>
              <w:t>Though LNB is a rare cause of stroke (and white matter lesions), the authors recommend serological testing of serum and CSF in patients with unexplained cerebral vasculitis, particularly involving posterior circulation.</w:t>
            </w:r>
          </w:p>
        </w:tc>
      </w:tr>
      <w:tr w:rsidR="002D58E4" w14:paraId="55792353" w14:textId="77777777" w:rsidTr="003D1C11">
        <w:trPr>
          <w:trHeight w:val="32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765FD4F1" w14:textId="77777777" w:rsidR="002D58E4" w:rsidRDefault="00F721D4">
            <w:pPr>
              <w:jc w:val="center"/>
              <w:rPr>
                <w:b/>
                <w:sz w:val="20"/>
                <w:szCs w:val="20"/>
              </w:rPr>
            </w:pPr>
            <w:r>
              <w:rPr>
                <w:b/>
              </w:rPr>
              <w:t>Seizures</w:t>
            </w:r>
          </w:p>
        </w:tc>
      </w:tr>
      <w:tr w:rsidR="002D58E4" w14:paraId="3013B0A0"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34D1812" w14:textId="77777777" w:rsidR="002D58E4" w:rsidRDefault="00F721D4">
            <w:pP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5FA13A1C" w14:textId="77777777" w:rsidR="002D58E4" w:rsidRDefault="00F721D4">
            <w:pP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473F40A1" w14:textId="77777777" w:rsidR="002D58E4" w:rsidRDefault="00F721D4">
            <w:pPr>
              <w:rPr>
                <w:b/>
                <w:color w:val="000000"/>
                <w:sz w:val="20"/>
                <w:szCs w:val="20"/>
              </w:rPr>
            </w:pPr>
            <w:r>
              <w:rPr>
                <w:b/>
                <w:color w:val="000000"/>
                <w:sz w:val="20"/>
                <w:szCs w:val="20"/>
              </w:rPr>
              <w:t>Risk of bias*</w:t>
            </w:r>
          </w:p>
        </w:tc>
        <w:tc>
          <w:tcPr>
            <w:tcW w:w="3615" w:type="dxa"/>
            <w:gridSpan w:val="2"/>
            <w:tcBorders>
              <w:top w:val="single" w:sz="6" w:space="0" w:color="AEAEAE"/>
              <w:left w:val="single" w:sz="6" w:space="0" w:color="AEAEAE"/>
              <w:bottom w:val="single" w:sz="6" w:space="0" w:color="AEAEAE"/>
              <w:right w:val="single" w:sz="6" w:space="0" w:color="AEAEAE"/>
            </w:tcBorders>
            <w:shd w:val="clear" w:color="auto" w:fill="D9D9D9"/>
          </w:tcPr>
          <w:p w14:paraId="609F2F03" w14:textId="77777777" w:rsidR="002D58E4" w:rsidRDefault="00F721D4">
            <w:pPr>
              <w:rPr>
                <w:b/>
                <w:color w:val="000000"/>
                <w:sz w:val="20"/>
                <w:szCs w:val="20"/>
              </w:rPr>
            </w:pPr>
            <w:r>
              <w:rPr>
                <w:b/>
                <w:color w:val="000000"/>
                <w:sz w:val="20"/>
                <w:szCs w:val="20"/>
              </w:rPr>
              <w:t>Lyme Disease Diagnosis method</w:t>
            </w:r>
          </w:p>
        </w:tc>
        <w:tc>
          <w:tcPr>
            <w:tcW w:w="3551" w:type="dxa"/>
            <w:gridSpan w:val="2"/>
            <w:tcBorders>
              <w:top w:val="single" w:sz="6" w:space="0" w:color="AEAEAE"/>
              <w:left w:val="single" w:sz="6" w:space="0" w:color="AEAEAE"/>
              <w:bottom w:val="single" w:sz="6" w:space="0" w:color="AEAEAE"/>
              <w:right w:val="single" w:sz="6" w:space="0" w:color="AEAEAE"/>
            </w:tcBorders>
            <w:shd w:val="clear" w:color="auto" w:fill="D9D9D9"/>
          </w:tcPr>
          <w:p w14:paraId="55DB6DB7" w14:textId="77777777" w:rsidR="002D58E4" w:rsidRDefault="00F721D4">
            <w:pPr>
              <w:rPr>
                <w:sz w:val="20"/>
                <w:szCs w:val="20"/>
              </w:rPr>
            </w:pPr>
            <w:r>
              <w:rPr>
                <w:b/>
                <w:color w:val="000000"/>
                <w:sz w:val="20"/>
                <w:szCs w:val="20"/>
              </w:rPr>
              <w:t>Patient characteristics and Observed Neurologic Presentation</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5E0CE756" w14:textId="77777777" w:rsidR="002D58E4" w:rsidRDefault="00F721D4">
            <w:pPr>
              <w:rPr>
                <w:b/>
                <w:color w:val="000000"/>
                <w:sz w:val="20"/>
                <w:szCs w:val="20"/>
              </w:rPr>
            </w:pPr>
            <w:r>
              <w:rPr>
                <w:b/>
                <w:color w:val="000000"/>
                <w:sz w:val="20"/>
                <w:szCs w:val="20"/>
              </w:rPr>
              <w:t>Clinical course and author statements</w:t>
            </w:r>
          </w:p>
        </w:tc>
      </w:tr>
      <w:tr w:rsidR="002D58E4" w14:paraId="5097ACAC"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E6BB08E" w14:textId="77777777" w:rsidR="002D58E4" w:rsidRDefault="00F721D4">
            <w:pPr>
              <w:rPr>
                <w:sz w:val="20"/>
                <w:szCs w:val="20"/>
              </w:rPr>
            </w:pPr>
            <w:r>
              <w:rPr>
                <w:sz w:val="20"/>
                <w:szCs w:val="20"/>
              </w:rPr>
              <w:t>Baumann, 2010</w:t>
            </w:r>
          </w:p>
          <w:p w14:paraId="04612DE7" w14:textId="77777777" w:rsidR="002D58E4" w:rsidRDefault="002D58E4">
            <w:pPr>
              <w:rPr>
                <w:sz w:val="20"/>
                <w:szCs w:val="20"/>
              </w:rPr>
            </w:pPr>
          </w:p>
          <w:p w14:paraId="1F2AA334" w14:textId="77777777" w:rsidR="002D58E4" w:rsidRDefault="002D58E4">
            <w:pPr>
              <w:rPr>
                <w:sz w:val="20"/>
                <w:szCs w:val="20"/>
              </w:rPr>
            </w:pPr>
          </w:p>
          <w:p w14:paraId="41C3C2C7" w14:textId="77777777" w:rsidR="002D58E4" w:rsidRDefault="00F721D4">
            <w:pPr>
              <w:rPr>
                <w:sz w:val="20"/>
                <w:szCs w:val="20"/>
              </w:rPr>
            </w:pPr>
            <w:r>
              <w:rPr>
                <w:sz w:val="20"/>
                <w:szCs w:val="20"/>
              </w:rPr>
              <w:t>Austria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E1431AD" w14:textId="77777777" w:rsidR="002D58E4" w:rsidRDefault="00F721D4">
            <w:pPr>
              <w:rPr>
                <w:sz w:val="20"/>
                <w:szCs w:val="20"/>
              </w:rPr>
            </w:pPr>
            <w:r>
              <w:rPr>
                <w:sz w:val="20"/>
                <w:szCs w:val="20"/>
              </w:rPr>
              <w:t>Case report</w:t>
            </w:r>
          </w:p>
        </w:tc>
        <w:tc>
          <w:tcPr>
            <w:tcW w:w="630" w:type="dxa"/>
            <w:tcBorders>
              <w:top w:val="single" w:sz="6" w:space="0" w:color="AEAEAE"/>
              <w:left w:val="single" w:sz="6" w:space="0" w:color="AEAEAE"/>
              <w:bottom w:val="single" w:sz="6" w:space="0" w:color="AEAEAE"/>
              <w:right w:val="single" w:sz="6" w:space="0" w:color="AEAEAE"/>
            </w:tcBorders>
            <w:vAlign w:val="center"/>
          </w:tcPr>
          <w:p w14:paraId="37C2641C" w14:textId="77777777" w:rsidR="002D58E4" w:rsidRDefault="00F721D4">
            <w:pPr>
              <w:jc w:val="center"/>
              <w:rPr>
                <w:sz w:val="20"/>
                <w:szCs w:val="20"/>
              </w:rPr>
            </w:pPr>
            <w:r>
              <w:rPr>
                <w:sz w:val="20"/>
                <w:szCs w:val="20"/>
              </w:rPr>
              <w:t>NA</w:t>
            </w:r>
          </w:p>
        </w:tc>
        <w:tc>
          <w:tcPr>
            <w:tcW w:w="3615" w:type="dxa"/>
            <w:gridSpan w:val="2"/>
            <w:tcBorders>
              <w:top w:val="single" w:sz="6" w:space="0" w:color="AEAEAE"/>
              <w:left w:val="single" w:sz="6" w:space="0" w:color="AEAEAE"/>
              <w:bottom w:val="single" w:sz="6" w:space="0" w:color="AEAEAE"/>
              <w:right w:val="single" w:sz="6" w:space="0" w:color="AEAEAE"/>
            </w:tcBorders>
            <w:vAlign w:val="center"/>
          </w:tcPr>
          <w:p w14:paraId="37874ABB" w14:textId="77777777" w:rsidR="002D58E4" w:rsidRDefault="00F721D4">
            <w:pPr>
              <w:rPr>
                <w:sz w:val="20"/>
                <w:szCs w:val="20"/>
              </w:rPr>
            </w:pPr>
            <w:r>
              <w:rPr>
                <w:sz w:val="20"/>
                <w:szCs w:val="20"/>
              </w:rPr>
              <w:t xml:space="preserve">The patient was tested for IgM and IgG antibodies for </w:t>
            </w:r>
            <w:r>
              <w:rPr>
                <w:i/>
                <w:sz w:val="20"/>
                <w:szCs w:val="20"/>
              </w:rPr>
              <w:t>B. burgdorferi</w:t>
            </w:r>
            <w:r>
              <w:rPr>
                <w:sz w:val="20"/>
                <w:szCs w:val="20"/>
              </w:rPr>
              <w:t xml:space="preserve"> by ELISA of serum and CSF, and positive results were confirmed by Western blot. CSF was analyzed for pleocytosis. The patient’s status was monitored by MRI.</w:t>
            </w:r>
          </w:p>
          <w:p w14:paraId="5C4AC97D" w14:textId="77777777" w:rsidR="002D58E4" w:rsidRDefault="002D58E4">
            <w:pPr>
              <w:rPr>
                <w:sz w:val="20"/>
                <w:szCs w:val="20"/>
              </w:rPr>
            </w:pPr>
          </w:p>
          <w:p w14:paraId="3C20AD48" w14:textId="77777777" w:rsidR="002D58E4" w:rsidRDefault="00F721D4">
            <w:pPr>
              <w:rPr>
                <w:sz w:val="20"/>
                <w:szCs w:val="20"/>
              </w:rPr>
            </w:pPr>
            <w:r>
              <w:rPr>
                <w:sz w:val="20"/>
                <w:szCs w:val="20"/>
              </w:rPr>
              <w:t xml:space="preserve">IgM and IgG were positive in serum, Western Blot was borderline for IgG alone. </w:t>
            </w:r>
          </w:p>
          <w:p w14:paraId="4CA47A13" w14:textId="77777777" w:rsidR="002D58E4" w:rsidRDefault="00F721D4">
            <w:pPr>
              <w:rPr>
                <w:sz w:val="20"/>
                <w:szCs w:val="20"/>
              </w:rPr>
            </w:pPr>
            <w:r>
              <w:rPr>
                <w:sz w:val="20"/>
                <w:szCs w:val="20"/>
              </w:rPr>
              <w:t xml:space="preserve">IgM and IgG were positive in CSF, but only positive 3 weeks after the initial test.  </w:t>
            </w:r>
          </w:p>
        </w:tc>
        <w:tc>
          <w:tcPr>
            <w:tcW w:w="3551" w:type="dxa"/>
            <w:gridSpan w:val="2"/>
            <w:tcBorders>
              <w:top w:val="single" w:sz="6" w:space="0" w:color="AEAEAE"/>
              <w:left w:val="single" w:sz="6" w:space="0" w:color="AEAEAE"/>
              <w:bottom w:val="single" w:sz="6" w:space="0" w:color="AEAEAE"/>
              <w:right w:val="single" w:sz="6" w:space="0" w:color="AEAEAE"/>
            </w:tcBorders>
            <w:vAlign w:val="center"/>
          </w:tcPr>
          <w:p w14:paraId="5CEBF95A" w14:textId="77777777" w:rsidR="002D58E4" w:rsidRDefault="00F721D4">
            <w:pPr>
              <w:rPr>
                <w:sz w:val="20"/>
                <w:szCs w:val="20"/>
              </w:rPr>
            </w:pPr>
            <w:r>
              <w:rPr>
                <w:sz w:val="20"/>
                <w:szCs w:val="20"/>
              </w:rPr>
              <w:t>6-year-old boy had experienced two epileptic seizures. He did not have a fever, meningitis, or neurological abnormalities upon physical examination. A cranial MRI revealed an increased signal in the sulci of the right parietal region.</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3C9D25A" w14:textId="77777777" w:rsidR="002D58E4" w:rsidRDefault="00F721D4">
            <w:pPr>
              <w:rPr>
                <w:sz w:val="20"/>
                <w:szCs w:val="20"/>
              </w:rPr>
            </w:pPr>
            <w:r>
              <w:rPr>
                <w:sz w:val="20"/>
                <w:szCs w:val="20"/>
              </w:rPr>
              <w:t>The patient received IV ceftriaxone for 14 days. After treatment, the patient did not experience further seizures. Cranial MRI was conducted at a 4-month follow-up and was normal.</w:t>
            </w:r>
          </w:p>
        </w:tc>
      </w:tr>
      <w:tr w:rsidR="002D58E4" w14:paraId="1476D900"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5C8247D" w14:textId="77777777" w:rsidR="002D58E4" w:rsidRDefault="00F721D4">
            <w:pPr>
              <w:rPr>
                <w:sz w:val="20"/>
                <w:szCs w:val="20"/>
              </w:rPr>
            </w:pPr>
            <w:r>
              <w:rPr>
                <w:sz w:val="20"/>
                <w:szCs w:val="20"/>
              </w:rPr>
              <w:t>Markeljević, 2011</w:t>
            </w:r>
          </w:p>
          <w:p w14:paraId="4A2CBFBA" w14:textId="77777777" w:rsidR="002D58E4" w:rsidRDefault="002D58E4">
            <w:pPr>
              <w:rPr>
                <w:sz w:val="20"/>
                <w:szCs w:val="20"/>
              </w:rPr>
            </w:pPr>
          </w:p>
          <w:p w14:paraId="31C42720" w14:textId="77777777" w:rsidR="002D58E4" w:rsidRDefault="002D58E4">
            <w:pPr>
              <w:rPr>
                <w:sz w:val="20"/>
                <w:szCs w:val="20"/>
              </w:rPr>
            </w:pPr>
          </w:p>
          <w:p w14:paraId="4D1DC753" w14:textId="77777777" w:rsidR="002D58E4" w:rsidRDefault="00F721D4">
            <w:pPr>
              <w:rPr>
                <w:sz w:val="20"/>
                <w:szCs w:val="20"/>
              </w:rPr>
            </w:pPr>
            <w:r>
              <w:rPr>
                <w:sz w:val="20"/>
                <w:szCs w:val="20"/>
              </w:rPr>
              <w:t>Zagreb, Croatia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0A7486AF" w14:textId="77777777" w:rsidR="002D58E4" w:rsidRDefault="00F721D4">
            <w:pPr>
              <w:rPr>
                <w:sz w:val="20"/>
                <w:szCs w:val="20"/>
              </w:rPr>
            </w:pPr>
            <w:r>
              <w:rPr>
                <w:sz w:val="20"/>
                <w:szCs w:val="20"/>
              </w:rPr>
              <w:t>Case report</w:t>
            </w:r>
          </w:p>
        </w:tc>
        <w:tc>
          <w:tcPr>
            <w:tcW w:w="630" w:type="dxa"/>
            <w:tcBorders>
              <w:top w:val="single" w:sz="6" w:space="0" w:color="AEAEAE"/>
              <w:left w:val="single" w:sz="6" w:space="0" w:color="AEAEAE"/>
              <w:bottom w:val="single" w:sz="6" w:space="0" w:color="AEAEAE"/>
              <w:right w:val="single" w:sz="6" w:space="0" w:color="AEAEAE"/>
            </w:tcBorders>
            <w:vAlign w:val="center"/>
          </w:tcPr>
          <w:p w14:paraId="335F9EA6" w14:textId="77777777" w:rsidR="002D58E4" w:rsidRDefault="00F721D4">
            <w:pPr>
              <w:jc w:val="center"/>
              <w:rPr>
                <w:sz w:val="20"/>
                <w:szCs w:val="20"/>
              </w:rPr>
            </w:pPr>
            <w:r>
              <w:rPr>
                <w:sz w:val="20"/>
                <w:szCs w:val="20"/>
              </w:rPr>
              <w:t>NA</w:t>
            </w:r>
          </w:p>
        </w:tc>
        <w:tc>
          <w:tcPr>
            <w:tcW w:w="3615" w:type="dxa"/>
            <w:gridSpan w:val="2"/>
            <w:tcBorders>
              <w:top w:val="single" w:sz="6" w:space="0" w:color="AEAEAE"/>
              <w:left w:val="single" w:sz="6" w:space="0" w:color="AEAEAE"/>
              <w:bottom w:val="single" w:sz="6" w:space="0" w:color="AEAEAE"/>
              <w:right w:val="single" w:sz="6" w:space="0" w:color="AEAEAE"/>
            </w:tcBorders>
            <w:vAlign w:val="center"/>
          </w:tcPr>
          <w:p w14:paraId="76560D2F" w14:textId="77777777" w:rsidR="002D58E4" w:rsidRDefault="00F721D4">
            <w:pPr>
              <w:rPr>
                <w:sz w:val="20"/>
                <w:szCs w:val="20"/>
              </w:rPr>
            </w:pPr>
            <w:r>
              <w:rPr>
                <w:sz w:val="20"/>
                <w:szCs w:val="20"/>
              </w:rPr>
              <w:t xml:space="preserve">The patient was tested for IgM and IgG antibodies for </w:t>
            </w:r>
            <w:r>
              <w:rPr>
                <w:i/>
                <w:sz w:val="20"/>
                <w:szCs w:val="20"/>
              </w:rPr>
              <w:t>B. burgdorferi</w:t>
            </w:r>
            <w:r>
              <w:rPr>
                <w:sz w:val="20"/>
                <w:szCs w:val="20"/>
              </w:rPr>
              <w:t xml:space="preserve"> by ELISA of serum. CSF was analyzed for pleocytosis. The patient did not recall a tick bite or skin lesion.</w:t>
            </w:r>
          </w:p>
          <w:p w14:paraId="5E44BDD5" w14:textId="77777777" w:rsidR="002D58E4" w:rsidRDefault="002D58E4">
            <w:pPr>
              <w:rPr>
                <w:sz w:val="20"/>
                <w:szCs w:val="20"/>
              </w:rPr>
            </w:pPr>
          </w:p>
          <w:p w14:paraId="0E3374AA" w14:textId="77777777" w:rsidR="002D58E4" w:rsidRDefault="00F721D4">
            <w:pPr>
              <w:rPr>
                <w:sz w:val="20"/>
                <w:szCs w:val="20"/>
              </w:rPr>
            </w:pPr>
            <w:r>
              <w:rPr>
                <w:sz w:val="20"/>
                <w:szCs w:val="20"/>
              </w:rPr>
              <w:t xml:space="preserve">IgG was positive in serum, IgM was negative. </w:t>
            </w:r>
          </w:p>
          <w:p w14:paraId="670F60E4" w14:textId="77777777" w:rsidR="002D58E4" w:rsidRDefault="00F721D4">
            <w:pPr>
              <w:rPr>
                <w:sz w:val="20"/>
                <w:szCs w:val="20"/>
              </w:rPr>
            </w:pPr>
            <w:r>
              <w:rPr>
                <w:sz w:val="20"/>
                <w:szCs w:val="20"/>
              </w:rPr>
              <w:t xml:space="preserve">The patient presented with high pleocytosis.  </w:t>
            </w:r>
          </w:p>
        </w:tc>
        <w:tc>
          <w:tcPr>
            <w:tcW w:w="3551" w:type="dxa"/>
            <w:gridSpan w:val="2"/>
            <w:tcBorders>
              <w:top w:val="single" w:sz="6" w:space="0" w:color="AEAEAE"/>
              <w:left w:val="single" w:sz="6" w:space="0" w:color="AEAEAE"/>
              <w:bottom w:val="single" w:sz="6" w:space="0" w:color="AEAEAE"/>
              <w:right w:val="single" w:sz="6" w:space="0" w:color="AEAEAE"/>
            </w:tcBorders>
            <w:vAlign w:val="center"/>
          </w:tcPr>
          <w:p w14:paraId="54050170" w14:textId="77777777" w:rsidR="002D58E4" w:rsidRDefault="00F721D4">
            <w:pPr>
              <w:rPr>
                <w:sz w:val="20"/>
                <w:szCs w:val="20"/>
              </w:rPr>
            </w:pPr>
            <w:r>
              <w:rPr>
                <w:sz w:val="20"/>
                <w:szCs w:val="20"/>
              </w:rPr>
              <w:t>45-year-old man presented with a severe tremor, myoclonic jerks, and psychosis. His symptoms had begun to develop ten months earlier. He was first tested for brucellosis and tularemia, but these tests were negative.</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F151421" w14:textId="77777777" w:rsidR="002D58E4" w:rsidRDefault="00F721D4">
            <w:pPr>
              <w:rPr>
                <w:sz w:val="20"/>
                <w:szCs w:val="20"/>
              </w:rPr>
            </w:pPr>
            <w:r>
              <w:rPr>
                <w:sz w:val="20"/>
                <w:szCs w:val="20"/>
              </w:rPr>
              <w:t xml:space="preserve">The patient was treated with IV ceftriaxone (2g/day), followed by doxycycline (100 mg BID) over a 35-day period. He showed rapid functional and clinical improvement but required further psychiatric treatment. Combination of psychiatric treatment with antibiotics led to further improvement. </w:t>
            </w:r>
          </w:p>
          <w:p w14:paraId="46B22C26" w14:textId="77777777" w:rsidR="002D58E4" w:rsidRDefault="002D58E4">
            <w:pPr>
              <w:rPr>
                <w:sz w:val="20"/>
                <w:szCs w:val="20"/>
              </w:rPr>
            </w:pPr>
          </w:p>
          <w:p w14:paraId="3C5498CE" w14:textId="77777777" w:rsidR="002D58E4" w:rsidRDefault="00F721D4">
            <w:pPr>
              <w:rPr>
                <w:sz w:val="20"/>
                <w:szCs w:val="20"/>
              </w:rPr>
            </w:pPr>
            <w:r>
              <w:rPr>
                <w:sz w:val="20"/>
                <w:szCs w:val="20"/>
              </w:rPr>
              <w:t xml:space="preserve">The patient was readmitted and treated again in the same manner, but he continued to experience cognitive symptoms for over a year. </w:t>
            </w:r>
          </w:p>
        </w:tc>
      </w:tr>
      <w:tr w:rsidR="002D58E4" w14:paraId="65F72AEB"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E6F9763" w14:textId="77777777" w:rsidR="002D58E4" w:rsidRDefault="00F721D4">
            <w:pPr>
              <w:rPr>
                <w:sz w:val="20"/>
                <w:szCs w:val="20"/>
              </w:rPr>
            </w:pPr>
            <w:r>
              <w:rPr>
                <w:sz w:val="20"/>
                <w:szCs w:val="20"/>
              </w:rPr>
              <w:t>Schober, 2012</w:t>
            </w:r>
          </w:p>
          <w:p w14:paraId="0A0F8843" w14:textId="77777777" w:rsidR="002D58E4" w:rsidRDefault="002D58E4">
            <w:pPr>
              <w:rPr>
                <w:sz w:val="20"/>
                <w:szCs w:val="20"/>
              </w:rPr>
            </w:pPr>
          </w:p>
          <w:p w14:paraId="10EB16E8" w14:textId="77777777" w:rsidR="002D58E4" w:rsidRDefault="00F721D4">
            <w:pPr>
              <w:rPr>
                <w:sz w:val="20"/>
                <w:szCs w:val="20"/>
              </w:rPr>
            </w:pPr>
            <w:r>
              <w:rPr>
                <w:sz w:val="20"/>
                <w:szCs w:val="20"/>
              </w:rPr>
              <w:t>Feldkirch, Austria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25DA8E56" w14:textId="77777777" w:rsidR="002D58E4" w:rsidRDefault="00F721D4">
            <w:pPr>
              <w:rPr>
                <w:sz w:val="20"/>
                <w:szCs w:val="20"/>
              </w:rPr>
            </w:pPr>
            <w:r>
              <w:rPr>
                <w:sz w:val="20"/>
                <w:szCs w:val="20"/>
              </w:rPr>
              <w:t>Case report</w:t>
            </w:r>
          </w:p>
        </w:tc>
        <w:tc>
          <w:tcPr>
            <w:tcW w:w="630" w:type="dxa"/>
            <w:tcBorders>
              <w:top w:val="single" w:sz="6" w:space="0" w:color="AEAEAE"/>
              <w:left w:val="single" w:sz="6" w:space="0" w:color="AEAEAE"/>
              <w:bottom w:val="single" w:sz="6" w:space="0" w:color="AEAEAE"/>
              <w:right w:val="single" w:sz="6" w:space="0" w:color="AEAEAE"/>
            </w:tcBorders>
            <w:vAlign w:val="center"/>
          </w:tcPr>
          <w:p w14:paraId="4C933ABB" w14:textId="77777777" w:rsidR="002D58E4" w:rsidRDefault="00F721D4">
            <w:pPr>
              <w:jc w:val="center"/>
              <w:rPr>
                <w:sz w:val="20"/>
                <w:szCs w:val="20"/>
              </w:rPr>
            </w:pPr>
            <w:r>
              <w:rPr>
                <w:sz w:val="20"/>
                <w:szCs w:val="20"/>
              </w:rPr>
              <w:t>NA</w:t>
            </w:r>
          </w:p>
        </w:tc>
        <w:tc>
          <w:tcPr>
            <w:tcW w:w="3615" w:type="dxa"/>
            <w:gridSpan w:val="2"/>
            <w:tcBorders>
              <w:top w:val="single" w:sz="6" w:space="0" w:color="AEAEAE"/>
              <w:left w:val="single" w:sz="6" w:space="0" w:color="AEAEAE"/>
              <w:bottom w:val="single" w:sz="6" w:space="0" w:color="AEAEAE"/>
              <w:right w:val="single" w:sz="6" w:space="0" w:color="AEAEAE"/>
            </w:tcBorders>
            <w:vAlign w:val="center"/>
          </w:tcPr>
          <w:p w14:paraId="4740E855" w14:textId="77777777" w:rsidR="002D58E4" w:rsidRDefault="00F721D4">
            <w:pPr>
              <w:rPr>
                <w:sz w:val="20"/>
                <w:szCs w:val="20"/>
              </w:rPr>
            </w:pPr>
            <w:r>
              <w:rPr>
                <w:sz w:val="20"/>
                <w:szCs w:val="20"/>
              </w:rPr>
              <w:t xml:space="preserve">The patient had positive serology in CSF and elevated CSF protein count. </w:t>
            </w:r>
          </w:p>
        </w:tc>
        <w:tc>
          <w:tcPr>
            <w:tcW w:w="3551" w:type="dxa"/>
            <w:gridSpan w:val="2"/>
            <w:tcBorders>
              <w:top w:val="single" w:sz="6" w:space="0" w:color="AEAEAE"/>
              <w:left w:val="single" w:sz="6" w:space="0" w:color="AEAEAE"/>
              <w:bottom w:val="single" w:sz="6" w:space="0" w:color="AEAEAE"/>
              <w:right w:val="single" w:sz="6" w:space="0" w:color="AEAEAE"/>
            </w:tcBorders>
            <w:vAlign w:val="center"/>
          </w:tcPr>
          <w:p w14:paraId="201DDAE6" w14:textId="77777777" w:rsidR="002D58E4" w:rsidRDefault="00F721D4">
            <w:pPr>
              <w:rPr>
                <w:sz w:val="20"/>
                <w:szCs w:val="20"/>
              </w:rPr>
            </w:pPr>
            <w:r>
              <w:rPr>
                <w:sz w:val="20"/>
                <w:szCs w:val="20"/>
              </w:rPr>
              <w:t xml:space="preserve">13-year-old boy showed a generalized seizure and was treated with anti-epileptic therapy. One month later, he had weakness of his left arm, which prompted an MRI examination. MRI examination revealed a subcortical white matter lesion.  </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463711D" w14:textId="77777777" w:rsidR="002D58E4" w:rsidRDefault="00F721D4">
            <w:pPr>
              <w:rPr>
                <w:sz w:val="20"/>
                <w:szCs w:val="20"/>
              </w:rPr>
            </w:pPr>
            <w:r>
              <w:rPr>
                <w:sz w:val="20"/>
                <w:szCs w:val="20"/>
              </w:rPr>
              <w:t xml:space="preserve">The patient was treated with IV ceftriaxone for 3 weeks, which led to resolution of neurological symptoms. MRI examinations in follow-up were normal and no further seizures or neurological abnormalities occurred. </w:t>
            </w:r>
          </w:p>
        </w:tc>
      </w:tr>
      <w:tr w:rsidR="002D58E4" w14:paraId="4D6802BF"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6365ADA" w14:textId="77777777" w:rsidR="002D58E4" w:rsidRDefault="00F721D4">
            <w:pPr>
              <w:rPr>
                <w:sz w:val="20"/>
                <w:szCs w:val="20"/>
              </w:rPr>
            </w:pPr>
            <w:r>
              <w:rPr>
                <w:sz w:val="20"/>
                <w:szCs w:val="20"/>
              </w:rPr>
              <w:t>Juric, 2014</w:t>
            </w:r>
          </w:p>
          <w:p w14:paraId="7E484318" w14:textId="77777777" w:rsidR="002D58E4" w:rsidRDefault="002D58E4">
            <w:pPr>
              <w:rPr>
                <w:sz w:val="20"/>
                <w:szCs w:val="20"/>
              </w:rPr>
            </w:pPr>
          </w:p>
          <w:p w14:paraId="3542F11F" w14:textId="77777777" w:rsidR="002D58E4" w:rsidRDefault="00F721D4">
            <w:pPr>
              <w:rPr>
                <w:sz w:val="20"/>
                <w:szCs w:val="20"/>
              </w:rPr>
            </w:pPr>
            <w:r>
              <w:rPr>
                <w:sz w:val="20"/>
                <w:szCs w:val="20"/>
              </w:rPr>
              <w:t>Zagreb, Croatia</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64290069" w14:textId="77777777" w:rsidR="002D58E4" w:rsidRDefault="00F721D4">
            <w:pPr>
              <w:rPr>
                <w:sz w:val="20"/>
                <w:szCs w:val="20"/>
              </w:rPr>
            </w:pPr>
            <w:r>
              <w:rPr>
                <w:sz w:val="20"/>
                <w:szCs w:val="20"/>
              </w:rPr>
              <w:t>Case report</w:t>
            </w:r>
          </w:p>
        </w:tc>
        <w:tc>
          <w:tcPr>
            <w:tcW w:w="630" w:type="dxa"/>
            <w:tcBorders>
              <w:top w:val="single" w:sz="6" w:space="0" w:color="AEAEAE"/>
              <w:left w:val="single" w:sz="6" w:space="0" w:color="AEAEAE"/>
              <w:bottom w:val="single" w:sz="6" w:space="0" w:color="AEAEAE"/>
              <w:right w:val="single" w:sz="6" w:space="0" w:color="AEAEAE"/>
            </w:tcBorders>
            <w:vAlign w:val="center"/>
          </w:tcPr>
          <w:p w14:paraId="1401A74C" w14:textId="77777777" w:rsidR="002D58E4" w:rsidRDefault="00F721D4">
            <w:pPr>
              <w:jc w:val="center"/>
              <w:rPr>
                <w:sz w:val="20"/>
                <w:szCs w:val="20"/>
              </w:rPr>
            </w:pPr>
            <w:r>
              <w:rPr>
                <w:sz w:val="20"/>
                <w:szCs w:val="20"/>
              </w:rPr>
              <w:t>NA</w:t>
            </w:r>
          </w:p>
        </w:tc>
        <w:tc>
          <w:tcPr>
            <w:tcW w:w="3615" w:type="dxa"/>
            <w:gridSpan w:val="2"/>
            <w:tcBorders>
              <w:top w:val="single" w:sz="6" w:space="0" w:color="AEAEAE"/>
              <w:left w:val="single" w:sz="6" w:space="0" w:color="AEAEAE"/>
              <w:bottom w:val="single" w:sz="6" w:space="0" w:color="AEAEAE"/>
              <w:right w:val="single" w:sz="6" w:space="0" w:color="AEAEAE"/>
            </w:tcBorders>
            <w:vAlign w:val="center"/>
          </w:tcPr>
          <w:p w14:paraId="1E7BB859" w14:textId="77777777" w:rsidR="002D58E4" w:rsidRDefault="00F721D4">
            <w:pPr>
              <w:rPr>
                <w:sz w:val="20"/>
                <w:szCs w:val="20"/>
              </w:rPr>
            </w:pPr>
            <w:r>
              <w:rPr>
                <w:sz w:val="20"/>
                <w:szCs w:val="20"/>
              </w:rPr>
              <w:t xml:space="preserve">The patient was tested for IgM and IgG antibodies for </w:t>
            </w:r>
            <w:r>
              <w:rPr>
                <w:i/>
                <w:sz w:val="20"/>
                <w:szCs w:val="20"/>
              </w:rPr>
              <w:t>B. burgdorferi</w:t>
            </w:r>
            <w:r>
              <w:rPr>
                <w:sz w:val="20"/>
                <w:szCs w:val="20"/>
              </w:rPr>
              <w:t xml:space="preserve"> by ELISA of serum, and positive results were confirmed by Western blot. CSF was analyzed for protein count. </w:t>
            </w:r>
          </w:p>
          <w:p w14:paraId="0B5BE87B" w14:textId="77777777" w:rsidR="002D58E4" w:rsidRDefault="002D58E4">
            <w:pPr>
              <w:rPr>
                <w:sz w:val="20"/>
                <w:szCs w:val="20"/>
              </w:rPr>
            </w:pPr>
          </w:p>
          <w:p w14:paraId="5FF2685C" w14:textId="77777777" w:rsidR="002D58E4" w:rsidRDefault="00F721D4">
            <w:pPr>
              <w:rPr>
                <w:sz w:val="20"/>
                <w:szCs w:val="20"/>
              </w:rPr>
            </w:pPr>
            <w:r>
              <w:rPr>
                <w:sz w:val="20"/>
                <w:szCs w:val="20"/>
              </w:rPr>
              <w:t xml:space="preserve">IgM and IgG were positive by ELISA and Western Blot. </w:t>
            </w:r>
          </w:p>
          <w:p w14:paraId="719A7BAB" w14:textId="77777777" w:rsidR="002D58E4" w:rsidRDefault="00F721D4">
            <w:pPr>
              <w:rPr>
                <w:sz w:val="20"/>
                <w:szCs w:val="20"/>
              </w:rPr>
            </w:pPr>
            <w:r>
              <w:rPr>
                <w:sz w:val="20"/>
                <w:szCs w:val="20"/>
              </w:rPr>
              <w:t xml:space="preserve">The patient showed elevated CSF protein  </w:t>
            </w:r>
          </w:p>
        </w:tc>
        <w:tc>
          <w:tcPr>
            <w:tcW w:w="3551" w:type="dxa"/>
            <w:gridSpan w:val="2"/>
            <w:tcBorders>
              <w:top w:val="single" w:sz="6" w:space="0" w:color="AEAEAE"/>
              <w:left w:val="single" w:sz="6" w:space="0" w:color="AEAEAE"/>
              <w:bottom w:val="single" w:sz="6" w:space="0" w:color="AEAEAE"/>
              <w:right w:val="single" w:sz="6" w:space="0" w:color="AEAEAE"/>
            </w:tcBorders>
            <w:vAlign w:val="center"/>
          </w:tcPr>
          <w:p w14:paraId="4E873EB0" w14:textId="77777777" w:rsidR="002D58E4" w:rsidRDefault="00F721D4">
            <w:pPr>
              <w:rPr>
                <w:sz w:val="20"/>
                <w:szCs w:val="20"/>
              </w:rPr>
            </w:pPr>
            <w:r>
              <w:rPr>
                <w:sz w:val="20"/>
                <w:szCs w:val="20"/>
              </w:rPr>
              <w:t xml:space="preserve">46-year-old man experienced a partial motor epileptic seizure with secondary generalization. He had experienced general weakness for several days prior to this. He recalled several tick bites in the past and had had a rash on his abdomen and chest one year prior to the seizure. Upon admission, he had a reddish-purple rash on his abdomen. </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57CD19C" w14:textId="77777777" w:rsidR="002D58E4" w:rsidRDefault="00F721D4">
            <w:pPr>
              <w:rPr>
                <w:sz w:val="20"/>
                <w:szCs w:val="20"/>
              </w:rPr>
            </w:pPr>
            <w:r>
              <w:rPr>
                <w:sz w:val="20"/>
                <w:szCs w:val="20"/>
              </w:rPr>
              <w:t xml:space="preserve">The patient received anti-epileptic treatment and IV ceftriaxone (2 g/day for 17 days). Over the course of a four-year follow-up, he experienced no further seizures and eventually discontinued anti-epileptic therapy. </w:t>
            </w:r>
          </w:p>
          <w:p w14:paraId="10822830" w14:textId="77777777" w:rsidR="002D58E4" w:rsidRDefault="002D58E4">
            <w:pPr>
              <w:rPr>
                <w:sz w:val="20"/>
                <w:szCs w:val="20"/>
              </w:rPr>
            </w:pPr>
          </w:p>
          <w:p w14:paraId="6C4C7D18" w14:textId="77777777" w:rsidR="002D58E4" w:rsidRDefault="00F721D4">
            <w:pPr>
              <w:rPr>
                <w:sz w:val="20"/>
                <w:szCs w:val="20"/>
              </w:rPr>
            </w:pPr>
            <w:r>
              <w:rPr>
                <w:sz w:val="20"/>
                <w:szCs w:val="20"/>
              </w:rPr>
              <w:t xml:space="preserve">The authors noted that cerebral vasculitis, which was suggested by MRI changes in this patient, may have been a cause of the seizure. </w:t>
            </w:r>
          </w:p>
        </w:tc>
      </w:tr>
      <w:tr w:rsidR="002D58E4" w14:paraId="118CCEF7"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A3E2B23" w14:textId="77777777" w:rsidR="002D58E4" w:rsidRDefault="00F721D4">
            <w:pPr>
              <w:rPr>
                <w:sz w:val="20"/>
                <w:szCs w:val="20"/>
              </w:rPr>
            </w:pPr>
            <w:r>
              <w:rPr>
                <w:sz w:val="20"/>
                <w:szCs w:val="20"/>
              </w:rPr>
              <w:t>Matera, 2014</w:t>
            </w:r>
          </w:p>
          <w:p w14:paraId="2E0997B6" w14:textId="77777777" w:rsidR="002D58E4" w:rsidRDefault="002D58E4">
            <w:pPr>
              <w:rPr>
                <w:sz w:val="20"/>
                <w:szCs w:val="20"/>
              </w:rPr>
            </w:pPr>
          </w:p>
          <w:p w14:paraId="410DEB39" w14:textId="77777777" w:rsidR="002D58E4" w:rsidRDefault="00F721D4">
            <w:pPr>
              <w:rPr>
                <w:sz w:val="20"/>
                <w:szCs w:val="20"/>
              </w:rPr>
            </w:pPr>
            <w:r>
              <w:rPr>
                <w:sz w:val="20"/>
                <w:szCs w:val="20"/>
              </w:rPr>
              <w:t>Catanzaro, Italy</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4E05B5D5" w14:textId="77777777" w:rsidR="002D58E4" w:rsidRDefault="00F721D4">
            <w:pPr>
              <w:rPr>
                <w:sz w:val="20"/>
                <w:szCs w:val="20"/>
              </w:rPr>
            </w:pPr>
            <w:r>
              <w:rPr>
                <w:sz w:val="20"/>
                <w:szCs w:val="20"/>
              </w:rPr>
              <w:t>Case report</w:t>
            </w:r>
          </w:p>
        </w:tc>
        <w:tc>
          <w:tcPr>
            <w:tcW w:w="630" w:type="dxa"/>
            <w:tcBorders>
              <w:top w:val="single" w:sz="6" w:space="0" w:color="AEAEAE"/>
              <w:left w:val="single" w:sz="6" w:space="0" w:color="AEAEAE"/>
              <w:bottom w:val="single" w:sz="6" w:space="0" w:color="AEAEAE"/>
              <w:right w:val="single" w:sz="6" w:space="0" w:color="AEAEAE"/>
            </w:tcBorders>
            <w:vAlign w:val="center"/>
          </w:tcPr>
          <w:p w14:paraId="4C1D9B33" w14:textId="77777777" w:rsidR="002D58E4" w:rsidRDefault="00F721D4">
            <w:pPr>
              <w:jc w:val="center"/>
              <w:rPr>
                <w:sz w:val="20"/>
                <w:szCs w:val="20"/>
              </w:rPr>
            </w:pPr>
            <w:r>
              <w:rPr>
                <w:sz w:val="20"/>
                <w:szCs w:val="20"/>
              </w:rPr>
              <w:t>NA</w:t>
            </w:r>
          </w:p>
        </w:tc>
        <w:tc>
          <w:tcPr>
            <w:tcW w:w="3615" w:type="dxa"/>
            <w:gridSpan w:val="2"/>
            <w:tcBorders>
              <w:top w:val="single" w:sz="6" w:space="0" w:color="AEAEAE"/>
              <w:left w:val="single" w:sz="6" w:space="0" w:color="AEAEAE"/>
              <w:bottom w:val="single" w:sz="6" w:space="0" w:color="AEAEAE"/>
              <w:right w:val="single" w:sz="6" w:space="0" w:color="AEAEAE"/>
            </w:tcBorders>
            <w:vAlign w:val="center"/>
          </w:tcPr>
          <w:p w14:paraId="26D7BFCE" w14:textId="77777777" w:rsidR="002D58E4" w:rsidRDefault="00F721D4">
            <w:pPr>
              <w:rPr>
                <w:sz w:val="20"/>
                <w:szCs w:val="20"/>
              </w:rPr>
            </w:pPr>
            <w:r>
              <w:rPr>
                <w:sz w:val="20"/>
                <w:szCs w:val="20"/>
              </w:rPr>
              <w:t xml:space="preserve">The patient was tested for serum and CSF IgM and IgG antibodies for </w:t>
            </w:r>
            <w:r>
              <w:rPr>
                <w:i/>
                <w:sz w:val="20"/>
                <w:szCs w:val="20"/>
              </w:rPr>
              <w:t>B. burgdorferi</w:t>
            </w:r>
            <w:r>
              <w:rPr>
                <w:sz w:val="20"/>
                <w:szCs w:val="20"/>
              </w:rPr>
              <w:t xml:space="preserve"> and </w:t>
            </w:r>
            <w:r>
              <w:rPr>
                <w:i/>
                <w:sz w:val="20"/>
                <w:szCs w:val="20"/>
              </w:rPr>
              <w:t xml:space="preserve">B. garinii </w:t>
            </w:r>
            <w:r>
              <w:rPr>
                <w:sz w:val="20"/>
                <w:szCs w:val="20"/>
              </w:rPr>
              <w:t xml:space="preserve">by the “VIDAS Lyme Screen” enzyme-linked fluorescence assay, and positive results were confirmed by Western Blot. CSF was tested by PCR for </w:t>
            </w:r>
            <w:r>
              <w:rPr>
                <w:i/>
                <w:sz w:val="20"/>
                <w:szCs w:val="20"/>
              </w:rPr>
              <w:t xml:space="preserve">Borrelia </w:t>
            </w:r>
            <w:r>
              <w:rPr>
                <w:sz w:val="20"/>
                <w:szCs w:val="20"/>
              </w:rPr>
              <w:t>DNA.</w:t>
            </w:r>
          </w:p>
          <w:p w14:paraId="3DE6183B" w14:textId="77777777" w:rsidR="002D58E4" w:rsidRDefault="002D58E4">
            <w:pPr>
              <w:rPr>
                <w:sz w:val="20"/>
                <w:szCs w:val="20"/>
              </w:rPr>
            </w:pPr>
          </w:p>
          <w:p w14:paraId="3F3C5378" w14:textId="77777777" w:rsidR="002D58E4" w:rsidRDefault="00F721D4">
            <w:pPr>
              <w:rPr>
                <w:sz w:val="20"/>
                <w:szCs w:val="20"/>
              </w:rPr>
            </w:pPr>
            <w:r>
              <w:rPr>
                <w:sz w:val="20"/>
                <w:szCs w:val="20"/>
              </w:rPr>
              <w:t xml:space="preserve">The patient was weakly positive by ELFA and Western Blot. PCR analysis of CSF revealed late infection with </w:t>
            </w:r>
            <w:r>
              <w:rPr>
                <w:i/>
                <w:sz w:val="20"/>
                <w:szCs w:val="20"/>
              </w:rPr>
              <w:t>B. garinii</w:t>
            </w:r>
            <w:r>
              <w:rPr>
                <w:sz w:val="20"/>
                <w:szCs w:val="20"/>
              </w:rPr>
              <w:t xml:space="preserve">. </w:t>
            </w:r>
          </w:p>
        </w:tc>
        <w:tc>
          <w:tcPr>
            <w:tcW w:w="3551" w:type="dxa"/>
            <w:gridSpan w:val="2"/>
            <w:tcBorders>
              <w:top w:val="single" w:sz="6" w:space="0" w:color="AEAEAE"/>
              <w:left w:val="single" w:sz="6" w:space="0" w:color="AEAEAE"/>
              <w:bottom w:val="single" w:sz="6" w:space="0" w:color="AEAEAE"/>
              <w:right w:val="single" w:sz="6" w:space="0" w:color="AEAEAE"/>
            </w:tcBorders>
            <w:vAlign w:val="center"/>
          </w:tcPr>
          <w:p w14:paraId="085AF9BD" w14:textId="77777777" w:rsidR="002D58E4" w:rsidRDefault="00F721D4">
            <w:pPr>
              <w:rPr>
                <w:sz w:val="20"/>
                <w:szCs w:val="20"/>
              </w:rPr>
            </w:pPr>
            <w:r>
              <w:rPr>
                <w:sz w:val="20"/>
                <w:szCs w:val="20"/>
              </w:rPr>
              <w:t xml:space="preserve">26-year-old man experienced a generalized seizure before admission to the hospital and again upon admission. He had experienced a facial paralysis two years prior to admission, but it had resolved spontaneously. He recalled no tick bites, erythema migrans, prior fatigue, arthralgia, or myalgia. Multifocal white matter lesions were detected by MRI. </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52B84A7" w14:textId="77777777" w:rsidR="002D58E4" w:rsidRDefault="00F721D4">
            <w:pPr>
              <w:rPr>
                <w:sz w:val="20"/>
                <w:szCs w:val="20"/>
              </w:rPr>
            </w:pPr>
            <w:r>
              <w:rPr>
                <w:sz w:val="20"/>
                <w:szCs w:val="20"/>
              </w:rPr>
              <w:t xml:space="preserve">The patient received doxycycline (200 mg/day for 21 days). MRI was performed two months later and showed substantial improvement. The patient was followed up for 4 months and was in full clinical remission throughout. </w:t>
            </w:r>
          </w:p>
        </w:tc>
      </w:tr>
      <w:tr w:rsidR="002D58E4" w14:paraId="4CEEC509" w14:textId="77777777" w:rsidTr="003D1C11">
        <w:trPr>
          <w:trHeight w:val="320"/>
        </w:trPr>
        <w:tc>
          <w:tcPr>
            <w:tcW w:w="14459" w:type="dxa"/>
            <w:gridSpan w:val="10"/>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61EC9A77" w14:textId="77777777" w:rsidR="002D58E4" w:rsidRDefault="00F721D4">
            <w:pPr>
              <w:jc w:val="center"/>
              <w:rPr>
                <w:b/>
                <w:sz w:val="20"/>
                <w:szCs w:val="20"/>
              </w:rPr>
            </w:pPr>
            <w:r>
              <w:rPr>
                <w:b/>
              </w:rPr>
              <w:t>Trigeminal Neuralgia</w:t>
            </w:r>
          </w:p>
        </w:tc>
      </w:tr>
      <w:tr w:rsidR="002D58E4" w14:paraId="7C3D0456"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F09C322" w14:textId="77777777" w:rsidR="002D58E4" w:rsidRDefault="00F721D4">
            <w:pPr>
              <w:rPr>
                <w:b/>
                <w:color w:val="000000"/>
                <w:sz w:val="20"/>
                <w:szCs w:val="20"/>
              </w:rPr>
            </w:pPr>
            <w:r>
              <w:rPr>
                <w:b/>
                <w:color w:val="000000"/>
                <w:sz w:val="20"/>
                <w:szCs w:val="20"/>
              </w:rPr>
              <w:t>Study name, Location</w:t>
            </w:r>
          </w:p>
        </w:tc>
        <w:tc>
          <w:tcPr>
            <w:tcW w:w="733" w:type="dxa"/>
            <w:gridSpan w:val="2"/>
            <w:tcBorders>
              <w:top w:val="single" w:sz="6" w:space="0" w:color="AEAEAE"/>
              <w:left w:val="single" w:sz="6" w:space="0" w:color="AEAEAE"/>
              <w:bottom w:val="single" w:sz="6" w:space="0" w:color="AEAEAE"/>
              <w:right w:val="single" w:sz="6" w:space="0" w:color="AEAEAE"/>
            </w:tcBorders>
            <w:shd w:val="clear" w:color="auto" w:fill="D9D9D9"/>
          </w:tcPr>
          <w:p w14:paraId="348FD987" w14:textId="77777777" w:rsidR="002D58E4" w:rsidRDefault="00F721D4">
            <w:pP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0D98D25C" w14:textId="77777777" w:rsidR="002D58E4" w:rsidRDefault="00F721D4">
            <w:pPr>
              <w:rPr>
                <w:b/>
                <w:color w:val="000000"/>
                <w:sz w:val="20"/>
                <w:szCs w:val="20"/>
              </w:rPr>
            </w:pPr>
            <w:r>
              <w:rPr>
                <w:b/>
                <w:color w:val="000000"/>
                <w:sz w:val="20"/>
                <w:szCs w:val="20"/>
              </w:rPr>
              <w:t>Risk of bias*</w:t>
            </w:r>
          </w:p>
        </w:tc>
        <w:tc>
          <w:tcPr>
            <w:tcW w:w="3615" w:type="dxa"/>
            <w:gridSpan w:val="2"/>
            <w:tcBorders>
              <w:top w:val="single" w:sz="6" w:space="0" w:color="AEAEAE"/>
              <w:left w:val="single" w:sz="6" w:space="0" w:color="AEAEAE"/>
              <w:bottom w:val="single" w:sz="6" w:space="0" w:color="AEAEAE"/>
              <w:right w:val="single" w:sz="6" w:space="0" w:color="AEAEAE"/>
            </w:tcBorders>
            <w:shd w:val="clear" w:color="auto" w:fill="D9D9D9"/>
          </w:tcPr>
          <w:p w14:paraId="3ACABD62" w14:textId="77777777" w:rsidR="002D58E4" w:rsidRDefault="00F721D4">
            <w:pPr>
              <w:rPr>
                <w:b/>
                <w:color w:val="000000"/>
                <w:sz w:val="20"/>
                <w:szCs w:val="20"/>
              </w:rPr>
            </w:pPr>
            <w:r>
              <w:rPr>
                <w:b/>
                <w:color w:val="000000"/>
                <w:sz w:val="20"/>
                <w:szCs w:val="20"/>
              </w:rPr>
              <w:t>Lyme Disease Diagnosis method</w:t>
            </w:r>
          </w:p>
        </w:tc>
        <w:tc>
          <w:tcPr>
            <w:tcW w:w="3551" w:type="dxa"/>
            <w:gridSpan w:val="2"/>
            <w:tcBorders>
              <w:top w:val="single" w:sz="6" w:space="0" w:color="AEAEAE"/>
              <w:left w:val="single" w:sz="6" w:space="0" w:color="AEAEAE"/>
              <w:bottom w:val="single" w:sz="6" w:space="0" w:color="AEAEAE"/>
              <w:right w:val="single" w:sz="6" w:space="0" w:color="AEAEAE"/>
            </w:tcBorders>
            <w:shd w:val="clear" w:color="auto" w:fill="D9D9D9"/>
          </w:tcPr>
          <w:p w14:paraId="0ED027A7" w14:textId="77777777" w:rsidR="002D58E4" w:rsidRDefault="00F721D4">
            <w:pPr>
              <w:rPr>
                <w:sz w:val="20"/>
                <w:szCs w:val="20"/>
              </w:rPr>
            </w:pPr>
            <w:r>
              <w:rPr>
                <w:b/>
                <w:color w:val="000000"/>
                <w:sz w:val="20"/>
                <w:szCs w:val="20"/>
              </w:rPr>
              <w:t>Patient characteristics and Observed Neurologic Presentation</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628DFD58" w14:textId="77777777" w:rsidR="002D58E4" w:rsidRDefault="00F721D4">
            <w:pPr>
              <w:rPr>
                <w:b/>
                <w:color w:val="000000"/>
                <w:sz w:val="20"/>
                <w:szCs w:val="20"/>
              </w:rPr>
            </w:pPr>
            <w:r>
              <w:rPr>
                <w:b/>
                <w:color w:val="000000"/>
                <w:sz w:val="20"/>
                <w:szCs w:val="20"/>
              </w:rPr>
              <w:t>Clinical course and author statements</w:t>
            </w:r>
          </w:p>
        </w:tc>
      </w:tr>
      <w:tr w:rsidR="002D58E4" w14:paraId="1D13EA58"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BDC629C" w14:textId="77777777" w:rsidR="002D58E4" w:rsidRDefault="00F721D4">
            <w:pPr>
              <w:rPr>
                <w:sz w:val="20"/>
                <w:szCs w:val="20"/>
              </w:rPr>
            </w:pPr>
            <w:r>
              <w:rPr>
                <w:sz w:val="20"/>
                <w:szCs w:val="20"/>
              </w:rPr>
              <w:t>Fritz, et al., 1996</w:t>
            </w:r>
          </w:p>
          <w:p w14:paraId="60BFCED1" w14:textId="77777777" w:rsidR="002D58E4" w:rsidRDefault="002D58E4">
            <w:pPr>
              <w:rPr>
                <w:sz w:val="20"/>
                <w:szCs w:val="20"/>
              </w:rPr>
            </w:pPr>
          </w:p>
          <w:p w14:paraId="396E0117" w14:textId="77777777" w:rsidR="002D58E4" w:rsidRDefault="00F721D4">
            <w:pPr>
              <w:rPr>
                <w:sz w:val="20"/>
                <w:szCs w:val="20"/>
              </w:rPr>
            </w:pPr>
            <w:r>
              <w:rPr>
                <w:sz w:val="20"/>
                <w:szCs w:val="20"/>
              </w:rPr>
              <w:t>Marburg, Germany</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4C2CAF0A" w14:textId="77777777" w:rsidR="002D58E4" w:rsidRDefault="00F721D4">
            <w:pPr>
              <w:rPr>
                <w:sz w:val="20"/>
                <w:szCs w:val="20"/>
              </w:rPr>
            </w:pPr>
            <w:r>
              <w:rPr>
                <w:sz w:val="20"/>
                <w:szCs w:val="20"/>
              </w:rPr>
              <w:t>Case report</w:t>
            </w:r>
          </w:p>
        </w:tc>
        <w:tc>
          <w:tcPr>
            <w:tcW w:w="630" w:type="dxa"/>
            <w:tcBorders>
              <w:top w:val="single" w:sz="6" w:space="0" w:color="AEAEAE"/>
              <w:left w:val="single" w:sz="6" w:space="0" w:color="AEAEAE"/>
              <w:bottom w:val="single" w:sz="6" w:space="0" w:color="AEAEAE"/>
              <w:right w:val="single" w:sz="6" w:space="0" w:color="AEAEAE"/>
            </w:tcBorders>
            <w:vAlign w:val="center"/>
          </w:tcPr>
          <w:p w14:paraId="6943EABF" w14:textId="77777777" w:rsidR="002D58E4" w:rsidRDefault="00F721D4">
            <w:pPr>
              <w:jc w:val="center"/>
              <w:rPr>
                <w:sz w:val="20"/>
                <w:szCs w:val="20"/>
              </w:rPr>
            </w:pPr>
            <w:r>
              <w:rPr>
                <w:sz w:val="20"/>
                <w:szCs w:val="20"/>
              </w:rPr>
              <w:t>NA</w:t>
            </w:r>
          </w:p>
        </w:tc>
        <w:tc>
          <w:tcPr>
            <w:tcW w:w="3615" w:type="dxa"/>
            <w:gridSpan w:val="2"/>
            <w:tcBorders>
              <w:top w:val="single" w:sz="6" w:space="0" w:color="AEAEAE"/>
              <w:left w:val="single" w:sz="6" w:space="0" w:color="AEAEAE"/>
              <w:bottom w:val="single" w:sz="6" w:space="0" w:color="AEAEAE"/>
              <w:right w:val="single" w:sz="6" w:space="0" w:color="AEAEAE"/>
            </w:tcBorders>
            <w:vAlign w:val="center"/>
          </w:tcPr>
          <w:p w14:paraId="6D91929A" w14:textId="77777777" w:rsidR="002D58E4" w:rsidRDefault="00F721D4">
            <w:pPr>
              <w:rPr>
                <w:sz w:val="20"/>
                <w:szCs w:val="20"/>
              </w:rPr>
            </w:pPr>
            <w:r>
              <w:rPr>
                <w:sz w:val="20"/>
                <w:szCs w:val="20"/>
              </w:rPr>
              <w:t>Neurological examinations were normal, including CSF protein and pleocytosis. Patient’s serum and CSF were tested for</w:t>
            </w:r>
            <w:r>
              <w:rPr>
                <w:i/>
                <w:sz w:val="20"/>
                <w:szCs w:val="20"/>
              </w:rPr>
              <w:t xml:space="preserve"> B. burgdorferi</w:t>
            </w:r>
            <w:r>
              <w:rPr>
                <w:sz w:val="20"/>
                <w:szCs w:val="20"/>
              </w:rPr>
              <w:t xml:space="preserve"> antibody by ELISA.</w:t>
            </w:r>
          </w:p>
          <w:p w14:paraId="04B20965" w14:textId="77777777" w:rsidR="002D58E4" w:rsidRDefault="002D58E4">
            <w:pPr>
              <w:rPr>
                <w:sz w:val="20"/>
                <w:szCs w:val="20"/>
              </w:rPr>
            </w:pPr>
          </w:p>
          <w:p w14:paraId="3D1F2D73" w14:textId="77777777" w:rsidR="002D58E4" w:rsidRDefault="00F721D4">
            <w:pPr>
              <w:rPr>
                <w:sz w:val="20"/>
                <w:szCs w:val="20"/>
              </w:rPr>
            </w:pPr>
            <w:r>
              <w:rPr>
                <w:sz w:val="20"/>
                <w:szCs w:val="20"/>
              </w:rPr>
              <w:t>IgG antibodies were elevated in serum and CSF. IgM were found in serum, but not CSF.</w:t>
            </w:r>
          </w:p>
        </w:tc>
        <w:tc>
          <w:tcPr>
            <w:tcW w:w="3551" w:type="dxa"/>
            <w:gridSpan w:val="2"/>
            <w:tcBorders>
              <w:top w:val="single" w:sz="6" w:space="0" w:color="AEAEAE"/>
              <w:left w:val="single" w:sz="6" w:space="0" w:color="AEAEAE"/>
              <w:bottom w:val="single" w:sz="6" w:space="0" w:color="AEAEAE"/>
              <w:right w:val="single" w:sz="6" w:space="0" w:color="AEAEAE"/>
            </w:tcBorders>
            <w:vAlign w:val="center"/>
          </w:tcPr>
          <w:p w14:paraId="701F72BC" w14:textId="77777777" w:rsidR="002D58E4" w:rsidRDefault="00F721D4">
            <w:pPr>
              <w:rPr>
                <w:sz w:val="20"/>
                <w:szCs w:val="20"/>
              </w:rPr>
            </w:pPr>
            <w:r>
              <w:rPr>
                <w:sz w:val="20"/>
                <w:szCs w:val="20"/>
              </w:rPr>
              <w:t>58-year-old previously healthy man noticed a rash on his back with slight headache and fatigue, which progressed over two weeks to an intense stabbing pain in the distribution of his fifth cranial nerve. He did not recall a tick bite. 4 weeks after finding the rash, it was still there.</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1818DF6" w14:textId="77777777" w:rsidR="002D58E4" w:rsidRDefault="00F721D4">
            <w:pPr>
              <w:rPr>
                <w:sz w:val="20"/>
                <w:szCs w:val="20"/>
              </w:rPr>
            </w:pPr>
            <w:r>
              <w:rPr>
                <w:sz w:val="20"/>
                <w:szCs w:val="20"/>
              </w:rPr>
              <w:t xml:space="preserve">After diagnosis of Lyme Disease, patient was treated with IV ceftriaxone (2g/day) for 14 days. He began to experience improvement three days after treatment initiation and had completely recovered after one week of treatment. </w:t>
            </w:r>
          </w:p>
          <w:p w14:paraId="622FCCFD" w14:textId="77777777" w:rsidR="002D58E4" w:rsidRDefault="002D58E4">
            <w:pPr>
              <w:rPr>
                <w:sz w:val="20"/>
                <w:szCs w:val="20"/>
              </w:rPr>
            </w:pPr>
          </w:p>
          <w:p w14:paraId="5ED7EFB5" w14:textId="77777777" w:rsidR="002D58E4" w:rsidRDefault="00F721D4">
            <w:pPr>
              <w:rPr>
                <w:sz w:val="20"/>
                <w:szCs w:val="20"/>
              </w:rPr>
            </w:pPr>
            <w:r>
              <w:rPr>
                <w:sz w:val="20"/>
                <w:szCs w:val="20"/>
              </w:rPr>
              <w:t xml:space="preserve">The authors suggest that </w:t>
            </w:r>
            <w:r>
              <w:rPr>
                <w:i/>
                <w:sz w:val="20"/>
                <w:szCs w:val="20"/>
              </w:rPr>
              <w:t>Borrelia</w:t>
            </w:r>
            <w:r>
              <w:rPr>
                <w:sz w:val="20"/>
                <w:szCs w:val="20"/>
              </w:rPr>
              <w:t xml:space="preserve"> infection be considered as a differential diagnosis in the event of craniofacial pain. </w:t>
            </w:r>
          </w:p>
        </w:tc>
      </w:tr>
      <w:tr w:rsidR="002D58E4" w14:paraId="5D0F68BF" w14:textId="77777777" w:rsidTr="003D1C11">
        <w:trPr>
          <w:trHeight w:val="320"/>
        </w:trPr>
        <w:tc>
          <w:tcPr>
            <w:tcW w:w="110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011E18D" w14:textId="77777777" w:rsidR="002D58E4" w:rsidRDefault="00F721D4">
            <w:pPr>
              <w:rPr>
                <w:sz w:val="20"/>
                <w:szCs w:val="20"/>
              </w:rPr>
            </w:pPr>
            <w:r>
              <w:rPr>
                <w:sz w:val="20"/>
                <w:szCs w:val="20"/>
              </w:rPr>
              <w:t>Knudtzen, et al., 2017</w:t>
            </w:r>
          </w:p>
          <w:p w14:paraId="69069ECF" w14:textId="77777777" w:rsidR="002D58E4" w:rsidRDefault="002D58E4">
            <w:pPr>
              <w:rPr>
                <w:sz w:val="20"/>
                <w:szCs w:val="20"/>
              </w:rPr>
            </w:pPr>
          </w:p>
          <w:p w14:paraId="3E075B11" w14:textId="77777777" w:rsidR="002D58E4" w:rsidRDefault="00F721D4">
            <w:pPr>
              <w:rPr>
                <w:sz w:val="20"/>
                <w:szCs w:val="20"/>
              </w:rPr>
            </w:pPr>
            <w:r>
              <w:rPr>
                <w:sz w:val="20"/>
                <w:szCs w:val="20"/>
              </w:rPr>
              <w:t>Funen and Langeland, Denmark</w:t>
            </w:r>
          </w:p>
        </w:tc>
        <w:tc>
          <w:tcPr>
            <w:tcW w:w="733" w:type="dxa"/>
            <w:gridSpan w:val="2"/>
            <w:tcBorders>
              <w:top w:val="single" w:sz="6" w:space="0" w:color="AEAEAE"/>
              <w:left w:val="single" w:sz="6" w:space="0" w:color="AEAEAE"/>
              <w:bottom w:val="single" w:sz="6" w:space="0" w:color="AEAEAE"/>
              <w:right w:val="single" w:sz="6" w:space="0" w:color="AEAEAE"/>
            </w:tcBorders>
            <w:vAlign w:val="center"/>
          </w:tcPr>
          <w:p w14:paraId="3B3D7C49" w14:textId="77777777" w:rsidR="002D58E4" w:rsidRDefault="00F721D4">
            <w:pPr>
              <w:rPr>
                <w:sz w:val="20"/>
                <w:szCs w:val="20"/>
              </w:rPr>
            </w:pPr>
            <w:r>
              <w:rPr>
                <w:sz w:val="20"/>
                <w:szCs w:val="20"/>
              </w:rPr>
              <w:t>Retrospective case series</w:t>
            </w:r>
          </w:p>
        </w:tc>
        <w:tc>
          <w:tcPr>
            <w:tcW w:w="630" w:type="dxa"/>
            <w:tcBorders>
              <w:top w:val="single" w:sz="6" w:space="0" w:color="AEAEAE"/>
              <w:left w:val="single" w:sz="6" w:space="0" w:color="AEAEAE"/>
              <w:bottom w:val="single" w:sz="6" w:space="0" w:color="AEAEAE"/>
              <w:right w:val="single" w:sz="6" w:space="0" w:color="AEAEAE"/>
            </w:tcBorders>
            <w:vAlign w:val="center"/>
          </w:tcPr>
          <w:p w14:paraId="40D5BF95" w14:textId="77777777" w:rsidR="002D58E4" w:rsidRDefault="00F721D4">
            <w:pPr>
              <w:jc w:val="center"/>
              <w:rPr>
                <w:sz w:val="20"/>
                <w:szCs w:val="20"/>
              </w:rPr>
            </w:pPr>
            <w:r>
              <w:rPr>
                <w:sz w:val="20"/>
                <w:szCs w:val="20"/>
              </w:rPr>
              <w:t>NA</w:t>
            </w:r>
          </w:p>
        </w:tc>
        <w:tc>
          <w:tcPr>
            <w:tcW w:w="3615" w:type="dxa"/>
            <w:gridSpan w:val="2"/>
            <w:tcBorders>
              <w:top w:val="single" w:sz="6" w:space="0" w:color="AEAEAE"/>
              <w:left w:val="single" w:sz="6" w:space="0" w:color="AEAEAE"/>
              <w:bottom w:val="single" w:sz="6" w:space="0" w:color="AEAEAE"/>
              <w:right w:val="single" w:sz="6" w:space="0" w:color="AEAEAE"/>
            </w:tcBorders>
            <w:vAlign w:val="center"/>
          </w:tcPr>
          <w:p w14:paraId="63238068" w14:textId="77777777" w:rsidR="002D58E4" w:rsidRDefault="00F721D4">
            <w:pPr>
              <w:rPr>
                <w:sz w:val="20"/>
                <w:szCs w:val="20"/>
              </w:rPr>
            </w:pPr>
            <w:r>
              <w:rPr>
                <w:sz w:val="20"/>
                <w:szCs w:val="20"/>
              </w:rPr>
              <w:t xml:space="preserve">Clinical data and information about risk factors for and history of tick bites were collected. </w:t>
            </w:r>
          </w:p>
          <w:p w14:paraId="64020858" w14:textId="77777777" w:rsidR="002D58E4" w:rsidRDefault="002D58E4">
            <w:pPr>
              <w:rPr>
                <w:sz w:val="20"/>
                <w:szCs w:val="20"/>
              </w:rPr>
            </w:pPr>
          </w:p>
          <w:p w14:paraId="3D070DC2" w14:textId="77777777" w:rsidR="002D58E4" w:rsidRDefault="00F721D4">
            <w:pPr>
              <w:rPr>
                <w:sz w:val="20"/>
                <w:szCs w:val="20"/>
              </w:rPr>
            </w:pPr>
            <w:r>
              <w:rPr>
                <w:sz w:val="20"/>
                <w:szCs w:val="20"/>
              </w:rPr>
              <w:t xml:space="preserve">IgG and IgM antibodies were collected in serum and CSF. Leukocyte counts were also registered from CSF. </w:t>
            </w:r>
          </w:p>
        </w:tc>
        <w:tc>
          <w:tcPr>
            <w:tcW w:w="3551" w:type="dxa"/>
            <w:gridSpan w:val="2"/>
            <w:tcBorders>
              <w:top w:val="single" w:sz="6" w:space="0" w:color="AEAEAE"/>
              <w:left w:val="single" w:sz="6" w:space="0" w:color="AEAEAE"/>
              <w:bottom w:val="single" w:sz="6" w:space="0" w:color="AEAEAE"/>
              <w:right w:val="single" w:sz="6" w:space="0" w:color="AEAEAE"/>
            </w:tcBorders>
            <w:vAlign w:val="center"/>
          </w:tcPr>
          <w:p w14:paraId="52A793A2" w14:textId="77777777" w:rsidR="002D58E4" w:rsidRDefault="00F721D4">
            <w:pPr>
              <w:rPr>
                <w:sz w:val="20"/>
                <w:szCs w:val="20"/>
              </w:rPr>
            </w:pPr>
            <w:r>
              <w:rPr>
                <w:sz w:val="20"/>
                <w:szCs w:val="20"/>
              </w:rPr>
              <w:t xml:space="preserve">The characteristics of all participants (N= 442 with positive CSF for </w:t>
            </w:r>
            <w:r>
              <w:rPr>
                <w:i/>
                <w:sz w:val="20"/>
                <w:szCs w:val="20"/>
              </w:rPr>
              <w:t xml:space="preserve">Borrelia </w:t>
            </w:r>
            <w:r>
              <w:rPr>
                <w:sz w:val="20"/>
                <w:szCs w:val="20"/>
              </w:rPr>
              <w:t>AI) are as follows: median age was 47 years (IQR, 50 [12–62] years), 60.8% male, and 126 children &lt;18 years. 36.9% had a history of tick bite registered, and 19.5% had a history of erythema migrans.</w:t>
            </w:r>
          </w:p>
          <w:p w14:paraId="01D7849F" w14:textId="77777777" w:rsidR="002D58E4" w:rsidRDefault="002D58E4">
            <w:pPr>
              <w:rPr>
                <w:sz w:val="20"/>
                <w:szCs w:val="20"/>
              </w:rPr>
            </w:pPr>
          </w:p>
          <w:p w14:paraId="44078846" w14:textId="77777777" w:rsidR="002D58E4" w:rsidRDefault="00F721D4">
            <w:pPr>
              <w:rPr>
                <w:sz w:val="20"/>
                <w:szCs w:val="20"/>
              </w:rPr>
            </w:pPr>
            <w:r>
              <w:rPr>
                <w:sz w:val="20"/>
                <w:szCs w:val="20"/>
              </w:rPr>
              <w:t xml:space="preserve">2 (0.05%) patients had a documented palsy of the trigeminal nerve. </w:t>
            </w:r>
          </w:p>
        </w:tc>
        <w:tc>
          <w:tcPr>
            <w:tcW w:w="4821" w:type="dxa"/>
            <w:gridSpan w:val="2"/>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003CE54" w14:textId="77777777" w:rsidR="002D58E4" w:rsidRDefault="00F721D4">
            <w:pPr>
              <w:rPr>
                <w:sz w:val="20"/>
                <w:szCs w:val="20"/>
              </w:rPr>
            </w:pPr>
            <w:r>
              <w:rPr>
                <w:sz w:val="20"/>
                <w:szCs w:val="20"/>
              </w:rPr>
              <w:t xml:space="preserve">The course of treatment is not documented specifically for individuals with palsy of the trigeminal nerve. The authors made note that overall, there was a significant delay in treatment for Lyme neuroborreliosis (median 24 days). Approximately one third of all observed patients experienced persistent symptoms and sequalae after treatment. The authors suggest that the treatment delay may have contributed to the occurrence of residual symptoms.  </w:t>
            </w:r>
          </w:p>
        </w:tc>
      </w:tr>
    </w:tbl>
    <w:p w14:paraId="33324785" w14:textId="77777777" w:rsidR="002D58E4" w:rsidRDefault="00F721D4">
      <w:pPr>
        <w:widowControl w:val="0"/>
        <w:pBdr>
          <w:top w:val="nil"/>
          <w:left w:val="nil"/>
          <w:bottom w:val="nil"/>
          <w:right w:val="nil"/>
          <w:between w:val="nil"/>
        </w:pBdr>
        <w:spacing w:after="0"/>
        <w:sectPr w:rsidR="002D58E4" w:rsidSect="00FE31BB">
          <w:type w:val="continuous"/>
          <w:pgSz w:w="15840" w:h="12240"/>
          <w:pgMar w:top="720" w:right="672" w:bottom="720" w:left="720" w:header="720" w:footer="720" w:gutter="0"/>
          <w:cols w:space="720" w:equalWidth="0">
            <w:col w:w="14448"/>
          </w:cols>
        </w:sectPr>
      </w:pPr>
      <w:r>
        <w:rPr>
          <w:b/>
          <w:sz w:val="20"/>
          <w:szCs w:val="20"/>
        </w:rPr>
        <w:t>*</w:t>
      </w:r>
      <w:r>
        <w:rPr>
          <w:sz w:val="20"/>
          <w:szCs w:val="20"/>
        </w:rPr>
        <w:t>Risk of Bias of Observational Data was rated on a scale from 0 (worst) to 9 (best) using the Newcastle-Ottawa Quality Assessment Scale for Observational Studies.</w:t>
      </w:r>
      <w:r>
        <w:br w:type="page"/>
      </w:r>
    </w:p>
    <w:p w14:paraId="2AEE94E1" w14:textId="77777777" w:rsidR="002D58E4" w:rsidRDefault="002D58E4">
      <w:pPr>
        <w:widowControl w:val="0"/>
        <w:pBdr>
          <w:top w:val="nil"/>
          <w:left w:val="nil"/>
          <w:bottom w:val="nil"/>
          <w:right w:val="nil"/>
          <w:between w:val="nil"/>
        </w:pBdr>
        <w:spacing w:after="0"/>
      </w:pPr>
    </w:p>
    <w:tbl>
      <w:tblPr>
        <w:tblStyle w:val="aff"/>
        <w:tblW w:w="14641" w:type="dxa"/>
        <w:tblLayout w:type="fixed"/>
        <w:tblLook w:val="0600" w:firstRow="0" w:lastRow="0" w:firstColumn="0" w:lastColumn="0" w:noHBand="1" w:noVBand="1"/>
      </w:tblPr>
      <w:tblGrid>
        <w:gridCol w:w="1020"/>
        <w:gridCol w:w="823"/>
        <w:gridCol w:w="630"/>
        <w:gridCol w:w="2630"/>
        <w:gridCol w:w="2552"/>
        <w:gridCol w:w="2835"/>
        <w:gridCol w:w="4140"/>
        <w:gridCol w:w="11"/>
      </w:tblGrid>
      <w:tr w:rsidR="002D58E4" w14:paraId="28F622C4" w14:textId="77777777">
        <w:trPr>
          <w:trHeight w:val="500"/>
        </w:trPr>
        <w:tc>
          <w:tcPr>
            <w:tcW w:w="14641" w:type="dxa"/>
            <w:gridSpan w:val="8"/>
            <w:shd w:val="clear" w:color="auto" w:fill="auto"/>
            <w:tcMar>
              <w:top w:w="15" w:type="dxa"/>
              <w:left w:w="30" w:type="dxa"/>
              <w:bottom w:w="0" w:type="dxa"/>
              <w:right w:w="30" w:type="dxa"/>
            </w:tcMar>
          </w:tcPr>
          <w:p w14:paraId="1DD2543B" w14:textId="6AB08849" w:rsidR="002D58E4" w:rsidRDefault="00F721D4">
            <w:pPr>
              <w:rPr>
                <w:b/>
                <w:sz w:val="32"/>
                <w:szCs w:val="32"/>
              </w:rPr>
            </w:pPr>
            <w:r>
              <w:rPr>
                <w:b/>
                <w:sz w:val="32"/>
                <w:szCs w:val="32"/>
              </w:rPr>
              <w:t>XI. Should adult patients with psychiatric illnesses be tested for Lyme disease?</w:t>
            </w:r>
          </w:p>
        </w:tc>
      </w:tr>
      <w:tr w:rsidR="002D58E4" w14:paraId="7EAB93E1" w14:textId="77777777">
        <w:trPr>
          <w:trHeight w:val="500"/>
        </w:trPr>
        <w:tc>
          <w:tcPr>
            <w:tcW w:w="14641" w:type="dxa"/>
            <w:gridSpan w:val="8"/>
            <w:tcBorders>
              <w:bottom w:val="single" w:sz="6" w:space="0" w:color="AEAEAE"/>
            </w:tcBorders>
            <w:shd w:val="clear" w:color="auto" w:fill="auto"/>
            <w:tcMar>
              <w:top w:w="15" w:type="dxa"/>
              <w:left w:w="30" w:type="dxa"/>
              <w:bottom w:w="0" w:type="dxa"/>
              <w:right w:w="30" w:type="dxa"/>
            </w:tcMar>
          </w:tcPr>
          <w:p w14:paraId="05A0900D" w14:textId="77777777" w:rsidR="002D58E4" w:rsidRDefault="00F721D4">
            <w:pPr>
              <w:rPr>
                <w:color w:val="000000"/>
                <w:sz w:val="18"/>
                <w:szCs w:val="18"/>
              </w:rPr>
            </w:pPr>
            <w:r w:rsidRPr="00B033CA">
              <w:rPr>
                <w:b/>
                <w:color w:val="000000"/>
                <w:sz w:val="18"/>
                <w:szCs w:val="18"/>
                <w:lang w:val="fr-CA"/>
              </w:rPr>
              <w:t>Bibliography:</w:t>
            </w:r>
            <w:r w:rsidRPr="00424E99">
              <w:rPr>
                <w:color w:val="000000"/>
                <w:sz w:val="18"/>
                <w:szCs w:val="18"/>
                <w:lang w:val="fr-CA"/>
              </w:rPr>
              <w:t xml:space="preserve"> 1. Halperin, et al. </w:t>
            </w:r>
            <w:r w:rsidRPr="00B033CA">
              <w:rPr>
                <w:lang w:val="fr-CA"/>
              </w:rPr>
              <w:t xml:space="preserve"> </w:t>
            </w:r>
            <w:r w:rsidRPr="00B033CA">
              <w:rPr>
                <w:color w:val="000000"/>
                <w:sz w:val="18"/>
                <w:szCs w:val="18"/>
                <w:lang w:val="fr-CA"/>
              </w:rPr>
              <w:t xml:space="preserve">Neurology. 1989 Jun; 39(6): 753-9; 2. Nadelman, et al. Mt Sinai J Med. 1997 Nov; 64(6): 409-12; 3. Hájek, et al. </w:t>
            </w:r>
            <w:r>
              <w:rPr>
                <w:color w:val="000000"/>
                <w:sz w:val="18"/>
                <w:szCs w:val="18"/>
              </w:rPr>
              <w:t xml:space="preserve">Am J Psychiatry. 2002 Feb; 159(2): 297-301; 4. Hájek, et al. Eur Psychiatry. 2006 Mar; 21(2): 118-22; 5. Greenberg, R. "Tick-borne infections and pediatric bipolar disorder." Neurology, Psychiatry and Brain Research 1.22 (2016): 11; 6. </w:t>
            </w:r>
            <w:r w:rsidRPr="002914A2">
              <w:rPr>
                <w:color w:val="000000"/>
                <w:sz w:val="18"/>
                <w:szCs w:val="18"/>
                <w:lang w:val="fr-CA"/>
              </w:rPr>
              <w:t xml:space="preserve">Zomer, et al. Clin Infect Dis. 2017 Oct 30;65(10):1689-1694; 7. Johnco, et al. </w:t>
            </w:r>
            <w:r>
              <w:rPr>
                <w:color w:val="000000"/>
                <w:sz w:val="18"/>
                <w:szCs w:val="18"/>
              </w:rPr>
              <w:t>Gen Hosp Psychiatry. 2018 Mar - Apr;51:85-89; 8. Zomer, et al. Eur J Intern Med. 2018 May;51:e19-e20.</w:t>
            </w:r>
          </w:p>
          <w:p w14:paraId="7BC2E3D6" w14:textId="77777777" w:rsidR="002D58E4" w:rsidRDefault="002D58E4">
            <w:pPr>
              <w:rPr>
                <w:color w:val="000000"/>
                <w:sz w:val="18"/>
                <w:szCs w:val="18"/>
              </w:rPr>
            </w:pPr>
          </w:p>
        </w:tc>
      </w:tr>
      <w:tr w:rsidR="002D58E4" w14:paraId="68BC700C" w14:textId="77777777">
        <w:trPr>
          <w:gridAfter w:val="1"/>
          <w:wAfter w:w="11" w:type="dxa"/>
          <w:trHeight w:val="500"/>
        </w:trPr>
        <w:tc>
          <w:tcPr>
            <w:tcW w:w="102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17552AC8" w14:textId="77777777" w:rsidR="002D58E4" w:rsidRDefault="00F721D4">
            <w:pPr>
              <w:rPr>
                <w:b/>
                <w:color w:val="000000"/>
                <w:sz w:val="20"/>
                <w:szCs w:val="20"/>
              </w:rPr>
            </w:pPr>
            <w:r>
              <w:rPr>
                <w:b/>
                <w:color w:val="000000"/>
                <w:sz w:val="20"/>
                <w:szCs w:val="20"/>
              </w:rPr>
              <w:t>Study name, Location</w:t>
            </w:r>
          </w:p>
        </w:tc>
        <w:tc>
          <w:tcPr>
            <w:tcW w:w="823" w:type="dxa"/>
            <w:tcBorders>
              <w:top w:val="single" w:sz="6" w:space="0" w:color="AEAEAE"/>
              <w:left w:val="single" w:sz="6" w:space="0" w:color="AEAEAE"/>
              <w:bottom w:val="single" w:sz="6" w:space="0" w:color="AEAEAE"/>
              <w:right w:val="single" w:sz="6" w:space="0" w:color="AEAEAE"/>
            </w:tcBorders>
            <w:shd w:val="clear" w:color="auto" w:fill="D9D9D9"/>
          </w:tcPr>
          <w:p w14:paraId="395700DD" w14:textId="77777777" w:rsidR="002D58E4" w:rsidRDefault="00F721D4">
            <w:pP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59C8FFB1" w14:textId="77777777" w:rsidR="002D58E4" w:rsidRDefault="00F721D4">
            <w:pP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0F06083D" w14:textId="77777777" w:rsidR="002D58E4" w:rsidRDefault="00F721D4">
            <w:pPr>
              <w:rPr>
                <w:b/>
                <w:color w:val="000000"/>
                <w:sz w:val="20"/>
                <w:szCs w:val="20"/>
              </w:rPr>
            </w:pPr>
            <w:r>
              <w:rPr>
                <w:b/>
                <w:color w:val="000000"/>
                <w:sz w:val="20"/>
                <w:szCs w:val="20"/>
              </w:rPr>
              <w:t>Lyme Disease Diagnosis method</w:t>
            </w:r>
          </w:p>
        </w:tc>
        <w:tc>
          <w:tcPr>
            <w:tcW w:w="2552"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576C4F4" w14:textId="77777777" w:rsidR="002D58E4" w:rsidRDefault="00F721D4">
            <w:pPr>
              <w:rPr>
                <w:sz w:val="20"/>
                <w:szCs w:val="20"/>
              </w:rPr>
            </w:pPr>
            <w:r>
              <w:rPr>
                <w:b/>
                <w:color w:val="000000"/>
                <w:sz w:val="20"/>
                <w:szCs w:val="20"/>
              </w:rPr>
              <w:t>Population characteristics and Observed Psychiatric illnesses</w:t>
            </w:r>
          </w:p>
        </w:tc>
        <w:tc>
          <w:tcPr>
            <w:tcW w:w="2835"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686EB8B4" w14:textId="77777777" w:rsidR="002D58E4" w:rsidRDefault="00F721D4">
            <w:pPr>
              <w:rPr>
                <w:sz w:val="20"/>
                <w:szCs w:val="20"/>
              </w:rPr>
            </w:pPr>
            <w:r>
              <w:rPr>
                <w:b/>
                <w:color w:val="000000"/>
                <w:sz w:val="20"/>
                <w:szCs w:val="20"/>
              </w:rPr>
              <w:t xml:space="preserve">Prevalence of Lyme in Patients with Illness </w:t>
            </w:r>
            <w:r>
              <w:rPr>
                <w:b/>
                <w:i/>
                <w:color w:val="000000"/>
                <w:sz w:val="20"/>
                <w:szCs w:val="20"/>
                <w:u w:val="single"/>
              </w:rPr>
              <w:t>or</w:t>
            </w:r>
            <w:r>
              <w:rPr>
                <w:b/>
                <w:i/>
                <w:color w:val="000000"/>
                <w:sz w:val="20"/>
                <w:szCs w:val="20"/>
              </w:rPr>
              <w:t xml:space="preserve"> Prevalence of Illness in Lyme patients</w:t>
            </w:r>
          </w:p>
        </w:tc>
        <w:tc>
          <w:tcPr>
            <w:tcW w:w="414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AB0B92A" w14:textId="77777777" w:rsidR="002D58E4" w:rsidRDefault="00F721D4">
            <w:pPr>
              <w:jc w:val="center"/>
              <w:rPr>
                <w:sz w:val="20"/>
                <w:szCs w:val="20"/>
              </w:rPr>
            </w:pPr>
            <w:r>
              <w:rPr>
                <w:b/>
                <w:color w:val="000000"/>
                <w:sz w:val="20"/>
                <w:szCs w:val="20"/>
              </w:rPr>
              <w:t>Study Conclusions</w:t>
            </w:r>
          </w:p>
        </w:tc>
      </w:tr>
      <w:tr w:rsidR="002D58E4" w14:paraId="3CBE55CB" w14:textId="77777777">
        <w:trPr>
          <w:gridAfter w:val="1"/>
          <w:wAfter w:w="11" w:type="dxa"/>
          <w:trHeight w:val="190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0237CDD" w14:textId="77777777" w:rsidR="002D58E4" w:rsidRDefault="00F721D4">
            <w:pPr>
              <w:rPr>
                <w:sz w:val="20"/>
                <w:szCs w:val="20"/>
              </w:rPr>
            </w:pPr>
            <w:r>
              <w:rPr>
                <w:sz w:val="20"/>
                <w:szCs w:val="20"/>
              </w:rPr>
              <w:t>Halperin, 1989</w:t>
            </w:r>
          </w:p>
          <w:p w14:paraId="0C79F178" w14:textId="77777777" w:rsidR="002D58E4" w:rsidRDefault="002D58E4">
            <w:pPr>
              <w:rPr>
                <w:sz w:val="20"/>
                <w:szCs w:val="20"/>
              </w:rPr>
            </w:pPr>
          </w:p>
          <w:p w14:paraId="3D315180" w14:textId="77777777" w:rsidR="002D58E4" w:rsidRDefault="002D58E4">
            <w:pPr>
              <w:rPr>
                <w:sz w:val="20"/>
                <w:szCs w:val="20"/>
              </w:rPr>
            </w:pPr>
          </w:p>
          <w:p w14:paraId="28106B3A" w14:textId="77777777" w:rsidR="002D58E4" w:rsidRDefault="00F721D4">
            <w:pPr>
              <w:rPr>
                <w:sz w:val="20"/>
                <w:szCs w:val="20"/>
              </w:rPr>
            </w:pPr>
            <w:r>
              <w:rPr>
                <w:sz w:val="20"/>
                <w:szCs w:val="20"/>
              </w:rPr>
              <w:t>Stony Brook, NY</w:t>
            </w:r>
          </w:p>
        </w:tc>
        <w:tc>
          <w:tcPr>
            <w:tcW w:w="823" w:type="dxa"/>
            <w:tcBorders>
              <w:top w:val="single" w:sz="6" w:space="0" w:color="AEAEAE"/>
              <w:left w:val="single" w:sz="6" w:space="0" w:color="AEAEAE"/>
              <w:bottom w:val="single" w:sz="6" w:space="0" w:color="AEAEAE"/>
              <w:right w:val="single" w:sz="6" w:space="0" w:color="AEAEAE"/>
            </w:tcBorders>
            <w:vAlign w:val="center"/>
          </w:tcPr>
          <w:p w14:paraId="18EE4DBD"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092911F2" w14:textId="77777777" w:rsidR="002D58E4" w:rsidRDefault="00F721D4">
            <w:pPr>
              <w:jc w:val="center"/>
              <w:rPr>
                <w:sz w:val="20"/>
                <w:szCs w:val="20"/>
              </w:rPr>
            </w:pPr>
            <w:r>
              <w:rPr>
                <w:sz w:val="20"/>
                <w:szCs w:val="20"/>
              </w:rPr>
              <w:t>5</w:t>
            </w:r>
          </w:p>
        </w:tc>
        <w:tc>
          <w:tcPr>
            <w:tcW w:w="2630" w:type="dxa"/>
            <w:tcBorders>
              <w:top w:val="single" w:sz="6" w:space="0" w:color="AEAEAE"/>
              <w:left w:val="single" w:sz="6" w:space="0" w:color="AEAEAE"/>
              <w:bottom w:val="single" w:sz="6" w:space="0" w:color="AEAEAE"/>
              <w:right w:val="single" w:sz="6" w:space="0" w:color="AEAEAE"/>
            </w:tcBorders>
            <w:vAlign w:val="center"/>
          </w:tcPr>
          <w:p w14:paraId="07A232EE" w14:textId="77777777" w:rsidR="002D58E4" w:rsidRDefault="00F721D4">
            <w:pPr>
              <w:rPr>
                <w:sz w:val="20"/>
                <w:szCs w:val="20"/>
              </w:rPr>
            </w:pPr>
            <w:r>
              <w:rPr>
                <w:sz w:val="20"/>
                <w:szCs w:val="20"/>
              </w:rPr>
              <w:t xml:space="preserve">Diagnosis was based on 1) history of well-documented erythema migrans or evidence of immunoreactivity against </w:t>
            </w:r>
            <w:r>
              <w:rPr>
                <w:i/>
                <w:sz w:val="20"/>
                <w:szCs w:val="20"/>
              </w:rPr>
              <w:t>B. burgdorferi</w:t>
            </w:r>
            <w:r>
              <w:rPr>
                <w:sz w:val="20"/>
                <w:szCs w:val="20"/>
              </w:rPr>
              <w:t>, using either (a) a specific ELISA or (b) a specific lymphocyte proliferation assay; and (2) prominent nervous system abnormalities</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48888E8" w14:textId="77777777" w:rsidR="002D58E4" w:rsidRDefault="00F721D4">
            <w:pPr>
              <w:rPr>
                <w:sz w:val="20"/>
                <w:szCs w:val="20"/>
              </w:rPr>
            </w:pPr>
            <w:r>
              <w:rPr>
                <w:sz w:val="20"/>
                <w:szCs w:val="20"/>
              </w:rPr>
              <w:t xml:space="preserve">85 patients with serological evidence of </w:t>
            </w:r>
            <w:r>
              <w:rPr>
                <w:i/>
                <w:sz w:val="20"/>
                <w:szCs w:val="20"/>
              </w:rPr>
              <w:t xml:space="preserve">B. burgdorferi </w:t>
            </w:r>
            <w:r>
              <w:rPr>
                <w:sz w:val="20"/>
                <w:szCs w:val="20"/>
              </w:rPr>
              <w:t xml:space="preserve">infection presenting with central nervous system manifestations (encephalopathy [41], neuropathy [27], meningitis [2], multiple sclerosis (MS) [6], and psychiatric disorders [3]). </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4F9322E" w14:textId="77777777" w:rsidR="002D58E4" w:rsidRDefault="00F721D4">
            <w:pPr>
              <w:rPr>
                <w:sz w:val="20"/>
                <w:szCs w:val="20"/>
              </w:rPr>
            </w:pPr>
            <w:r>
              <w:rPr>
                <w:sz w:val="20"/>
                <w:szCs w:val="20"/>
              </w:rPr>
              <w:t>3.5% (3 of 85) patients with Lyme presented with psychiatric disorders.</w:t>
            </w:r>
          </w:p>
        </w:tc>
        <w:tc>
          <w:tcPr>
            <w:tcW w:w="41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706D8F7" w14:textId="77777777" w:rsidR="002D58E4" w:rsidRDefault="00F721D4">
            <w:pPr>
              <w:rPr>
                <w:sz w:val="20"/>
                <w:szCs w:val="20"/>
              </w:rPr>
            </w:pPr>
            <w:r>
              <w:rPr>
                <w:sz w:val="20"/>
                <w:szCs w:val="20"/>
              </w:rPr>
              <w:t xml:space="preserve">Patients presenting with psychiatric disorders, as well as patients with MS, lacked evidence of B. burgdorferi infection when cerebrospinal fluid antibody concentration was analyzed. </w:t>
            </w:r>
          </w:p>
        </w:tc>
      </w:tr>
      <w:tr w:rsidR="002D58E4" w14:paraId="2EF6541F" w14:textId="77777777">
        <w:trPr>
          <w:gridAfter w:val="1"/>
          <w:wAfter w:w="11" w:type="dxa"/>
          <w:trHeight w:val="190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CEE3352" w14:textId="77777777" w:rsidR="002D58E4" w:rsidRDefault="00F721D4">
            <w:pPr>
              <w:rPr>
                <w:sz w:val="20"/>
                <w:szCs w:val="20"/>
              </w:rPr>
            </w:pPr>
            <w:r>
              <w:rPr>
                <w:sz w:val="20"/>
                <w:szCs w:val="20"/>
              </w:rPr>
              <w:t>Nadelman, 1997</w:t>
            </w:r>
          </w:p>
          <w:p w14:paraId="0933C42F" w14:textId="77777777" w:rsidR="002D58E4" w:rsidRDefault="002D58E4">
            <w:pPr>
              <w:rPr>
                <w:sz w:val="20"/>
                <w:szCs w:val="20"/>
              </w:rPr>
            </w:pPr>
          </w:p>
          <w:p w14:paraId="21F9E810" w14:textId="77777777" w:rsidR="002D58E4" w:rsidRDefault="00F721D4">
            <w:pPr>
              <w:rPr>
                <w:sz w:val="20"/>
                <w:szCs w:val="20"/>
              </w:rPr>
            </w:pPr>
            <w:r>
              <w:rPr>
                <w:sz w:val="20"/>
                <w:szCs w:val="20"/>
              </w:rPr>
              <w:t>Westchester County, NY</w:t>
            </w:r>
          </w:p>
        </w:tc>
        <w:tc>
          <w:tcPr>
            <w:tcW w:w="823" w:type="dxa"/>
            <w:tcBorders>
              <w:top w:val="single" w:sz="6" w:space="0" w:color="AEAEAE"/>
              <w:left w:val="single" w:sz="6" w:space="0" w:color="AEAEAE"/>
              <w:bottom w:val="single" w:sz="6" w:space="0" w:color="AEAEAE"/>
              <w:right w:val="single" w:sz="6" w:space="0" w:color="AEAEAE"/>
            </w:tcBorders>
            <w:vAlign w:val="center"/>
          </w:tcPr>
          <w:p w14:paraId="0B486F01"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74D72DE3" w14:textId="77777777" w:rsidR="002D58E4" w:rsidRDefault="00F721D4">
            <w:pPr>
              <w:jc w:val="center"/>
              <w:rPr>
                <w:sz w:val="20"/>
                <w:szCs w:val="20"/>
              </w:rPr>
            </w:pPr>
            <w:r>
              <w:rPr>
                <w:sz w:val="20"/>
                <w:szCs w:val="20"/>
              </w:rPr>
              <w:t>4</w:t>
            </w:r>
          </w:p>
        </w:tc>
        <w:tc>
          <w:tcPr>
            <w:tcW w:w="2630" w:type="dxa"/>
            <w:tcBorders>
              <w:top w:val="single" w:sz="6" w:space="0" w:color="AEAEAE"/>
              <w:left w:val="single" w:sz="6" w:space="0" w:color="AEAEAE"/>
              <w:bottom w:val="single" w:sz="6" w:space="0" w:color="AEAEAE"/>
              <w:right w:val="single" w:sz="6" w:space="0" w:color="AEAEAE"/>
            </w:tcBorders>
            <w:vAlign w:val="center"/>
          </w:tcPr>
          <w:p w14:paraId="7E0843F7" w14:textId="77777777" w:rsidR="002D58E4" w:rsidRDefault="00F721D4">
            <w:pPr>
              <w:rPr>
                <w:sz w:val="20"/>
                <w:szCs w:val="20"/>
              </w:rPr>
            </w:pPr>
            <w:r>
              <w:rPr>
                <w:sz w:val="20"/>
                <w:szCs w:val="20"/>
              </w:rPr>
              <w:t>Blood was tested by Fluorescent immunoassay alone (90%) or Fluorescent immunoassay plus ELISA (10%). Positive samples were confirmed by Western Blot.</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244727" w14:textId="77777777" w:rsidR="002D58E4" w:rsidRDefault="00F721D4">
            <w:pPr>
              <w:rPr>
                <w:sz w:val="20"/>
                <w:szCs w:val="20"/>
              </w:rPr>
            </w:pPr>
            <w:r>
              <w:rPr>
                <w:sz w:val="20"/>
                <w:szCs w:val="20"/>
              </w:rPr>
              <w:t xml:space="preserve">517 adults admitted to an acute psychiatric care facility. </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0CA76B6" w14:textId="77777777" w:rsidR="002D58E4" w:rsidRDefault="00F721D4">
            <w:pPr>
              <w:rPr>
                <w:sz w:val="20"/>
                <w:szCs w:val="20"/>
              </w:rPr>
            </w:pPr>
            <w:r>
              <w:rPr>
                <w:sz w:val="20"/>
                <w:szCs w:val="20"/>
              </w:rPr>
              <w:t>0.2%* (1 of 517) were seropositive by ELISA.</w:t>
            </w:r>
          </w:p>
          <w:p w14:paraId="22391244" w14:textId="77777777" w:rsidR="002D58E4" w:rsidRDefault="002D58E4">
            <w:pPr>
              <w:rPr>
                <w:sz w:val="20"/>
                <w:szCs w:val="20"/>
              </w:rPr>
            </w:pPr>
          </w:p>
          <w:p w14:paraId="027E6EC8" w14:textId="77777777" w:rsidR="002D58E4" w:rsidRDefault="00F721D4">
            <w:pPr>
              <w:rPr>
                <w:i/>
                <w:sz w:val="20"/>
                <w:szCs w:val="20"/>
              </w:rPr>
            </w:pPr>
            <w:r>
              <w:rPr>
                <w:i/>
                <w:sz w:val="20"/>
                <w:szCs w:val="20"/>
              </w:rPr>
              <w:t>*This patient had a non-reactive Western Blot</w:t>
            </w:r>
          </w:p>
        </w:tc>
        <w:tc>
          <w:tcPr>
            <w:tcW w:w="414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76CAB59" w14:textId="77777777" w:rsidR="002D58E4" w:rsidRDefault="00F721D4">
            <w:pPr>
              <w:rPr>
                <w:sz w:val="20"/>
                <w:szCs w:val="20"/>
              </w:rPr>
            </w:pPr>
            <w:r>
              <w:rPr>
                <w:sz w:val="20"/>
                <w:szCs w:val="20"/>
              </w:rPr>
              <w:t xml:space="preserve">The authors concluded that routine serologic testing was not warranted in psychiatric inpatients, regardless of residence in an endemic area. </w:t>
            </w:r>
          </w:p>
        </w:tc>
      </w:tr>
      <w:tr w:rsidR="002D58E4" w14:paraId="4B0991EC" w14:textId="77777777">
        <w:trPr>
          <w:gridAfter w:val="1"/>
          <w:wAfter w:w="11" w:type="dxa"/>
          <w:trHeight w:val="9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B05EB20" w14:textId="77777777" w:rsidR="002D58E4" w:rsidRDefault="00F721D4">
            <w:pPr>
              <w:rPr>
                <w:sz w:val="20"/>
                <w:szCs w:val="20"/>
              </w:rPr>
            </w:pPr>
            <w:r>
              <w:rPr>
                <w:sz w:val="20"/>
                <w:szCs w:val="20"/>
              </w:rPr>
              <w:t>Hájek, 2002/2006*</w:t>
            </w:r>
          </w:p>
          <w:p w14:paraId="6D19F780" w14:textId="77777777" w:rsidR="002D58E4" w:rsidRDefault="002D58E4">
            <w:pPr>
              <w:rPr>
                <w:sz w:val="20"/>
                <w:szCs w:val="20"/>
              </w:rPr>
            </w:pPr>
          </w:p>
          <w:p w14:paraId="1838D147" w14:textId="77777777" w:rsidR="002D58E4" w:rsidRDefault="00F721D4">
            <w:pPr>
              <w:rPr>
                <w:sz w:val="20"/>
                <w:szCs w:val="20"/>
              </w:rPr>
            </w:pPr>
            <w:r>
              <w:rPr>
                <w:sz w:val="20"/>
                <w:szCs w:val="20"/>
              </w:rPr>
              <w:t>Prague, Czech Republic</w:t>
            </w:r>
          </w:p>
        </w:tc>
        <w:tc>
          <w:tcPr>
            <w:tcW w:w="823" w:type="dxa"/>
            <w:tcBorders>
              <w:top w:val="single" w:sz="6" w:space="0" w:color="AEAEAE"/>
              <w:left w:val="single" w:sz="6" w:space="0" w:color="AEAEAE"/>
              <w:bottom w:val="single" w:sz="6" w:space="0" w:color="AEAEAE"/>
              <w:right w:val="single" w:sz="6" w:space="0" w:color="AEAEAE"/>
            </w:tcBorders>
            <w:vAlign w:val="center"/>
          </w:tcPr>
          <w:p w14:paraId="56C15A4C"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2B1F6B7" w14:textId="77777777" w:rsidR="002D58E4" w:rsidRDefault="00F721D4">
            <w:pPr>
              <w:jc w:val="center"/>
              <w:rPr>
                <w:sz w:val="20"/>
                <w:szCs w:val="20"/>
              </w:rPr>
            </w:pPr>
            <w:r>
              <w:rPr>
                <w:sz w:val="20"/>
                <w:szCs w:val="20"/>
              </w:rPr>
              <w:t>7</w:t>
            </w:r>
          </w:p>
        </w:tc>
        <w:tc>
          <w:tcPr>
            <w:tcW w:w="2630" w:type="dxa"/>
            <w:tcBorders>
              <w:top w:val="single" w:sz="6" w:space="0" w:color="AEAEAE"/>
              <w:left w:val="single" w:sz="6" w:space="0" w:color="AEAEAE"/>
              <w:bottom w:val="single" w:sz="6" w:space="0" w:color="AEAEAE"/>
              <w:right w:val="single" w:sz="6" w:space="0" w:color="AEAEAE"/>
            </w:tcBorders>
            <w:vAlign w:val="center"/>
          </w:tcPr>
          <w:p w14:paraId="1052B3E8" w14:textId="77777777" w:rsidR="002D58E4" w:rsidRDefault="00F721D4">
            <w:pPr>
              <w:rPr>
                <w:sz w:val="20"/>
                <w:szCs w:val="20"/>
              </w:rPr>
            </w:pPr>
            <w:r>
              <w:rPr>
                <w:sz w:val="20"/>
                <w:szCs w:val="20"/>
              </w:rPr>
              <w:t xml:space="preserve">ELISA for </w:t>
            </w:r>
            <w:r>
              <w:rPr>
                <w:i/>
                <w:sz w:val="20"/>
                <w:szCs w:val="20"/>
              </w:rPr>
              <w:t>B. afzelii</w:t>
            </w:r>
            <w:r>
              <w:rPr>
                <w:sz w:val="20"/>
                <w:szCs w:val="20"/>
              </w:rPr>
              <w:t xml:space="preserve"> was applied. Serum IgG &gt;900 and serum IgM values &gt;1000 were defined as positive. Circulating immune complexes were analyzed by ELISA for anti-</w:t>
            </w:r>
            <w:r>
              <w:rPr>
                <w:i/>
                <w:sz w:val="20"/>
                <w:szCs w:val="20"/>
              </w:rPr>
              <w:t>Borrelia</w:t>
            </w:r>
            <w:r>
              <w:rPr>
                <w:sz w:val="20"/>
                <w:szCs w:val="20"/>
              </w:rPr>
              <w:t xml:space="preserve"> antibody with patient’s serum samples and with seven negative and eight positive control samples. Patients were considered positive if they fit the parameters of at least one of these tests. Positive results were confirmed by Western Blot. </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FCC948F" w14:textId="77777777" w:rsidR="002D58E4" w:rsidRDefault="00F721D4">
            <w:pPr>
              <w:rPr>
                <w:sz w:val="20"/>
                <w:szCs w:val="20"/>
              </w:rPr>
            </w:pPr>
            <w:r>
              <w:rPr>
                <w:sz w:val="20"/>
                <w:szCs w:val="20"/>
              </w:rPr>
              <w:t>926 psychiatric patients admitted to Prague Psychiatric hospital. 28% of patients had schizophrenia or psychotic disorders; 31% had anxiety, somatoform, dissociative, and adjustment disorders; 29% had mood disorders.*</w:t>
            </w:r>
          </w:p>
          <w:p w14:paraId="766C2483" w14:textId="77777777" w:rsidR="002D58E4" w:rsidRDefault="002D58E4">
            <w:pPr>
              <w:rPr>
                <w:sz w:val="20"/>
                <w:szCs w:val="20"/>
              </w:rPr>
            </w:pPr>
          </w:p>
          <w:p w14:paraId="2DC1AB61" w14:textId="77777777" w:rsidR="002D58E4" w:rsidRDefault="00F721D4">
            <w:pPr>
              <w:rPr>
                <w:sz w:val="20"/>
                <w:szCs w:val="20"/>
              </w:rPr>
            </w:pPr>
            <w:r>
              <w:rPr>
                <w:sz w:val="20"/>
                <w:szCs w:val="20"/>
              </w:rPr>
              <w:t xml:space="preserve">884 healthy controls were included.  </w:t>
            </w:r>
          </w:p>
          <w:p w14:paraId="79D87064" w14:textId="77777777" w:rsidR="002D58E4" w:rsidRDefault="002D58E4">
            <w:pPr>
              <w:rPr>
                <w:sz w:val="20"/>
                <w:szCs w:val="20"/>
              </w:rPr>
            </w:pPr>
          </w:p>
          <w:p w14:paraId="7F5CA974" w14:textId="77777777" w:rsidR="002D58E4" w:rsidRDefault="00F721D4">
            <w:pPr>
              <w:rPr>
                <w:i/>
                <w:sz w:val="20"/>
                <w:szCs w:val="20"/>
              </w:rPr>
            </w:pPr>
            <w:r>
              <w:rPr>
                <w:i/>
                <w:sz w:val="20"/>
                <w:szCs w:val="20"/>
              </w:rPr>
              <w:t>*Psychiatric symptom profiles found in Hájek, 2002.</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0DDD488" w14:textId="77777777" w:rsidR="002D58E4" w:rsidRDefault="00F721D4">
            <w:pPr>
              <w:rPr>
                <w:sz w:val="20"/>
                <w:szCs w:val="20"/>
              </w:rPr>
            </w:pPr>
            <w:r>
              <w:rPr>
                <w:sz w:val="20"/>
                <w:szCs w:val="20"/>
              </w:rPr>
              <w:t>Seropositive psychiatric patients: 33% (166 out of 499)*</w:t>
            </w:r>
          </w:p>
          <w:p w14:paraId="792F35F3" w14:textId="77777777" w:rsidR="002D58E4" w:rsidRDefault="002D58E4">
            <w:pPr>
              <w:rPr>
                <w:sz w:val="20"/>
                <w:szCs w:val="20"/>
              </w:rPr>
            </w:pPr>
          </w:p>
          <w:p w14:paraId="2335B599" w14:textId="77777777" w:rsidR="002D58E4" w:rsidRDefault="00F721D4">
            <w:pPr>
              <w:rPr>
                <w:sz w:val="20"/>
                <w:szCs w:val="20"/>
              </w:rPr>
            </w:pPr>
            <w:r>
              <w:rPr>
                <w:sz w:val="20"/>
                <w:szCs w:val="20"/>
              </w:rPr>
              <w:t xml:space="preserve">Seropositive healthy controls: 19% (94 out of 499)* </w:t>
            </w:r>
          </w:p>
          <w:p w14:paraId="5E846E0B" w14:textId="77777777" w:rsidR="002D58E4" w:rsidRDefault="002D58E4">
            <w:pPr>
              <w:rPr>
                <w:sz w:val="20"/>
                <w:szCs w:val="20"/>
              </w:rPr>
            </w:pPr>
          </w:p>
          <w:p w14:paraId="197E966E" w14:textId="77777777" w:rsidR="002D58E4" w:rsidRDefault="00F721D4">
            <w:pPr>
              <w:rPr>
                <w:sz w:val="20"/>
                <w:szCs w:val="20"/>
              </w:rPr>
            </w:pPr>
            <w:r>
              <w:rPr>
                <w:sz w:val="20"/>
                <w:szCs w:val="20"/>
              </w:rPr>
              <w:t>*</w:t>
            </w:r>
            <w:r>
              <w:rPr>
                <w:i/>
                <w:sz w:val="20"/>
                <w:szCs w:val="20"/>
              </w:rPr>
              <w:t>Hájek, 2002.</w:t>
            </w:r>
          </w:p>
        </w:tc>
        <w:tc>
          <w:tcPr>
            <w:tcW w:w="41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85DCC29" w14:textId="77777777" w:rsidR="002D58E4" w:rsidRDefault="00F721D4">
            <w:pPr>
              <w:rPr>
                <w:sz w:val="20"/>
                <w:szCs w:val="20"/>
              </w:rPr>
            </w:pPr>
            <w:r>
              <w:rPr>
                <w:sz w:val="20"/>
                <w:szCs w:val="20"/>
              </w:rPr>
              <w:t xml:space="preserve">Psychiatric patients exhibited serological signs of past </w:t>
            </w:r>
            <w:r>
              <w:rPr>
                <w:i/>
                <w:sz w:val="20"/>
                <w:szCs w:val="20"/>
              </w:rPr>
              <w:t>B. burgdorferi</w:t>
            </w:r>
            <w:r>
              <w:rPr>
                <w:sz w:val="20"/>
                <w:szCs w:val="20"/>
              </w:rPr>
              <w:t xml:space="preserve"> infection at a rate which was 1.7 times higher than healthy controls. This rate was unusually high compared to prior research, but the authors explained that the rate may be due to differences in presentation in European species of Borrelia.</w:t>
            </w:r>
          </w:p>
          <w:p w14:paraId="316DFE56" w14:textId="77777777" w:rsidR="002D58E4" w:rsidRDefault="002D58E4">
            <w:pPr>
              <w:rPr>
                <w:sz w:val="20"/>
                <w:szCs w:val="20"/>
              </w:rPr>
            </w:pPr>
          </w:p>
          <w:p w14:paraId="63C300FB" w14:textId="77777777" w:rsidR="002D58E4" w:rsidRDefault="00F721D4">
            <w:pPr>
              <w:rPr>
                <w:sz w:val="20"/>
                <w:szCs w:val="20"/>
              </w:rPr>
            </w:pPr>
            <w:r>
              <w:rPr>
                <w:sz w:val="20"/>
                <w:szCs w:val="20"/>
              </w:rPr>
              <w:t xml:space="preserve">In a 2006 follow-up study, the authors found that seropositive status did not differ widely based on psychiatric diagnostic category. </w:t>
            </w:r>
          </w:p>
        </w:tc>
      </w:tr>
      <w:tr w:rsidR="002D58E4" w14:paraId="64A712FC" w14:textId="77777777">
        <w:trPr>
          <w:gridAfter w:val="1"/>
          <w:wAfter w:w="11" w:type="dxa"/>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92FE46C" w14:textId="77777777" w:rsidR="002D58E4" w:rsidRDefault="00F721D4">
            <w:pPr>
              <w:rPr>
                <w:sz w:val="20"/>
                <w:szCs w:val="20"/>
              </w:rPr>
            </w:pPr>
            <w:r>
              <w:rPr>
                <w:sz w:val="20"/>
                <w:szCs w:val="20"/>
              </w:rPr>
              <w:t>Greenberg, 2016</w:t>
            </w:r>
          </w:p>
          <w:p w14:paraId="4D5AED55" w14:textId="77777777" w:rsidR="002D58E4" w:rsidRDefault="002D58E4">
            <w:pPr>
              <w:rPr>
                <w:sz w:val="20"/>
                <w:szCs w:val="20"/>
              </w:rPr>
            </w:pPr>
          </w:p>
          <w:p w14:paraId="344FB783" w14:textId="77777777" w:rsidR="002D58E4" w:rsidRDefault="00F721D4">
            <w:pPr>
              <w:rPr>
                <w:sz w:val="20"/>
                <w:szCs w:val="20"/>
              </w:rPr>
            </w:pPr>
            <w:r>
              <w:rPr>
                <w:sz w:val="20"/>
                <w:szCs w:val="20"/>
              </w:rPr>
              <w:t>Summit, NJ</w:t>
            </w:r>
          </w:p>
        </w:tc>
        <w:tc>
          <w:tcPr>
            <w:tcW w:w="823" w:type="dxa"/>
            <w:tcBorders>
              <w:top w:val="single" w:sz="6" w:space="0" w:color="AEAEAE"/>
              <w:left w:val="single" w:sz="6" w:space="0" w:color="AEAEAE"/>
              <w:bottom w:val="single" w:sz="6" w:space="0" w:color="AEAEAE"/>
              <w:right w:val="single" w:sz="6" w:space="0" w:color="AEAEAE"/>
            </w:tcBorders>
            <w:vAlign w:val="center"/>
          </w:tcPr>
          <w:p w14:paraId="713FEA10" w14:textId="77777777" w:rsidR="002D58E4" w:rsidRDefault="00F721D4">
            <w:pPr>
              <w:rPr>
                <w:sz w:val="20"/>
                <w:szCs w:val="20"/>
              </w:rPr>
            </w:pPr>
            <w:r>
              <w:rPr>
                <w:sz w:val="20"/>
                <w:szCs w:val="20"/>
              </w:rPr>
              <w:t>Case series (27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3C0360F9" w14:textId="77777777" w:rsidR="002D58E4" w:rsidRDefault="00F721D4">
            <w:pPr>
              <w:jc w:val="center"/>
              <w:rPr>
                <w:sz w:val="20"/>
                <w:szCs w:val="20"/>
              </w:rPr>
            </w:pPr>
            <w:r>
              <w:rPr>
                <w:sz w:val="20"/>
                <w:szCs w:val="20"/>
              </w:rPr>
              <w:t>NA</w:t>
            </w:r>
          </w:p>
        </w:tc>
        <w:tc>
          <w:tcPr>
            <w:tcW w:w="2630" w:type="dxa"/>
            <w:tcBorders>
              <w:top w:val="single" w:sz="6" w:space="0" w:color="AEAEAE"/>
              <w:left w:val="single" w:sz="6" w:space="0" w:color="AEAEAE"/>
              <w:bottom w:val="single" w:sz="6" w:space="0" w:color="AEAEAE"/>
              <w:right w:val="single" w:sz="6" w:space="0" w:color="AEAEAE"/>
            </w:tcBorders>
            <w:vAlign w:val="center"/>
          </w:tcPr>
          <w:p w14:paraId="68ABFF5B" w14:textId="77777777" w:rsidR="002D58E4" w:rsidRDefault="00F721D4">
            <w:pPr>
              <w:rPr>
                <w:sz w:val="20"/>
                <w:szCs w:val="20"/>
              </w:rPr>
            </w:pPr>
            <w:r>
              <w:rPr>
                <w:sz w:val="20"/>
                <w:szCs w:val="20"/>
              </w:rPr>
              <w:t>Serum samples were tested by ELISA and Western Blot.</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9702A2A" w14:textId="77777777" w:rsidR="002D58E4" w:rsidRDefault="00F721D4">
            <w:pPr>
              <w:rPr>
                <w:sz w:val="20"/>
                <w:szCs w:val="20"/>
              </w:rPr>
            </w:pPr>
            <w:r>
              <w:rPr>
                <w:sz w:val="20"/>
                <w:szCs w:val="20"/>
              </w:rPr>
              <w:t xml:space="preserve">27 children with bipolar disorder (mean age at diagnosis 7 years; range 5-12). </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F0E5A82" w14:textId="77777777" w:rsidR="002D58E4" w:rsidRDefault="00F721D4">
            <w:pPr>
              <w:rPr>
                <w:sz w:val="20"/>
                <w:szCs w:val="20"/>
              </w:rPr>
            </w:pPr>
            <w:r>
              <w:rPr>
                <w:sz w:val="20"/>
                <w:szCs w:val="20"/>
              </w:rPr>
              <w:t xml:space="preserve">22% (6 of 27) of children presenting with Bipolar disorder were serologically diagnosed with Lyme Disease. </w:t>
            </w:r>
          </w:p>
        </w:tc>
        <w:tc>
          <w:tcPr>
            <w:tcW w:w="41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4B3117A" w14:textId="77777777" w:rsidR="002D58E4" w:rsidRDefault="00F721D4">
            <w:pPr>
              <w:rPr>
                <w:sz w:val="20"/>
                <w:szCs w:val="20"/>
              </w:rPr>
            </w:pPr>
            <w:r>
              <w:rPr>
                <w:sz w:val="20"/>
                <w:szCs w:val="20"/>
              </w:rPr>
              <w:t xml:space="preserve">89% of the children observed (24 of 27) had serological evidence of one or more tick-borne pathogen. Of these patients, 83% (20 of 24) had a confirmed diagnosis of a tick-borne infection. </w:t>
            </w:r>
          </w:p>
          <w:p w14:paraId="14B276E0" w14:textId="77777777" w:rsidR="002D58E4" w:rsidRDefault="002D58E4">
            <w:pPr>
              <w:rPr>
                <w:sz w:val="20"/>
                <w:szCs w:val="20"/>
              </w:rPr>
            </w:pPr>
          </w:p>
          <w:p w14:paraId="1D87251A" w14:textId="77777777" w:rsidR="002D58E4" w:rsidRDefault="00F721D4">
            <w:pPr>
              <w:rPr>
                <w:sz w:val="20"/>
                <w:szCs w:val="20"/>
              </w:rPr>
            </w:pPr>
            <w:r>
              <w:rPr>
                <w:sz w:val="20"/>
                <w:szCs w:val="20"/>
              </w:rPr>
              <w:t xml:space="preserve">The authors noted that the high rate of tick-borne infections in this cohort was provocative but were unable to make a conclusive statement about the relationship of tick-borne disease to pediatric bipolar disorder. They note that if further research showed similarly high rates of tick-borne infection, or of Lyme Disease in particular, in pediatric bipolar patient populations, serologic testing may be suggested in patients with pediatric mood disorders. </w:t>
            </w:r>
          </w:p>
        </w:tc>
      </w:tr>
      <w:tr w:rsidR="002D58E4" w14:paraId="69858500" w14:textId="77777777">
        <w:trPr>
          <w:gridAfter w:val="1"/>
          <w:wAfter w:w="11" w:type="dxa"/>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89044C1" w14:textId="77777777" w:rsidR="002D58E4" w:rsidRDefault="00F721D4">
            <w:pPr>
              <w:rPr>
                <w:sz w:val="20"/>
                <w:szCs w:val="20"/>
              </w:rPr>
            </w:pPr>
            <w:r>
              <w:rPr>
                <w:sz w:val="20"/>
                <w:szCs w:val="20"/>
              </w:rPr>
              <w:t>Zomer, et al., 2017</w:t>
            </w:r>
          </w:p>
          <w:p w14:paraId="51AA9FF1" w14:textId="77777777" w:rsidR="002D58E4" w:rsidRDefault="002D58E4">
            <w:pPr>
              <w:rPr>
                <w:sz w:val="20"/>
                <w:szCs w:val="20"/>
              </w:rPr>
            </w:pPr>
          </w:p>
          <w:p w14:paraId="19C6B5E6" w14:textId="77777777" w:rsidR="002D58E4" w:rsidRDefault="002D58E4">
            <w:pPr>
              <w:rPr>
                <w:sz w:val="20"/>
                <w:szCs w:val="20"/>
              </w:rPr>
            </w:pPr>
          </w:p>
          <w:p w14:paraId="773CE7C2" w14:textId="77777777" w:rsidR="002D58E4" w:rsidRDefault="00F721D4">
            <w:pPr>
              <w:rPr>
                <w:sz w:val="20"/>
                <w:szCs w:val="20"/>
              </w:rPr>
            </w:pPr>
            <w:r>
              <w:rPr>
                <w:sz w:val="20"/>
                <w:szCs w:val="20"/>
              </w:rPr>
              <w:t>Apeldoorn, Netherlands</w:t>
            </w:r>
          </w:p>
        </w:tc>
        <w:tc>
          <w:tcPr>
            <w:tcW w:w="823" w:type="dxa"/>
            <w:tcBorders>
              <w:top w:val="single" w:sz="6" w:space="0" w:color="AEAEAE"/>
              <w:left w:val="single" w:sz="6" w:space="0" w:color="AEAEAE"/>
              <w:bottom w:val="single" w:sz="6" w:space="0" w:color="AEAEAE"/>
              <w:right w:val="single" w:sz="6" w:space="0" w:color="AEAEAE"/>
            </w:tcBorders>
            <w:vAlign w:val="center"/>
          </w:tcPr>
          <w:p w14:paraId="7693E7F2" w14:textId="77777777" w:rsidR="002D58E4" w:rsidRDefault="00F721D4">
            <w:pPr>
              <w:rPr>
                <w:sz w:val="20"/>
                <w:szCs w:val="20"/>
              </w:rPr>
            </w:pPr>
            <w:r>
              <w:rPr>
                <w:sz w:val="20"/>
                <w:szCs w:val="20"/>
              </w:rPr>
              <w:t>Retrospective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23363377" w14:textId="77777777" w:rsidR="002D58E4" w:rsidRDefault="00F721D4">
            <w:pPr>
              <w:jc w:val="center"/>
              <w:rPr>
                <w:sz w:val="20"/>
                <w:szCs w:val="20"/>
              </w:rPr>
            </w:pPr>
            <w:r>
              <w:rPr>
                <w:sz w:val="20"/>
                <w:szCs w:val="20"/>
              </w:rPr>
              <w:t>7</w:t>
            </w:r>
          </w:p>
        </w:tc>
        <w:tc>
          <w:tcPr>
            <w:tcW w:w="2630" w:type="dxa"/>
            <w:tcBorders>
              <w:top w:val="single" w:sz="6" w:space="0" w:color="AEAEAE"/>
              <w:left w:val="single" w:sz="6" w:space="0" w:color="AEAEAE"/>
              <w:bottom w:val="single" w:sz="6" w:space="0" w:color="AEAEAE"/>
              <w:right w:val="single" w:sz="6" w:space="0" w:color="AEAEAE"/>
            </w:tcBorders>
            <w:vAlign w:val="center"/>
          </w:tcPr>
          <w:p w14:paraId="71611C24" w14:textId="77777777" w:rsidR="002D58E4" w:rsidRDefault="00F721D4">
            <w:pPr>
              <w:rPr>
                <w:sz w:val="20"/>
                <w:szCs w:val="20"/>
              </w:rPr>
            </w:pPr>
            <w:r>
              <w:rPr>
                <w:sz w:val="20"/>
                <w:szCs w:val="20"/>
              </w:rPr>
              <w:t>Patients were classified based on clinical presentation of Lyme as well as serology results into one of four categories:  (1) no clinical Lyme disease and negative serology; (2) no clinical Lyme disease and positive serology; (3) clinical Lyme disease and negative serology; and (4) clinical Lyme disease and positive serology.</w:t>
            </w:r>
          </w:p>
          <w:p w14:paraId="35818EF5" w14:textId="77777777" w:rsidR="002D58E4" w:rsidRDefault="002D58E4">
            <w:pPr>
              <w:rPr>
                <w:sz w:val="20"/>
                <w:szCs w:val="20"/>
              </w:rPr>
            </w:pPr>
          </w:p>
          <w:p w14:paraId="46562CD6" w14:textId="77777777" w:rsidR="002D58E4" w:rsidRDefault="00F721D4">
            <w:pPr>
              <w:rPr>
                <w:sz w:val="20"/>
                <w:szCs w:val="20"/>
              </w:rPr>
            </w:pPr>
            <w:r>
              <w:rPr>
                <w:sz w:val="20"/>
                <w:szCs w:val="20"/>
              </w:rPr>
              <w:t>Serum samples were tested by IgG ELISA and IgG Immunoblot.</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302F3CB" w14:textId="77777777" w:rsidR="002D58E4" w:rsidRDefault="00F721D4">
            <w:pPr>
              <w:rPr>
                <w:sz w:val="20"/>
                <w:szCs w:val="20"/>
              </w:rPr>
            </w:pPr>
            <w:r>
              <w:rPr>
                <w:sz w:val="20"/>
                <w:szCs w:val="20"/>
              </w:rPr>
              <w:t xml:space="preserve">1,454 patients who were referred to the Lyme Center Apeldoorn (median age 51 years [range 18-87], 51% female). </w:t>
            </w:r>
          </w:p>
          <w:p w14:paraId="534F9BB8" w14:textId="77777777" w:rsidR="002D58E4" w:rsidRDefault="002D58E4">
            <w:pPr>
              <w:rPr>
                <w:sz w:val="20"/>
                <w:szCs w:val="20"/>
              </w:rPr>
            </w:pPr>
          </w:p>
          <w:p w14:paraId="3015CE1E" w14:textId="77777777" w:rsidR="002D58E4" w:rsidRDefault="00F721D4">
            <w:pPr>
              <w:rPr>
                <w:sz w:val="20"/>
                <w:szCs w:val="20"/>
              </w:rPr>
            </w:pPr>
            <w:r>
              <w:rPr>
                <w:sz w:val="20"/>
                <w:szCs w:val="20"/>
              </w:rPr>
              <w:t>Of 1,454 patients, 30.1% (437) had no clinical Lyme disease and negative serology, 17.5% (255) had no clinical Lyme disease and positive serology, 30.0% (436) had clinical Lyme disease with negative serology, and 20.6% (300) had clinical Lyme disease with positive serology.</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F911A6E" w14:textId="77777777" w:rsidR="002D58E4" w:rsidRDefault="00F721D4">
            <w:pPr>
              <w:rPr>
                <w:sz w:val="20"/>
                <w:szCs w:val="20"/>
              </w:rPr>
            </w:pPr>
            <w:r>
              <w:rPr>
                <w:sz w:val="20"/>
                <w:szCs w:val="20"/>
              </w:rPr>
              <w:t>The overall median BDI-II score was 13. The median BDI-II score was 15 for patients with no clinical Lyme disease and negative serology; 11 for patients with no clinical Lyme disease and positive serology; 12 for patients with clinical Lyme disease and negative serology; and 12 for patients with clinical Lyme disease and positive serology.</w:t>
            </w:r>
          </w:p>
        </w:tc>
        <w:tc>
          <w:tcPr>
            <w:tcW w:w="41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CAFDD62" w14:textId="77777777" w:rsidR="002D58E4" w:rsidRDefault="00F721D4">
            <w:pPr>
              <w:rPr>
                <w:sz w:val="20"/>
                <w:szCs w:val="20"/>
              </w:rPr>
            </w:pPr>
            <w:r>
              <w:rPr>
                <w:sz w:val="20"/>
                <w:szCs w:val="20"/>
              </w:rPr>
              <w:t>The prevalence of depressive symptoms was lowest in patients with no clinical Lyme disease and positive serology (15.3%), and highest in patients with no clinical Lyme disease and negative serology (29.3%).</w:t>
            </w:r>
            <w:r>
              <w:t xml:space="preserve"> </w:t>
            </w:r>
            <w:r>
              <w:rPr>
                <w:sz w:val="20"/>
                <w:szCs w:val="20"/>
              </w:rPr>
              <w:t>The adjusted OR for depressive symptoms in patients with clinical Lyme disease and positive serology was 0.71 (95% CI, .50–1.03) compared to patients with no clinical Lyme disease and negative serology.</w:t>
            </w:r>
          </w:p>
          <w:p w14:paraId="51CCAFE6" w14:textId="77777777" w:rsidR="002D58E4" w:rsidRDefault="002D58E4">
            <w:pPr>
              <w:rPr>
                <w:sz w:val="20"/>
                <w:szCs w:val="20"/>
              </w:rPr>
            </w:pPr>
          </w:p>
          <w:p w14:paraId="3484E658" w14:textId="77777777" w:rsidR="002D58E4" w:rsidRDefault="00F721D4">
            <w:pPr>
              <w:rPr>
                <w:sz w:val="20"/>
                <w:szCs w:val="20"/>
              </w:rPr>
            </w:pPr>
            <w:r>
              <w:rPr>
                <w:sz w:val="20"/>
                <w:szCs w:val="20"/>
              </w:rPr>
              <w:t xml:space="preserve">Depressive symptoms were common among patients referred to a teriary Lyme center. However, the prevalence of depressive symptoms was similar among patients with confirmed Lyme disease and patients without Lyme disease. The authors conclude that depressive symptoms can not be used to discriminate for Lyme disease. </w:t>
            </w:r>
          </w:p>
        </w:tc>
      </w:tr>
      <w:tr w:rsidR="002D58E4" w14:paraId="5D54D463" w14:textId="77777777">
        <w:trPr>
          <w:gridAfter w:val="1"/>
          <w:wAfter w:w="11" w:type="dxa"/>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24C3255" w14:textId="77777777" w:rsidR="002D58E4" w:rsidRDefault="00F721D4">
            <w:pPr>
              <w:rPr>
                <w:sz w:val="20"/>
                <w:szCs w:val="20"/>
              </w:rPr>
            </w:pPr>
            <w:r>
              <w:rPr>
                <w:sz w:val="20"/>
                <w:szCs w:val="20"/>
              </w:rPr>
              <w:t>Johnco, et al., 2018</w:t>
            </w:r>
          </w:p>
        </w:tc>
        <w:tc>
          <w:tcPr>
            <w:tcW w:w="823" w:type="dxa"/>
            <w:tcBorders>
              <w:top w:val="single" w:sz="6" w:space="0" w:color="AEAEAE"/>
              <w:left w:val="single" w:sz="6" w:space="0" w:color="AEAEAE"/>
              <w:bottom w:val="single" w:sz="6" w:space="0" w:color="AEAEAE"/>
              <w:right w:val="single" w:sz="6" w:space="0" w:color="AEAEAE"/>
            </w:tcBorders>
            <w:vAlign w:val="center"/>
          </w:tcPr>
          <w:p w14:paraId="0033BED9"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C2D47BF" w14:textId="77777777" w:rsidR="002D58E4" w:rsidRDefault="00F721D4">
            <w:pPr>
              <w:jc w:val="center"/>
              <w:rPr>
                <w:sz w:val="20"/>
                <w:szCs w:val="20"/>
              </w:rPr>
            </w:pPr>
            <w:r>
              <w:rPr>
                <w:sz w:val="20"/>
                <w:szCs w:val="20"/>
              </w:rPr>
              <w:t>5</w:t>
            </w:r>
          </w:p>
        </w:tc>
        <w:tc>
          <w:tcPr>
            <w:tcW w:w="2630" w:type="dxa"/>
            <w:tcBorders>
              <w:top w:val="single" w:sz="6" w:space="0" w:color="AEAEAE"/>
              <w:left w:val="single" w:sz="6" w:space="0" w:color="AEAEAE"/>
              <w:bottom w:val="single" w:sz="6" w:space="0" w:color="AEAEAE"/>
              <w:right w:val="single" w:sz="6" w:space="0" w:color="AEAEAE"/>
            </w:tcBorders>
            <w:vAlign w:val="center"/>
          </w:tcPr>
          <w:p w14:paraId="50265E14" w14:textId="77777777" w:rsidR="002D58E4" w:rsidRDefault="00F721D4">
            <w:pPr>
              <w:rPr>
                <w:sz w:val="20"/>
                <w:szCs w:val="20"/>
              </w:rPr>
            </w:pPr>
            <w:r>
              <w:rPr>
                <w:sz w:val="20"/>
                <w:szCs w:val="20"/>
              </w:rPr>
              <w:t>Lyme disease was required to be confirmed by a physician.</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AF3F882" w14:textId="77777777" w:rsidR="002D58E4" w:rsidRDefault="00F721D4">
            <w:pPr>
              <w:rPr>
                <w:sz w:val="20"/>
                <w:szCs w:val="20"/>
              </w:rPr>
            </w:pPr>
            <w:r>
              <w:rPr>
                <w:sz w:val="20"/>
                <w:szCs w:val="20"/>
              </w:rPr>
              <w:t>147 adults between the ages of 18 and 82 years (mean 44 [SD 13]) who participated in online support groups for individuals with Lyme disease.</w:t>
            </w:r>
          </w:p>
          <w:p w14:paraId="2C918BDD" w14:textId="77777777" w:rsidR="002D58E4" w:rsidRDefault="002D58E4">
            <w:pPr>
              <w:rPr>
                <w:sz w:val="20"/>
                <w:szCs w:val="20"/>
              </w:rPr>
            </w:pPr>
          </w:p>
          <w:p w14:paraId="66AF61D8" w14:textId="77777777" w:rsidR="002D58E4" w:rsidRDefault="00F721D4">
            <w:pPr>
              <w:rPr>
                <w:sz w:val="20"/>
                <w:szCs w:val="20"/>
              </w:rPr>
            </w:pPr>
            <w:r>
              <w:rPr>
                <w:sz w:val="20"/>
                <w:szCs w:val="20"/>
              </w:rPr>
              <w:t xml:space="preserve">Participants completed two different questionnaires related to obsessive compulsive disorder, with one questionnaire pertaining specifically to Lyme.   </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1497D06" w14:textId="77777777" w:rsidR="002D58E4" w:rsidRDefault="00F721D4">
            <w:pPr>
              <w:rPr>
                <w:sz w:val="20"/>
                <w:szCs w:val="20"/>
              </w:rPr>
            </w:pPr>
            <w:r>
              <w:rPr>
                <w:sz w:val="20"/>
                <w:szCs w:val="20"/>
              </w:rPr>
              <w:t xml:space="preserve">84.4% of participants (N= 124) exceeded the clinical cutoff for OCD according to the OCI-R instrument. Only 37% of participants (N= 55) acknowledged that they were experiencing symptoms of OCD. </w:t>
            </w:r>
          </w:p>
          <w:p w14:paraId="2B4E3C0D" w14:textId="77777777" w:rsidR="002D58E4" w:rsidRDefault="002D58E4">
            <w:pPr>
              <w:rPr>
                <w:sz w:val="20"/>
                <w:szCs w:val="20"/>
              </w:rPr>
            </w:pPr>
          </w:p>
          <w:p w14:paraId="736295B6" w14:textId="77777777" w:rsidR="002D58E4" w:rsidRDefault="00F721D4">
            <w:pPr>
              <w:rPr>
                <w:sz w:val="20"/>
                <w:szCs w:val="20"/>
              </w:rPr>
            </w:pPr>
            <w:r>
              <w:rPr>
                <w:sz w:val="20"/>
                <w:szCs w:val="20"/>
              </w:rPr>
              <w:t xml:space="preserve">Of the 55 participants who were aware of their obsessive compulsive symptoms, 26% reported the onset of OCD within 6 months of contracting Lyme; 51% were unclear about when they contracted Lyme disease, but believed that their obsessive compulsive symptoms were temporally related to their Lyme diagnosis. </w:t>
            </w:r>
          </w:p>
        </w:tc>
        <w:tc>
          <w:tcPr>
            <w:tcW w:w="41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81662E7" w14:textId="77777777" w:rsidR="002D58E4" w:rsidRDefault="00F721D4">
            <w:pPr>
              <w:rPr>
                <w:sz w:val="20"/>
                <w:szCs w:val="20"/>
              </w:rPr>
            </w:pPr>
            <w:r>
              <w:rPr>
                <w:sz w:val="20"/>
                <w:szCs w:val="20"/>
              </w:rPr>
              <w:t xml:space="preserve">This study reported a high incidence of OCD, as measured by the self-report OCI-R scale. However, only 37% of participants were aware of their own symptoms. </w:t>
            </w:r>
          </w:p>
          <w:p w14:paraId="7DDCEE16" w14:textId="77777777" w:rsidR="002D58E4" w:rsidRDefault="002D58E4">
            <w:pPr>
              <w:rPr>
                <w:sz w:val="20"/>
                <w:szCs w:val="20"/>
              </w:rPr>
            </w:pPr>
          </w:p>
          <w:p w14:paraId="1FA6CEB6" w14:textId="77777777" w:rsidR="002D58E4" w:rsidRDefault="00F721D4">
            <w:pPr>
              <w:rPr>
                <w:sz w:val="20"/>
                <w:szCs w:val="20"/>
              </w:rPr>
            </w:pPr>
            <w:r>
              <w:rPr>
                <w:sz w:val="20"/>
                <w:szCs w:val="20"/>
              </w:rPr>
              <w:t xml:space="preserve">The authors concluded that symptoms of OCD are a common co-occurrence with Lyme disease. The study is limited by study design; all measures are patient self-report, which is prone to bias. The authors also acknowledge the potential for selection bias since participants were recruited from support groups which may be more appealing to individuals experiencing distress or dysfunction. </w:t>
            </w:r>
          </w:p>
        </w:tc>
      </w:tr>
      <w:tr w:rsidR="002D58E4" w14:paraId="3B0DA447" w14:textId="77777777">
        <w:trPr>
          <w:gridAfter w:val="1"/>
          <w:wAfter w:w="11" w:type="dxa"/>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A64C39E" w14:textId="77777777" w:rsidR="002D58E4" w:rsidRDefault="00F721D4">
            <w:pPr>
              <w:rPr>
                <w:sz w:val="20"/>
                <w:szCs w:val="20"/>
              </w:rPr>
            </w:pPr>
            <w:r>
              <w:rPr>
                <w:sz w:val="20"/>
                <w:szCs w:val="20"/>
              </w:rPr>
              <w:t>Zomer, et al., 2018</w:t>
            </w:r>
          </w:p>
          <w:p w14:paraId="26B13C39" w14:textId="77777777" w:rsidR="002D58E4" w:rsidRDefault="002D58E4">
            <w:pPr>
              <w:rPr>
                <w:sz w:val="20"/>
                <w:szCs w:val="20"/>
              </w:rPr>
            </w:pPr>
          </w:p>
          <w:p w14:paraId="7860168B" w14:textId="77777777" w:rsidR="002D58E4" w:rsidRDefault="00F721D4">
            <w:pPr>
              <w:rPr>
                <w:sz w:val="20"/>
                <w:szCs w:val="20"/>
              </w:rPr>
            </w:pPr>
            <w:r>
              <w:rPr>
                <w:sz w:val="20"/>
                <w:szCs w:val="20"/>
              </w:rPr>
              <w:t>Apeldoorn, Netherlands</w:t>
            </w:r>
          </w:p>
        </w:tc>
        <w:tc>
          <w:tcPr>
            <w:tcW w:w="823" w:type="dxa"/>
            <w:tcBorders>
              <w:top w:val="single" w:sz="6" w:space="0" w:color="AEAEAE"/>
              <w:left w:val="single" w:sz="6" w:space="0" w:color="AEAEAE"/>
              <w:bottom w:val="single" w:sz="6" w:space="0" w:color="AEAEAE"/>
              <w:right w:val="single" w:sz="6" w:space="0" w:color="AEAEAE"/>
            </w:tcBorders>
            <w:vAlign w:val="center"/>
          </w:tcPr>
          <w:p w14:paraId="194DC969" w14:textId="77777777" w:rsidR="002D58E4" w:rsidRDefault="00F721D4">
            <w:pPr>
              <w:rPr>
                <w:sz w:val="20"/>
                <w:szCs w:val="20"/>
              </w:rPr>
            </w:pPr>
            <w:r>
              <w:rPr>
                <w:sz w:val="20"/>
                <w:szCs w:val="20"/>
              </w:rPr>
              <w:t>Retrospective study</w:t>
            </w:r>
          </w:p>
          <w:p w14:paraId="58347ECF" w14:textId="77777777" w:rsidR="002D58E4" w:rsidRDefault="002D58E4">
            <w:pPr>
              <w:rPr>
                <w:sz w:val="20"/>
                <w:szCs w:val="20"/>
              </w:rPr>
            </w:pPr>
          </w:p>
          <w:p w14:paraId="70F1B7D8" w14:textId="77777777" w:rsidR="002D58E4" w:rsidRDefault="00F721D4">
            <w:pPr>
              <w:rPr>
                <w:sz w:val="20"/>
                <w:szCs w:val="20"/>
              </w:rPr>
            </w:pPr>
            <w:r>
              <w:rPr>
                <w:sz w:val="20"/>
                <w:szCs w:val="20"/>
              </w:rPr>
              <w:t>(subgroup of the above)</w:t>
            </w:r>
          </w:p>
        </w:tc>
        <w:tc>
          <w:tcPr>
            <w:tcW w:w="630" w:type="dxa"/>
            <w:tcBorders>
              <w:top w:val="single" w:sz="6" w:space="0" w:color="AEAEAE"/>
              <w:left w:val="single" w:sz="6" w:space="0" w:color="AEAEAE"/>
              <w:bottom w:val="single" w:sz="6" w:space="0" w:color="AEAEAE"/>
              <w:right w:val="single" w:sz="6" w:space="0" w:color="AEAEAE"/>
            </w:tcBorders>
            <w:vAlign w:val="center"/>
          </w:tcPr>
          <w:p w14:paraId="0426C1D9" w14:textId="77777777" w:rsidR="002D58E4" w:rsidRDefault="00F721D4">
            <w:pPr>
              <w:jc w:val="center"/>
              <w:rPr>
                <w:sz w:val="20"/>
                <w:szCs w:val="20"/>
              </w:rPr>
            </w:pPr>
            <w:r>
              <w:rPr>
                <w:sz w:val="20"/>
                <w:szCs w:val="20"/>
              </w:rPr>
              <w:t>7</w:t>
            </w:r>
          </w:p>
        </w:tc>
        <w:tc>
          <w:tcPr>
            <w:tcW w:w="2630" w:type="dxa"/>
            <w:tcBorders>
              <w:top w:val="single" w:sz="6" w:space="0" w:color="AEAEAE"/>
              <w:left w:val="single" w:sz="6" w:space="0" w:color="AEAEAE"/>
              <w:bottom w:val="single" w:sz="6" w:space="0" w:color="AEAEAE"/>
              <w:right w:val="single" w:sz="6" w:space="0" w:color="AEAEAE"/>
            </w:tcBorders>
            <w:vAlign w:val="center"/>
          </w:tcPr>
          <w:p w14:paraId="5DE7565B" w14:textId="77777777" w:rsidR="002D58E4" w:rsidRDefault="00F721D4">
            <w:pPr>
              <w:rPr>
                <w:sz w:val="20"/>
                <w:szCs w:val="20"/>
              </w:rPr>
            </w:pPr>
            <w:r>
              <w:rPr>
                <w:sz w:val="20"/>
                <w:szCs w:val="20"/>
              </w:rPr>
              <w:t>Patients were classified based on clinical presentation of Lyme as well as serology results into one of four categories:  (1) no clinical Lyme disease and negative serology; (2) no clinical Lyme disease and positive serology; (3) clinical Lyme disease and negative serology; and (4) clinical Lyme disease and positive serology.</w:t>
            </w:r>
          </w:p>
          <w:p w14:paraId="0EE8C790" w14:textId="77777777" w:rsidR="002D58E4" w:rsidRDefault="002D58E4">
            <w:pPr>
              <w:rPr>
                <w:sz w:val="20"/>
                <w:szCs w:val="20"/>
              </w:rPr>
            </w:pPr>
          </w:p>
          <w:p w14:paraId="133CA560" w14:textId="77777777" w:rsidR="002D58E4" w:rsidRDefault="00F721D4">
            <w:pPr>
              <w:rPr>
                <w:sz w:val="20"/>
                <w:szCs w:val="20"/>
              </w:rPr>
            </w:pPr>
            <w:r>
              <w:rPr>
                <w:sz w:val="20"/>
                <w:szCs w:val="20"/>
              </w:rPr>
              <w:t xml:space="preserve">Serum samples were tested by IgG ELISA and IgG Immunoblot. </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8A100FC" w14:textId="77777777" w:rsidR="002D58E4" w:rsidRDefault="00F721D4">
            <w:pPr>
              <w:rPr>
                <w:sz w:val="20"/>
                <w:szCs w:val="20"/>
              </w:rPr>
            </w:pPr>
            <w:r>
              <w:rPr>
                <w:sz w:val="20"/>
                <w:szCs w:val="20"/>
              </w:rPr>
              <w:t xml:space="preserve">This is a subgroup analysis of a retrospective cohort study that involved 1,454 patients who were referred to the Lyme Center Apeldoorn which compared individuals who were at least 65 years old to patients who were 18-64 years old. </w:t>
            </w:r>
          </w:p>
          <w:p w14:paraId="73AF845B" w14:textId="77777777" w:rsidR="002D58E4" w:rsidRDefault="002D58E4">
            <w:pPr>
              <w:rPr>
                <w:sz w:val="20"/>
                <w:szCs w:val="20"/>
              </w:rPr>
            </w:pPr>
          </w:p>
          <w:p w14:paraId="2F759BD5" w14:textId="77777777" w:rsidR="002D58E4" w:rsidRDefault="00F721D4">
            <w:pPr>
              <w:rPr>
                <w:sz w:val="20"/>
                <w:szCs w:val="20"/>
              </w:rPr>
            </w:pPr>
            <w:r>
              <w:rPr>
                <w:sz w:val="20"/>
                <w:szCs w:val="20"/>
              </w:rPr>
              <w:t xml:space="preserve">Of 252 patients who were </w:t>
            </w:r>
            <w:r>
              <w:rPr>
                <w:rFonts w:ascii="Arial Unicode MS" w:eastAsia="Arial Unicode MS" w:hAnsi="Arial Unicode MS" w:cs="Arial Unicode MS"/>
                <w:sz w:val="20"/>
                <w:szCs w:val="20"/>
              </w:rPr>
              <w:t>≥</w:t>
            </w:r>
            <w:r>
              <w:rPr>
                <w:sz w:val="20"/>
                <w:szCs w:val="20"/>
              </w:rPr>
              <w:t>65 years old, 14.3% (36) had no clinical Lyme disease and negative serology, 23% (58) had no clinical Lyme disease and positive serology, 29% (73) had clinical Lyme disease with negative serology, and 33.7% (85) had clinical Lyme disease with positive serology.</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DE80F1F" w14:textId="77777777" w:rsidR="002D58E4" w:rsidRDefault="00F721D4">
            <w:pPr>
              <w:rPr>
                <w:sz w:val="20"/>
                <w:szCs w:val="20"/>
              </w:rPr>
            </w:pPr>
            <w:r>
              <w:rPr>
                <w:sz w:val="20"/>
                <w:szCs w:val="20"/>
              </w:rPr>
              <w:t>Overall prevalence of depressive symptoms in older patients was 9.8% versus 24.7% in patients 18–64 years old (p&lt;0.001).</w:t>
            </w:r>
          </w:p>
        </w:tc>
        <w:tc>
          <w:tcPr>
            <w:tcW w:w="41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A9902CF" w14:textId="77777777" w:rsidR="002D58E4" w:rsidRDefault="00F721D4">
            <w:pPr>
              <w:rPr>
                <w:sz w:val="20"/>
                <w:szCs w:val="20"/>
              </w:rPr>
            </w:pPr>
            <w:r>
              <w:rPr>
                <w:sz w:val="20"/>
                <w:szCs w:val="20"/>
              </w:rPr>
              <w:t xml:space="preserve">Older patients were more likely to have clinical Lyme disease with positive serology and less likely to have depressive symptoms compared to younger patients. The prevalence of depressive symptoms observed in older patients at the Lyme center was not higher than the prevalence in the general older population. </w:t>
            </w:r>
          </w:p>
        </w:tc>
      </w:tr>
    </w:tbl>
    <w:p w14:paraId="156412E9" w14:textId="77777777" w:rsidR="002D58E4" w:rsidRDefault="00F721D4" w:rsidP="00E14B2B">
      <w:pPr>
        <w:widowControl w:val="0"/>
        <w:pBdr>
          <w:top w:val="nil"/>
          <w:left w:val="nil"/>
          <w:bottom w:val="nil"/>
          <w:right w:val="nil"/>
          <w:between w:val="nil"/>
        </w:pBdr>
        <w:spacing w:after="0"/>
        <w:ind w:right="-626"/>
        <w:sectPr w:rsidR="002D58E4" w:rsidSect="00E14B2B">
          <w:type w:val="continuous"/>
          <w:pgSz w:w="15840" w:h="12240"/>
          <w:pgMar w:top="720" w:right="1381" w:bottom="720" w:left="720" w:header="720" w:footer="720" w:gutter="0"/>
          <w:cols w:space="720" w:equalWidth="0">
            <w:col w:w="13739"/>
          </w:cols>
        </w:sectPr>
      </w:pPr>
      <w:r>
        <w:rPr>
          <w:b/>
          <w:sz w:val="20"/>
          <w:szCs w:val="20"/>
        </w:rPr>
        <w:t>*</w:t>
      </w:r>
      <w:r>
        <w:rPr>
          <w:sz w:val="20"/>
          <w:szCs w:val="20"/>
        </w:rPr>
        <w:t>Risk of Bias of Observational Data was rated on a scale from 0 (worst) to 9 (best) using the Newcastle-Ottawa Quality Assessment Scale for Observational Studies.</w:t>
      </w:r>
      <w:r>
        <w:br w:type="page"/>
      </w:r>
    </w:p>
    <w:p w14:paraId="3B362353" w14:textId="1169476B" w:rsidR="002D58E4" w:rsidRDefault="00F721D4">
      <w:pPr>
        <w:rPr>
          <w:b/>
          <w:sz w:val="32"/>
          <w:szCs w:val="32"/>
        </w:rPr>
      </w:pPr>
      <w:r>
        <w:rPr>
          <w:b/>
          <w:sz w:val="32"/>
          <w:szCs w:val="32"/>
        </w:rPr>
        <w:t>XII. Should children with developmental, behavioral or psychiatric disorders be tested for Lyme disease?</w:t>
      </w:r>
    </w:p>
    <w:p w14:paraId="26F60736" w14:textId="77777777" w:rsidR="002D58E4" w:rsidRDefault="00F721D4">
      <w:pPr>
        <w:rPr>
          <w:sz w:val="18"/>
          <w:szCs w:val="18"/>
        </w:rPr>
      </w:pPr>
      <w:r>
        <w:rPr>
          <w:sz w:val="18"/>
          <w:szCs w:val="18"/>
        </w:rPr>
        <w:t>A 2015 narrative review by Chang, et al. provided recommendations for various presentations of pediatric acute-onset neuropsychiatric syndrome (PANS). Lyme disease is discussed within this review as a possible infectious cause of PANS. The authors recommended testing for children exhibiting symptoms of PANS if they live in or have visited areas endemic for Lyme disease. A retrospective case series by Greenberg addressed the issue indirectly in children with pediatric bipolar disorder (shown below).</w:t>
      </w:r>
    </w:p>
    <w:p w14:paraId="477F7736" w14:textId="77777777" w:rsidR="002D58E4" w:rsidRDefault="00F721D4">
      <w:pPr>
        <w:rPr>
          <w:sz w:val="24"/>
          <w:szCs w:val="24"/>
        </w:rPr>
      </w:pPr>
      <w:r w:rsidRPr="002914A2">
        <w:rPr>
          <w:b/>
          <w:color w:val="000000"/>
          <w:sz w:val="18"/>
          <w:szCs w:val="18"/>
          <w:lang w:val="fr-CA"/>
        </w:rPr>
        <w:t>Bibliography:</w:t>
      </w:r>
      <w:r w:rsidRPr="002914A2">
        <w:rPr>
          <w:color w:val="000000"/>
          <w:sz w:val="18"/>
          <w:szCs w:val="18"/>
          <w:lang w:val="fr-CA"/>
        </w:rPr>
        <w:t xml:space="preserve"> 1. Chang, et al. J Child Adolesc Psychopharmacol. </w:t>
      </w:r>
      <w:r w:rsidRPr="00C10663">
        <w:rPr>
          <w:color w:val="000000"/>
          <w:sz w:val="18"/>
          <w:szCs w:val="18"/>
          <w:lang w:val="fr-CA"/>
        </w:rPr>
        <w:t xml:space="preserve">2015 Feb; 25(1): 3-13; 2. </w:t>
      </w:r>
      <w:r>
        <w:rPr>
          <w:color w:val="000000"/>
          <w:sz w:val="18"/>
          <w:szCs w:val="18"/>
        </w:rPr>
        <w:t>Greenberg, R. "Tick-borne infections and pediatric bipolar disorder." Neurology, Psychiatry and Brain Research 1.22 (2016): 11.; (2) Burbelo PD, Swedo SE, Thurm A, et al. Lack of serum antibodies against Borrelia burgdorferi in children with autism. Clin Vaccine Immunol 2013;20:1092-1093.  (3) Ajamian M, Kosofsky BE, Wormser GP, Rajadhyaksha AM, Alaedini A. Serologic markers of Lyme disease in children with autism. JAMA 2013;309:1771-1773.</w:t>
      </w:r>
    </w:p>
    <w:tbl>
      <w:tblPr>
        <w:tblStyle w:val="aff0"/>
        <w:tblW w:w="14309" w:type="dxa"/>
        <w:tblLayout w:type="fixed"/>
        <w:tblLook w:val="0600" w:firstRow="0" w:lastRow="0" w:firstColumn="0" w:lastColumn="0" w:noHBand="1" w:noVBand="1"/>
      </w:tblPr>
      <w:tblGrid>
        <w:gridCol w:w="1126"/>
        <w:gridCol w:w="709"/>
        <w:gridCol w:w="630"/>
        <w:gridCol w:w="2630"/>
        <w:gridCol w:w="2835"/>
        <w:gridCol w:w="2552"/>
        <w:gridCol w:w="3827"/>
      </w:tblGrid>
      <w:tr w:rsidR="002D58E4" w14:paraId="1A47CB97" w14:textId="77777777" w:rsidTr="003D1C11">
        <w:trPr>
          <w:trHeight w:val="500"/>
        </w:trPr>
        <w:tc>
          <w:tcPr>
            <w:tcW w:w="1126"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00D2F3C" w14:textId="77777777" w:rsidR="002D58E4" w:rsidRDefault="00F721D4">
            <w:pPr>
              <w:rPr>
                <w:b/>
                <w:color w:val="000000"/>
                <w:sz w:val="20"/>
                <w:szCs w:val="20"/>
              </w:rPr>
            </w:pPr>
            <w:r>
              <w:rPr>
                <w:b/>
                <w:color w:val="000000"/>
                <w:sz w:val="20"/>
                <w:szCs w:val="20"/>
              </w:rPr>
              <w:t>Study name, Location</w:t>
            </w:r>
          </w:p>
        </w:tc>
        <w:tc>
          <w:tcPr>
            <w:tcW w:w="709" w:type="dxa"/>
            <w:tcBorders>
              <w:top w:val="single" w:sz="6" w:space="0" w:color="AEAEAE"/>
              <w:left w:val="single" w:sz="6" w:space="0" w:color="AEAEAE"/>
              <w:bottom w:val="single" w:sz="6" w:space="0" w:color="AEAEAE"/>
              <w:right w:val="single" w:sz="6" w:space="0" w:color="AEAEAE"/>
            </w:tcBorders>
            <w:shd w:val="clear" w:color="auto" w:fill="D9D9D9"/>
          </w:tcPr>
          <w:p w14:paraId="14D9B165" w14:textId="77777777" w:rsidR="002D58E4" w:rsidRDefault="00F721D4">
            <w:pP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7E7723B1" w14:textId="77777777" w:rsidR="002D58E4" w:rsidRDefault="00F721D4">
            <w:pPr>
              <w:rPr>
                <w:b/>
                <w:color w:val="000000"/>
                <w:sz w:val="20"/>
                <w:szCs w:val="20"/>
              </w:rPr>
            </w:pPr>
            <w:r>
              <w:rPr>
                <w:b/>
                <w:color w:val="000000"/>
                <w:sz w:val="20"/>
                <w:szCs w:val="20"/>
              </w:rPr>
              <w:t>Risk of bias</w:t>
            </w:r>
          </w:p>
        </w:tc>
        <w:tc>
          <w:tcPr>
            <w:tcW w:w="2630" w:type="dxa"/>
            <w:tcBorders>
              <w:top w:val="single" w:sz="6" w:space="0" w:color="AEAEAE"/>
              <w:left w:val="single" w:sz="6" w:space="0" w:color="AEAEAE"/>
              <w:bottom w:val="single" w:sz="6" w:space="0" w:color="AEAEAE"/>
              <w:right w:val="single" w:sz="6" w:space="0" w:color="AEAEAE"/>
            </w:tcBorders>
            <w:shd w:val="clear" w:color="auto" w:fill="D9D9D9"/>
          </w:tcPr>
          <w:p w14:paraId="3BA1270B" w14:textId="77777777" w:rsidR="002D58E4" w:rsidRDefault="00F721D4">
            <w:pPr>
              <w:rPr>
                <w:b/>
                <w:color w:val="000000"/>
                <w:sz w:val="20"/>
                <w:szCs w:val="20"/>
              </w:rPr>
            </w:pPr>
            <w:r>
              <w:rPr>
                <w:b/>
                <w:color w:val="000000"/>
                <w:sz w:val="20"/>
                <w:szCs w:val="20"/>
              </w:rPr>
              <w:t>Lyme Disease Diagnosis method</w:t>
            </w:r>
          </w:p>
        </w:tc>
        <w:tc>
          <w:tcPr>
            <w:tcW w:w="2835"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063AE6F" w14:textId="77777777" w:rsidR="002D58E4" w:rsidRDefault="00F721D4">
            <w:pPr>
              <w:rPr>
                <w:sz w:val="20"/>
                <w:szCs w:val="20"/>
              </w:rPr>
            </w:pPr>
            <w:r>
              <w:rPr>
                <w:b/>
                <w:color w:val="000000"/>
                <w:sz w:val="20"/>
                <w:szCs w:val="20"/>
              </w:rPr>
              <w:t>Population characteristics and Observed Psychiatric illnesses</w:t>
            </w:r>
          </w:p>
        </w:tc>
        <w:tc>
          <w:tcPr>
            <w:tcW w:w="2552"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B279F34" w14:textId="77777777" w:rsidR="002D58E4" w:rsidRDefault="00F721D4">
            <w:pPr>
              <w:rPr>
                <w:sz w:val="20"/>
                <w:szCs w:val="20"/>
              </w:rPr>
            </w:pPr>
            <w:r>
              <w:rPr>
                <w:b/>
                <w:color w:val="000000"/>
                <w:sz w:val="20"/>
                <w:szCs w:val="20"/>
              </w:rPr>
              <w:t xml:space="preserve">Prevalence of Lyme in Patients with Illness </w:t>
            </w:r>
            <w:r>
              <w:rPr>
                <w:b/>
                <w:i/>
                <w:color w:val="000000"/>
                <w:sz w:val="20"/>
                <w:szCs w:val="20"/>
                <w:u w:val="single"/>
              </w:rPr>
              <w:t>or</w:t>
            </w:r>
            <w:r>
              <w:rPr>
                <w:b/>
                <w:i/>
                <w:color w:val="000000"/>
                <w:sz w:val="20"/>
                <w:szCs w:val="20"/>
              </w:rPr>
              <w:t xml:space="preserve"> Prevalence of Illness in Lyme patients</w:t>
            </w:r>
          </w:p>
        </w:tc>
        <w:tc>
          <w:tcPr>
            <w:tcW w:w="3827"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A1387A6" w14:textId="77777777" w:rsidR="002D58E4" w:rsidRDefault="00F721D4">
            <w:pPr>
              <w:jc w:val="center"/>
              <w:rPr>
                <w:sz w:val="20"/>
                <w:szCs w:val="20"/>
              </w:rPr>
            </w:pPr>
            <w:r>
              <w:rPr>
                <w:b/>
                <w:color w:val="000000"/>
                <w:sz w:val="20"/>
                <w:szCs w:val="20"/>
              </w:rPr>
              <w:t>Study Conclusions</w:t>
            </w:r>
          </w:p>
        </w:tc>
      </w:tr>
      <w:tr w:rsidR="002D58E4" w14:paraId="25B74119" w14:textId="77777777" w:rsidTr="003D1C11">
        <w:trPr>
          <w:trHeight w:val="1260"/>
        </w:trPr>
        <w:tc>
          <w:tcPr>
            <w:tcW w:w="1126"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F5A22FE" w14:textId="77777777" w:rsidR="002D58E4" w:rsidRDefault="00F721D4">
            <w:pPr>
              <w:rPr>
                <w:sz w:val="20"/>
                <w:szCs w:val="20"/>
              </w:rPr>
            </w:pPr>
            <w:r>
              <w:rPr>
                <w:sz w:val="20"/>
                <w:szCs w:val="20"/>
              </w:rPr>
              <w:t>Greenberg, 2016</w:t>
            </w:r>
          </w:p>
          <w:p w14:paraId="4FFD3A85" w14:textId="77777777" w:rsidR="002D58E4" w:rsidRDefault="002D58E4">
            <w:pPr>
              <w:rPr>
                <w:sz w:val="20"/>
                <w:szCs w:val="20"/>
              </w:rPr>
            </w:pPr>
          </w:p>
          <w:p w14:paraId="40BAEEC3" w14:textId="77777777" w:rsidR="002D58E4" w:rsidRDefault="00F721D4">
            <w:pPr>
              <w:rPr>
                <w:sz w:val="20"/>
                <w:szCs w:val="20"/>
              </w:rPr>
            </w:pPr>
            <w:r>
              <w:rPr>
                <w:sz w:val="20"/>
                <w:szCs w:val="20"/>
              </w:rPr>
              <w:t>Summit, NJ</w:t>
            </w:r>
          </w:p>
        </w:tc>
        <w:tc>
          <w:tcPr>
            <w:tcW w:w="709" w:type="dxa"/>
            <w:tcBorders>
              <w:top w:val="single" w:sz="6" w:space="0" w:color="AEAEAE"/>
              <w:left w:val="single" w:sz="6" w:space="0" w:color="AEAEAE"/>
              <w:bottom w:val="single" w:sz="6" w:space="0" w:color="AEAEAE"/>
              <w:right w:val="single" w:sz="6" w:space="0" w:color="AEAEAE"/>
            </w:tcBorders>
            <w:vAlign w:val="center"/>
          </w:tcPr>
          <w:p w14:paraId="5E667EA3" w14:textId="77777777" w:rsidR="002D58E4" w:rsidRDefault="00F721D4">
            <w:pPr>
              <w:rPr>
                <w:sz w:val="20"/>
                <w:szCs w:val="20"/>
              </w:rPr>
            </w:pPr>
            <w:r>
              <w:rPr>
                <w:sz w:val="20"/>
                <w:szCs w:val="20"/>
              </w:rPr>
              <w:t>Case series (27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1D151E37" w14:textId="77777777" w:rsidR="002D58E4" w:rsidRDefault="00F721D4">
            <w:pPr>
              <w:jc w:val="center"/>
              <w:rPr>
                <w:sz w:val="20"/>
                <w:szCs w:val="20"/>
              </w:rPr>
            </w:pPr>
            <w:r>
              <w:rPr>
                <w:sz w:val="20"/>
                <w:szCs w:val="20"/>
              </w:rPr>
              <w:t>NA</w:t>
            </w:r>
          </w:p>
        </w:tc>
        <w:tc>
          <w:tcPr>
            <w:tcW w:w="2630" w:type="dxa"/>
            <w:tcBorders>
              <w:top w:val="single" w:sz="6" w:space="0" w:color="AEAEAE"/>
              <w:left w:val="single" w:sz="6" w:space="0" w:color="AEAEAE"/>
              <w:bottom w:val="single" w:sz="6" w:space="0" w:color="AEAEAE"/>
              <w:right w:val="single" w:sz="6" w:space="0" w:color="AEAEAE"/>
            </w:tcBorders>
            <w:vAlign w:val="center"/>
          </w:tcPr>
          <w:p w14:paraId="4E34E624" w14:textId="77777777" w:rsidR="002D58E4" w:rsidRDefault="00F721D4">
            <w:pPr>
              <w:rPr>
                <w:sz w:val="20"/>
                <w:szCs w:val="20"/>
              </w:rPr>
            </w:pPr>
            <w:r>
              <w:rPr>
                <w:sz w:val="20"/>
                <w:szCs w:val="20"/>
              </w:rPr>
              <w:t>Serum samples were tested by ELISA and Western Blot.</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E6DDBD4" w14:textId="77777777" w:rsidR="002D58E4" w:rsidRDefault="00F721D4">
            <w:pPr>
              <w:rPr>
                <w:sz w:val="20"/>
                <w:szCs w:val="20"/>
              </w:rPr>
            </w:pPr>
            <w:r>
              <w:rPr>
                <w:sz w:val="20"/>
                <w:szCs w:val="20"/>
              </w:rPr>
              <w:t xml:space="preserve">27 children with bipolar disorder (mean age at diagnosis 7 years; range 5-12). </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7972B4F" w14:textId="77777777" w:rsidR="002D58E4" w:rsidRDefault="00F721D4">
            <w:pPr>
              <w:rPr>
                <w:sz w:val="20"/>
                <w:szCs w:val="20"/>
              </w:rPr>
            </w:pPr>
            <w:r>
              <w:rPr>
                <w:sz w:val="20"/>
                <w:szCs w:val="20"/>
              </w:rPr>
              <w:t xml:space="preserve">22% (6 of 27) of children presenting with Bipolar disorder were serologically diagnosed with Lyme Disease. </w:t>
            </w:r>
          </w:p>
        </w:tc>
        <w:tc>
          <w:tcPr>
            <w:tcW w:w="382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D6540A1" w14:textId="77777777" w:rsidR="002D58E4" w:rsidRDefault="00F721D4">
            <w:pPr>
              <w:rPr>
                <w:sz w:val="20"/>
                <w:szCs w:val="20"/>
              </w:rPr>
            </w:pPr>
            <w:r>
              <w:rPr>
                <w:sz w:val="20"/>
                <w:szCs w:val="20"/>
              </w:rPr>
              <w:t xml:space="preserve">89% of the children observed (24 of 27) had serological evidence of one or more tick-borne pathogen. Of these patients, 83% (20 of 24) had a confirmed diagnosis of a tick-borne infection. </w:t>
            </w:r>
          </w:p>
          <w:p w14:paraId="706D2C8A" w14:textId="77777777" w:rsidR="002D58E4" w:rsidRDefault="002D58E4">
            <w:pPr>
              <w:rPr>
                <w:sz w:val="20"/>
                <w:szCs w:val="20"/>
              </w:rPr>
            </w:pPr>
          </w:p>
          <w:p w14:paraId="275291FC" w14:textId="77777777" w:rsidR="002D58E4" w:rsidRDefault="00F721D4">
            <w:pPr>
              <w:rPr>
                <w:sz w:val="20"/>
                <w:szCs w:val="20"/>
              </w:rPr>
            </w:pPr>
            <w:r>
              <w:rPr>
                <w:sz w:val="20"/>
                <w:szCs w:val="20"/>
              </w:rPr>
              <w:t>The authors noted that the high rate of tick-borne infections in this cohort was provocative but were unable to make a conclusive statement about the relationship of tick-borne disease to pediatric bipolar disorder. They note that if further research showed similarly high rates of tick-borne infection, or of Lyme Disease in particular, in pediatric bipolar patient populations, serologic testing may be suggested in patients with pediatric mood disorders.</w:t>
            </w:r>
          </w:p>
        </w:tc>
      </w:tr>
      <w:tr w:rsidR="002D58E4" w14:paraId="4B7E82FD" w14:textId="77777777" w:rsidTr="003D1C11">
        <w:trPr>
          <w:trHeight w:val="1260"/>
        </w:trPr>
        <w:tc>
          <w:tcPr>
            <w:tcW w:w="1126"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24919AD" w14:textId="77777777" w:rsidR="002D58E4" w:rsidRDefault="00F721D4">
            <w:pPr>
              <w:rPr>
                <w:sz w:val="20"/>
                <w:szCs w:val="20"/>
              </w:rPr>
            </w:pPr>
            <w:r>
              <w:rPr>
                <w:sz w:val="20"/>
                <w:szCs w:val="20"/>
              </w:rPr>
              <w:t>Burbelo</w:t>
            </w:r>
          </w:p>
          <w:p w14:paraId="496AC129" w14:textId="77777777" w:rsidR="002D58E4" w:rsidRDefault="00F721D4">
            <w:pPr>
              <w:rPr>
                <w:sz w:val="20"/>
                <w:szCs w:val="20"/>
              </w:rPr>
            </w:pPr>
            <w:r>
              <w:rPr>
                <w:sz w:val="20"/>
                <w:szCs w:val="20"/>
              </w:rPr>
              <w:t>2013</w:t>
            </w:r>
          </w:p>
        </w:tc>
        <w:tc>
          <w:tcPr>
            <w:tcW w:w="709" w:type="dxa"/>
            <w:tcBorders>
              <w:top w:val="single" w:sz="6" w:space="0" w:color="AEAEAE"/>
              <w:left w:val="single" w:sz="6" w:space="0" w:color="AEAEAE"/>
              <w:bottom w:val="single" w:sz="6" w:space="0" w:color="AEAEAE"/>
              <w:right w:val="single" w:sz="6" w:space="0" w:color="AEAEAE"/>
            </w:tcBorders>
            <w:vAlign w:val="center"/>
          </w:tcPr>
          <w:p w14:paraId="1F812E65" w14:textId="77777777" w:rsidR="002D58E4" w:rsidRDefault="00F721D4">
            <w:pPr>
              <w:rPr>
                <w:sz w:val="20"/>
                <w:szCs w:val="20"/>
              </w:rPr>
            </w:pPr>
            <w:r>
              <w:rPr>
                <w:sz w:val="20"/>
                <w:szCs w:val="20"/>
              </w:rPr>
              <w:t xml:space="preserve">Case series </w:t>
            </w:r>
          </w:p>
        </w:tc>
        <w:tc>
          <w:tcPr>
            <w:tcW w:w="630" w:type="dxa"/>
            <w:tcBorders>
              <w:top w:val="single" w:sz="6" w:space="0" w:color="AEAEAE"/>
              <w:left w:val="single" w:sz="6" w:space="0" w:color="AEAEAE"/>
              <w:bottom w:val="single" w:sz="6" w:space="0" w:color="AEAEAE"/>
              <w:right w:val="single" w:sz="6" w:space="0" w:color="AEAEAE"/>
            </w:tcBorders>
            <w:vAlign w:val="center"/>
          </w:tcPr>
          <w:p w14:paraId="39DDA3C5" w14:textId="77777777" w:rsidR="002D58E4" w:rsidRDefault="00F721D4">
            <w:pPr>
              <w:jc w:val="center"/>
              <w:rPr>
                <w:sz w:val="20"/>
                <w:szCs w:val="20"/>
              </w:rPr>
            </w:pPr>
            <w:r>
              <w:rPr>
                <w:sz w:val="20"/>
                <w:szCs w:val="20"/>
              </w:rPr>
              <w:t>NA</w:t>
            </w:r>
          </w:p>
        </w:tc>
        <w:tc>
          <w:tcPr>
            <w:tcW w:w="2630" w:type="dxa"/>
            <w:tcBorders>
              <w:top w:val="single" w:sz="6" w:space="0" w:color="AEAEAE"/>
              <w:left w:val="single" w:sz="6" w:space="0" w:color="AEAEAE"/>
              <w:bottom w:val="single" w:sz="6" w:space="0" w:color="AEAEAE"/>
              <w:right w:val="single" w:sz="6" w:space="0" w:color="AEAEAE"/>
            </w:tcBorders>
            <w:vAlign w:val="center"/>
          </w:tcPr>
          <w:p w14:paraId="06E0968F" w14:textId="77777777" w:rsidR="002D58E4" w:rsidRDefault="00F721D4">
            <w:pPr>
              <w:rPr>
                <w:sz w:val="20"/>
                <w:szCs w:val="20"/>
              </w:rPr>
            </w:pPr>
            <w:r>
              <w:rPr>
                <w:sz w:val="20"/>
                <w:szCs w:val="20"/>
              </w:rPr>
              <w:t>Serum, luciferase immunoprecipitation system (LIPS) test for detecting</w:t>
            </w:r>
          </w:p>
          <w:p w14:paraId="70FCA531" w14:textId="77777777" w:rsidR="002D58E4" w:rsidRDefault="00F721D4">
            <w:pPr>
              <w:rPr>
                <w:sz w:val="20"/>
                <w:szCs w:val="20"/>
              </w:rPr>
            </w:pPr>
            <w:r>
              <w:rPr>
                <w:sz w:val="20"/>
                <w:szCs w:val="20"/>
              </w:rPr>
              <w:t>B. burgdorferi antibodies, as well as C6 ELISA &amp; Western blot</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75A4050" w14:textId="77777777" w:rsidR="002D58E4" w:rsidRDefault="00F721D4">
            <w:pPr>
              <w:rPr>
                <w:sz w:val="20"/>
                <w:szCs w:val="20"/>
              </w:rPr>
            </w:pPr>
            <w:r>
              <w:rPr>
                <w:sz w:val="20"/>
                <w:szCs w:val="20"/>
              </w:rPr>
              <w:t>104 children w autism; 24 other developmental delay</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C620C1D" w14:textId="77777777" w:rsidR="002D58E4" w:rsidRDefault="00F721D4">
            <w:pPr>
              <w:rPr>
                <w:sz w:val="20"/>
                <w:szCs w:val="20"/>
              </w:rPr>
            </w:pPr>
            <w:r>
              <w:rPr>
                <w:sz w:val="20"/>
                <w:szCs w:val="20"/>
              </w:rPr>
              <w:t>C6: 101 negative, 3 BL C6, neg WB</w:t>
            </w:r>
          </w:p>
        </w:tc>
        <w:tc>
          <w:tcPr>
            <w:tcW w:w="382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8778036" w14:textId="77777777" w:rsidR="002D58E4" w:rsidRDefault="00F721D4">
            <w:pPr>
              <w:rPr>
                <w:sz w:val="20"/>
                <w:szCs w:val="20"/>
              </w:rPr>
            </w:pPr>
            <w:r>
              <w:rPr>
                <w:sz w:val="20"/>
                <w:szCs w:val="20"/>
              </w:rPr>
              <w:t>82% from highly endemic states. No evidence for assoc autism, developmental delay w Lyme</w:t>
            </w:r>
          </w:p>
        </w:tc>
      </w:tr>
      <w:tr w:rsidR="002D58E4" w14:paraId="79E1E3D8" w14:textId="77777777" w:rsidTr="003D1C11">
        <w:trPr>
          <w:trHeight w:val="1260"/>
        </w:trPr>
        <w:tc>
          <w:tcPr>
            <w:tcW w:w="1126"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F7408EA" w14:textId="77777777" w:rsidR="002D58E4" w:rsidRDefault="00F721D4">
            <w:pPr>
              <w:rPr>
                <w:sz w:val="20"/>
                <w:szCs w:val="20"/>
              </w:rPr>
            </w:pPr>
            <w:r>
              <w:rPr>
                <w:sz w:val="20"/>
                <w:szCs w:val="20"/>
              </w:rPr>
              <w:t>Ajamian, 2013</w:t>
            </w:r>
          </w:p>
        </w:tc>
        <w:tc>
          <w:tcPr>
            <w:tcW w:w="709" w:type="dxa"/>
            <w:tcBorders>
              <w:top w:val="single" w:sz="6" w:space="0" w:color="AEAEAE"/>
              <w:left w:val="single" w:sz="6" w:space="0" w:color="AEAEAE"/>
              <w:bottom w:val="single" w:sz="6" w:space="0" w:color="AEAEAE"/>
              <w:right w:val="single" w:sz="6" w:space="0" w:color="AEAEAE"/>
            </w:tcBorders>
            <w:vAlign w:val="center"/>
          </w:tcPr>
          <w:p w14:paraId="3186CD27" w14:textId="77777777" w:rsidR="002D58E4" w:rsidRDefault="00F721D4">
            <w:pPr>
              <w:rPr>
                <w:sz w:val="20"/>
                <w:szCs w:val="20"/>
              </w:rPr>
            </w:pPr>
            <w:r>
              <w:rPr>
                <w:sz w:val="20"/>
                <w:szCs w:val="20"/>
              </w:rPr>
              <w:t>Case series</w:t>
            </w:r>
          </w:p>
        </w:tc>
        <w:tc>
          <w:tcPr>
            <w:tcW w:w="630" w:type="dxa"/>
            <w:tcBorders>
              <w:top w:val="single" w:sz="6" w:space="0" w:color="AEAEAE"/>
              <w:left w:val="single" w:sz="6" w:space="0" w:color="AEAEAE"/>
              <w:bottom w:val="single" w:sz="6" w:space="0" w:color="AEAEAE"/>
              <w:right w:val="single" w:sz="6" w:space="0" w:color="AEAEAE"/>
            </w:tcBorders>
            <w:vAlign w:val="center"/>
          </w:tcPr>
          <w:p w14:paraId="1B792A56" w14:textId="77777777" w:rsidR="002D58E4" w:rsidRDefault="00F721D4">
            <w:pPr>
              <w:jc w:val="center"/>
              <w:rPr>
                <w:sz w:val="20"/>
                <w:szCs w:val="20"/>
              </w:rPr>
            </w:pPr>
            <w:r>
              <w:rPr>
                <w:sz w:val="20"/>
                <w:szCs w:val="20"/>
              </w:rPr>
              <w:t>NA</w:t>
            </w:r>
          </w:p>
        </w:tc>
        <w:tc>
          <w:tcPr>
            <w:tcW w:w="2630" w:type="dxa"/>
            <w:tcBorders>
              <w:top w:val="single" w:sz="6" w:space="0" w:color="AEAEAE"/>
              <w:left w:val="single" w:sz="6" w:space="0" w:color="AEAEAE"/>
              <w:bottom w:val="single" w:sz="6" w:space="0" w:color="AEAEAE"/>
              <w:right w:val="single" w:sz="6" w:space="0" w:color="AEAEAE"/>
            </w:tcBorders>
            <w:vAlign w:val="center"/>
          </w:tcPr>
          <w:p w14:paraId="1259DE91" w14:textId="77777777" w:rsidR="002D58E4" w:rsidRDefault="00F721D4">
            <w:pPr>
              <w:rPr>
                <w:sz w:val="20"/>
                <w:szCs w:val="20"/>
              </w:rPr>
            </w:pPr>
            <w:r>
              <w:rPr>
                <w:sz w:val="20"/>
                <w:szCs w:val="20"/>
              </w:rPr>
              <w:t>Serum 2-tier testing</w:t>
            </w:r>
          </w:p>
        </w:tc>
        <w:tc>
          <w:tcPr>
            <w:tcW w:w="2835"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CBC126E" w14:textId="77777777" w:rsidR="002D58E4" w:rsidRDefault="00F721D4">
            <w:pPr>
              <w:rPr>
                <w:sz w:val="20"/>
                <w:szCs w:val="20"/>
              </w:rPr>
            </w:pPr>
            <w:r>
              <w:rPr>
                <w:sz w:val="20"/>
                <w:szCs w:val="20"/>
              </w:rPr>
              <w:t>Autism genetic research exchange: 37 w autism, 27 unaffected sibs; Weill Cornell Autism Research program 33 w autism; 8 unaffected sibs, 15 healthy controls</w:t>
            </w:r>
          </w:p>
        </w:tc>
        <w:tc>
          <w:tcPr>
            <w:tcW w:w="255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61BD0D0" w14:textId="77777777" w:rsidR="002D58E4" w:rsidRDefault="00F721D4">
            <w:pPr>
              <w:rPr>
                <w:sz w:val="20"/>
                <w:szCs w:val="20"/>
              </w:rPr>
            </w:pPr>
            <w:r>
              <w:rPr>
                <w:sz w:val="20"/>
                <w:szCs w:val="20"/>
              </w:rPr>
              <w:t>70 autistic children – 1 ELISA +, 4 BL; all WB -; 50 controls 4+, 1 BL ELISA; all WB -</w:t>
            </w:r>
          </w:p>
        </w:tc>
        <w:tc>
          <w:tcPr>
            <w:tcW w:w="382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426A703" w14:textId="77777777" w:rsidR="002D58E4" w:rsidRDefault="00F721D4">
            <w:pPr>
              <w:rPr>
                <w:sz w:val="20"/>
                <w:szCs w:val="20"/>
              </w:rPr>
            </w:pPr>
            <w:r>
              <w:rPr>
                <w:sz w:val="20"/>
                <w:szCs w:val="20"/>
              </w:rPr>
              <w:t>All from highly endemic states. No evidence for assoc autism, developmental delay w Lyme</w:t>
            </w:r>
          </w:p>
        </w:tc>
      </w:tr>
    </w:tbl>
    <w:p w14:paraId="69EED9CA" w14:textId="77777777" w:rsidR="002D58E4" w:rsidRDefault="00F721D4">
      <w:pPr>
        <w:spacing w:after="160" w:line="259" w:lineRule="auto"/>
        <w:rPr>
          <w:b/>
          <w:sz w:val="32"/>
          <w:szCs w:val="32"/>
        </w:rPr>
      </w:pPr>
      <w:r>
        <w:t>.</w:t>
      </w:r>
      <w:r>
        <w:br w:type="page"/>
      </w:r>
    </w:p>
    <w:p w14:paraId="0B261232" w14:textId="0EE580C2" w:rsidR="002D58E4" w:rsidRDefault="00F721D4">
      <w:pPr>
        <w:rPr>
          <w:b/>
          <w:sz w:val="32"/>
          <w:szCs w:val="32"/>
        </w:rPr>
      </w:pPr>
      <w:r>
        <w:rPr>
          <w:b/>
          <w:sz w:val="32"/>
          <w:szCs w:val="32"/>
        </w:rPr>
        <w:t>XI</w:t>
      </w:r>
      <w:r w:rsidR="008D091E">
        <w:rPr>
          <w:b/>
          <w:sz w:val="32"/>
          <w:szCs w:val="32"/>
        </w:rPr>
        <w:t>II</w:t>
      </w:r>
      <w:r>
        <w:rPr>
          <w:b/>
          <w:sz w:val="32"/>
          <w:szCs w:val="32"/>
        </w:rPr>
        <w:t>. What are the preferred antibiotic regimens for the treatment of acute neurologic manifestations of Lyme disease without parenchymal involvement of the brain or spinal cord?</w:t>
      </w:r>
    </w:p>
    <w:p w14:paraId="4E94CCA6" w14:textId="77777777" w:rsidR="002D58E4" w:rsidRDefault="00F721D4">
      <w:pPr>
        <w:spacing w:after="0"/>
        <w:rPr>
          <w:b/>
          <w:color w:val="000000"/>
          <w:u w:val="single"/>
        </w:rPr>
      </w:pPr>
      <w:r>
        <w:rPr>
          <w:b/>
          <w:color w:val="000000"/>
          <w:u w:val="single"/>
        </w:rPr>
        <w:t>IV ANTIBIOTICS vs. ORAL DOXYCYCLINE</w:t>
      </w:r>
    </w:p>
    <w:p w14:paraId="3D7BD6E5" w14:textId="77777777" w:rsidR="002D58E4" w:rsidRDefault="00F721D4">
      <w:pPr>
        <w:spacing w:after="0"/>
        <w:rPr>
          <w:b/>
        </w:rPr>
      </w:pPr>
      <w:r>
        <w:rPr>
          <w:b/>
        </w:rPr>
        <w:t>In patients with Lyme neuroborreliosis, should oral doxycycline be used over IV antibiotics?</w:t>
      </w:r>
    </w:p>
    <w:p w14:paraId="52EFD9D2" w14:textId="77777777" w:rsidR="002D58E4" w:rsidRDefault="00F721D4">
      <w:pPr>
        <w:spacing w:after="0"/>
      </w:pPr>
      <w:r>
        <w:t>P: In patients with Lyme neuroborreliosis</w:t>
      </w:r>
    </w:p>
    <w:p w14:paraId="568423D5" w14:textId="77777777" w:rsidR="002D58E4" w:rsidRDefault="00F721D4">
      <w:pPr>
        <w:spacing w:after="0"/>
      </w:pPr>
      <w:r>
        <w:t>I: Oral doxycycline</w:t>
      </w:r>
    </w:p>
    <w:p w14:paraId="265F745A" w14:textId="77777777" w:rsidR="002D58E4" w:rsidRDefault="00F721D4">
      <w:pPr>
        <w:spacing w:after="0"/>
      </w:pPr>
      <w:r>
        <w:t xml:space="preserve">C: IV antibiotics (penicillin G or ceftriaxone) </w:t>
      </w:r>
    </w:p>
    <w:p w14:paraId="36FF6F98" w14:textId="77777777" w:rsidR="002D58E4" w:rsidRDefault="002D58E4">
      <w:pPr>
        <w:spacing w:after="0"/>
      </w:pPr>
    </w:p>
    <w:p w14:paraId="0068FE54" w14:textId="77777777" w:rsidR="002D58E4" w:rsidRDefault="00F721D4">
      <w:pPr>
        <w:rPr>
          <w:color w:val="000000"/>
          <w:sz w:val="18"/>
          <w:szCs w:val="18"/>
        </w:rPr>
      </w:pPr>
      <w:r w:rsidRPr="002914A2">
        <w:rPr>
          <w:b/>
          <w:color w:val="000000"/>
          <w:sz w:val="18"/>
          <w:szCs w:val="18"/>
          <w:lang w:val="fr-CA"/>
        </w:rPr>
        <w:t>Bibliography</w:t>
      </w:r>
      <w:r w:rsidRPr="002914A2">
        <w:rPr>
          <w:color w:val="000000"/>
          <w:sz w:val="18"/>
          <w:szCs w:val="18"/>
          <w:lang w:val="fr-CA"/>
        </w:rPr>
        <w:t xml:space="preserve">: 1. Karlsson, et al. Neurology. 1994 Jul; 44(7):1203-7; 2. Ljøstad, et al. Lancet Neurol. </w:t>
      </w:r>
      <w:r>
        <w:rPr>
          <w:color w:val="000000"/>
          <w:sz w:val="18"/>
          <w:szCs w:val="18"/>
        </w:rPr>
        <w:t>2008 Aug; 7(8): 690-5.</w:t>
      </w:r>
    </w:p>
    <w:tbl>
      <w:tblPr>
        <w:tblStyle w:val="aff1"/>
        <w:tblW w:w="15028" w:type="dxa"/>
        <w:tblInd w:w="-29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707"/>
        <w:gridCol w:w="988"/>
        <w:gridCol w:w="1247"/>
        <w:gridCol w:w="1247"/>
        <w:gridCol w:w="1199"/>
        <w:gridCol w:w="855"/>
        <w:gridCol w:w="989"/>
        <w:gridCol w:w="1279"/>
        <w:gridCol w:w="1265"/>
        <w:gridCol w:w="2140"/>
        <w:gridCol w:w="1268"/>
        <w:gridCol w:w="1136"/>
      </w:tblGrid>
      <w:tr w:rsidR="007F0CB1" w14:paraId="138109CE" w14:textId="77777777" w:rsidTr="003D1C11">
        <w:tc>
          <w:tcPr>
            <w:tcW w:w="6951"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56F18367" w14:textId="77777777" w:rsidR="007F0CB1" w:rsidRDefault="007F0CB1">
            <w:pPr>
              <w:jc w:val="center"/>
              <w:rPr>
                <w:b/>
                <w:sz w:val="20"/>
                <w:szCs w:val="20"/>
              </w:rPr>
            </w:pPr>
            <w:r>
              <w:rPr>
                <w:b/>
                <w:sz w:val="20"/>
                <w:szCs w:val="20"/>
              </w:rPr>
              <w:t>Certainty assessment</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A4AEAAD" w14:textId="77777777" w:rsidR="007F0CB1" w:rsidRDefault="007F0CB1">
            <w:pPr>
              <w:jc w:val="center"/>
              <w:rPr>
                <w:b/>
                <w:sz w:val="20"/>
                <w:szCs w:val="20"/>
              </w:rPr>
            </w:pPr>
            <w:r>
              <w:rPr>
                <w:b/>
                <w:sz w:val="20"/>
                <w:szCs w:val="20"/>
              </w:rPr>
              <w:t>№ of events/№ of patients</w:t>
            </w:r>
          </w:p>
        </w:tc>
        <w:tc>
          <w:tcPr>
            <w:tcW w:w="340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719B20E" w14:textId="77777777" w:rsidR="007F0CB1" w:rsidRDefault="007F0CB1">
            <w:pPr>
              <w:jc w:val="center"/>
              <w:rPr>
                <w:b/>
                <w:sz w:val="20"/>
                <w:szCs w:val="20"/>
              </w:rPr>
            </w:pPr>
            <w:r>
              <w:rPr>
                <w:b/>
                <w:sz w:val="20"/>
                <w:szCs w:val="20"/>
              </w:rPr>
              <w:t>Effect</w:t>
            </w:r>
          </w:p>
        </w:tc>
        <w:tc>
          <w:tcPr>
            <w:tcW w:w="1268" w:type="dxa"/>
            <w:vMerge w:val="restart"/>
            <w:tcBorders>
              <w:top w:val="single" w:sz="6" w:space="0" w:color="000000"/>
              <w:left w:val="single" w:sz="6" w:space="0" w:color="000000"/>
              <w:right w:val="single" w:sz="6" w:space="0" w:color="000000"/>
            </w:tcBorders>
            <w:shd w:val="clear" w:color="auto" w:fill="D9D9D9"/>
            <w:vAlign w:val="center"/>
          </w:tcPr>
          <w:p w14:paraId="2FD0C0AB" w14:textId="77777777" w:rsidR="007F0CB1" w:rsidRDefault="007F0CB1">
            <w:pPr>
              <w:jc w:val="center"/>
              <w:rPr>
                <w:b/>
                <w:sz w:val="20"/>
                <w:szCs w:val="20"/>
              </w:rPr>
            </w:pPr>
            <w:r>
              <w:rPr>
                <w:b/>
                <w:sz w:val="20"/>
                <w:szCs w:val="20"/>
              </w:rPr>
              <w:t>Certainty</w:t>
            </w:r>
          </w:p>
        </w:tc>
        <w:tc>
          <w:tcPr>
            <w:tcW w:w="1134" w:type="dxa"/>
            <w:vMerge w:val="restart"/>
            <w:tcBorders>
              <w:top w:val="single" w:sz="6" w:space="0" w:color="000000"/>
              <w:left w:val="single" w:sz="6" w:space="0" w:color="000000"/>
              <w:right w:val="single" w:sz="6" w:space="0" w:color="000000"/>
            </w:tcBorders>
            <w:shd w:val="clear" w:color="auto" w:fill="D9D9D9"/>
            <w:vAlign w:val="center"/>
          </w:tcPr>
          <w:p w14:paraId="767C2414" w14:textId="77777777" w:rsidR="007F0CB1" w:rsidRDefault="007F0CB1">
            <w:pPr>
              <w:jc w:val="center"/>
              <w:rPr>
                <w:b/>
                <w:sz w:val="20"/>
                <w:szCs w:val="20"/>
              </w:rPr>
            </w:pPr>
            <w:r>
              <w:rPr>
                <w:b/>
                <w:sz w:val="20"/>
                <w:szCs w:val="20"/>
              </w:rPr>
              <w:t>Importance</w:t>
            </w:r>
          </w:p>
        </w:tc>
      </w:tr>
      <w:tr w:rsidR="007F0CB1" w14:paraId="78006F60" w14:textId="77777777" w:rsidTr="003D1C11">
        <w:tc>
          <w:tcPr>
            <w:tcW w:w="70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61E519" w14:textId="77777777" w:rsidR="007F0CB1" w:rsidRDefault="007F0CB1">
            <w:pPr>
              <w:jc w:val="center"/>
              <w:rPr>
                <w:b/>
                <w:sz w:val="20"/>
                <w:szCs w:val="20"/>
              </w:rPr>
            </w:pPr>
            <w:r>
              <w:rPr>
                <w:b/>
                <w:sz w:val="20"/>
                <w:szCs w:val="20"/>
              </w:rPr>
              <w:t>№ of studies</w:t>
            </w:r>
          </w:p>
        </w:tc>
        <w:tc>
          <w:tcPr>
            <w:tcW w:w="70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E9ED1F0" w14:textId="77777777" w:rsidR="007F0CB1" w:rsidRDefault="007F0CB1">
            <w:pPr>
              <w:jc w:val="center"/>
              <w:rPr>
                <w:b/>
                <w:sz w:val="20"/>
                <w:szCs w:val="20"/>
              </w:rPr>
            </w:pPr>
            <w:r>
              <w:rPr>
                <w:b/>
                <w:sz w:val="20"/>
                <w:szCs w:val="20"/>
              </w:rPr>
              <w:t>Study design</w:t>
            </w:r>
          </w:p>
        </w:tc>
        <w:tc>
          <w:tcPr>
            <w:tcW w:w="98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E8C691" w14:textId="77777777" w:rsidR="007F0CB1" w:rsidRDefault="007F0CB1">
            <w:pPr>
              <w:jc w:val="center"/>
              <w:rPr>
                <w:b/>
                <w:sz w:val="20"/>
                <w:szCs w:val="20"/>
              </w:rPr>
            </w:pPr>
            <w:r>
              <w:rPr>
                <w:b/>
                <w:sz w:val="20"/>
                <w:szCs w:val="20"/>
              </w:rPr>
              <w:t>Risk of bias</w:t>
            </w:r>
          </w:p>
        </w:tc>
        <w:tc>
          <w:tcPr>
            <w:tcW w:w="124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6169579" w14:textId="77777777" w:rsidR="007F0CB1" w:rsidRDefault="007F0CB1">
            <w:pPr>
              <w:jc w:val="center"/>
              <w:rPr>
                <w:b/>
                <w:sz w:val="20"/>
                <w:szCs w:val="20"/>
              </w:rPr>
            </w:pPr>
            <w:r>
              <w:rPr>
                <w:b/>
                <w:sz w:val="20"/>
                <w:szCs w:val="20"/>
              </w:rPr>
              <w:t>Inconsistency</w:t>
            </w:r>
          </w:p>
        </w:tc>
        <w:tc>
          <w:tcPr>
            <w:tcW w:w="124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7112E7" w14:textId="77777777" w:rsidR="007F0CB1" w:rsidRDefault="007F0CB1">
            <w:pPr>
              <w:jc w:val="center"/>
              <w:rPr>
                <w:b/>
                <w:sz w:val="20"/>
                <w:szCs w:val="20"/>
              </w:rPr>
            </w:pPr>
            <w:r>
              <w:rPr>
                <w:b/>
                <w:sz w:val="20"/>
                <w:szCs w:val="20"/>
              </w:rPr>
              <w:t>Indirectness</w:t>
            </w:r>
          </w:p>
        </w:tc>
        <w:tc>
          <w:tcPr>
            <w:tcW w:w="119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BEF20DA" w14:textId="77777777" w:rsidR="007F0CB1" w:rsidRDefault="007F0CB1">
            <w:pPr>
              <w:jc w:val="center"/>
              <w:rPr>
                <w:b/>
                <w:sz w:val="20"/>
                <w:szCs w:val="20"/>
              </w:rPr>
            </w:pPr>
            <w:r>
              <w:rPr>
                <w:b/>
                <w:sz w:val="20"/>
                <w:szCs w:val="20"/>
              </w:rPr>
              <w:t>Imprecision</w:t>
            </w:r>
          </w:p>
        </w:tc>
        <w:tc>
          <w:tcPr>
            <w:tcW w:w="85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FCC2BA0" w14:textId="77777777" w:rsidR="007F0CB1" w:rsidRDefault="007F0CB1">
            <w:pPr>
              <w:jc w:val="center"/>
              <w:rPr>
                <w:b/>
                <w:sz w:val="20"/>
                <w:szCs w:val="20"/>
              </w:rPr>
            </w:pPr>
            <w:r>
              <w:rPr>
                <w:b/>
                <w:sz w:val="20"/>
                <w:szCs w:val="20"/>
              </w:rPr>
              <w:t>Other considerations</w:t>
            </w:r>
          </w:p>
        </w:tc>
        <w:tc>
          <w:tcPr>
            <w:tcW w:w="98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6B29090" w14:textId="77777777" w:rsidR="007F0CB1" w:rsidRDefault="007F0CB1">
            <w:pPr>
              <w:jc w:val="center"/>
              <w:rPr>
                <w:b/>
                <w:sz w:val="20"/>
                <w:szCs w:val="20"/>
              </w:rPr>
            </w:pPr>
            <w:r>
              <w:rPr>
                <w:b/>
                <w:sz w:val="20"/>
                <w:szCs w:val="20"/>
              </w:rPr>
              <w:t>Oral doxycycline</w:t>
            </w:r>
          </w:p>
        </w:tc>
        <w:tc>
          <w:tcPr>
            <w:tcW w:w="127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60AC51" w14:textId="77777777" w:rsidR="007F0CB1" w:rsidRDefault="007F0CB1">
            <w:pPr>
              <w:jc w:val="center"/>
              <w:rPr>
                <w:b/>
                <w:sz w:val="20"/>
                <w:szCs w:val="20"/>
              </w:rPr>
            </w:pPr>
            <w:r>
              <w:rPr>
                <w:b/>
                <w:sz w:val="20"/>
                <w:szCs w:val="20"/>
              </w:rPr>
              <w:t xml:space="preserve">IV antibiotics (penicillin G or ceftriaxone) </w:t>
            </w:r>
          </w:p>
        </w:tc>
        <w:tc>
          <w:tcPr>
            <w:tcW w:w="126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6BF8E9F" w14:textId="77777777" w:rsidR="007F0CB1" w:rsidRDefault="007F0CB1">
            <w:pPr>
              <w:jc w:val="center"/>
              <w:rPr>
                <w:b/>
                <w:sz w:val="20"/>
                <w:szCs w:val="20"/>
              </w:rPr>
            </w:pPr>
            <w:r>
              <w:rPr>
                <w:b/>
                <w:sz w:val="20"/>
                <w:szCs w:val="20"/>
              </w:rPr>
              <w:t>Relative</w:t>
            </w:r>
            <w:r>
              <w:rPr>
                <w:b/>
                <w:sz w:val="20"/>
                <w:szCs w:val="20"/>
              </w:rPr>
              <w:br/>
              <w:t>(95% CI)</w:t>
            </w:r>
          </w:p>
        </w:tc>
        <w:tc>
          <w:tcPr>
            <w:tcW w:w="21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CF3284" w14:textId="77777777" w:rsidR="007F0CB1" w:rsidRDefault="007F0CB1">
            <w:pPr>
              <w:jc w:val="center"/>
              <w:rPr>
                <w:b/>
                <w:sz w:val="20"/>
                <w:szCs w:val="20"/>
              </w:rPr>
            </w:pPr>
            <w:r>
              <w:rPr>
                <w:b/>
                <w:sz w:val="20"/>
                <w:szCs w:val="20"/>
              </w:rPr>
              <w:t>Absolute</w:t>
            </w:r>
            <w:r>
              <w:rPr>
                <w:b/>
                <w:sz w:val="20"/>
                <w:szCs w:val="20"/>
              </w:rPr>
              <w:br/>
              <w:t>(95% CI)</w:t>
            </w:r>
          </w:p>
        </w:tc>
        <w:tc>
          <w:tcPr>
            <w:tcW w:w="1268" w:type="dxa"/>
            <w:vMerge/>
            <w:tcBorders>
              <w:left w:val="single" w:sz="6" w:space="0" w:color="000000"/>
              <w:bottom w:val="single" w:sz="6" w:space="0" w:color="000000"/>
              <w:right w:val="single" w:sz="6" w:space="0" w:color="000000"/>
            </w:tcBorders>
            <w:shd w:val="clear" w:color="auto" w:fill="D9D9D9"/>
            <w:vAlign w:val="center"/>
          </w:tcPr>
          <w:p w14:paraId="50D1DA1A" w14:textId="77777777" w:rsidR="007F0CB1" w:rsidRDefault="007F0CB1">
            <w:pPr>
              <w:rPr>
                <w:b/>
                <w:sz w:val="20"/>
                <w:szCs w:val="20"/>
              </w:rPr>
            </w:pPr>
          </w:p>
        </w:tc>
        <w:tc>
          <w:tcPr>
            <w:tcW w:w="1134" w:type="dxa"/>
            <w:vMerge/>
            <w:tcBorders>
              <w:left w:val="single" w:sz="6" w:space="0" w:color="000000"/>
              <w:bottom w:val="single" w:sz="6" w:space="0" w:color="000000"/>
              <w:right w:val="single" w:sz="6" w:space="0" w:color="000000"/>
            </w:tcBorders>
            <w:shd w:val="clear" w:color="auto" w:fill="D9D9D9"/>
            <w:vAlign w:val="center"/>
          </w:tcPr>
          <w:p w14:paraId="1DA903B8" w14:textId="77777777" w:rsidR="007F0CB1" w:rsidRDefault="007F0CB1">
            <w:pPr>
              <w:rPr>
                <w:b/>
                <w:sz w:val="20"/>
                <w:szCs w:val="20"/>
              </w:rPr>
            </w:pPr>
          </w:p>
        </w:tc>
      </w:tr>
      <w:tr w:rsidR="002D58E4" w14:paraId="5D7B0BFB" w14:textId="77777777" w:rsidTr="003D1C11">
        <w:tc>
          <w:tcPr>
            <w:tcW w:w="1502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3BDA54B" w14:textId="77777777" w:rsidR="002D58E4" w:rsidRDefault="00F721D4">
            <w:pPr>
              <w:rPr>
                <w:sz w:val="20"/>
                <w:szCs w:val="20"/>
              </w:rPr>
            </w:pPr>
            <w:r>
              <w:rPr>
                <w:b/>
                <w:sz w:val="20"/>
                <w:szCs w:val="20"/>
              </w:rPr>
              <w:t xml:space="preserve">Improvement of Neurologic Lyme Symptoms </w:t>
            </w:r>
            <w:r>
              <w:rPr>
                <w:sz w:val="20"/>
                <w:szCs w:val="20"/>
              </w:rPr>
              <w:t xml:space="preserve">(at 4 to 6 months) * </w:t>
            </w:r>
          </w:p>
        </w:tc>
      </w:tr>
      <w:tr w:rsidR="002D58E4" w14:paraId="38E2D95F" w14:textId="77777777" w:rsidTr="003D1C11">
        <w:tc>
          <w:tcPr>
            <w:tcW w:w="708" w:type="dxa"/>
            <w:tcBorders>
              <w:top w:val="single" w:sz="6" w:space="0" w:color="000000"/>
              <w:left w:val="single" w:sz="6" w:space="0" w:color="000000"/>
              <w:bottom w:val="single" w:sz="6" w:space="0" w:color="000000"/>
              <w:right w:val="single" w:sz="6" w:space="0" w:color="000000"/>
            </w:tcBorders>
          </w:tcPr>
          <w:p w14:paraId="54877EF0" w14:textId="77777777" w:rsidR="002D58E4" w:rsidRDefault="00F721D4">
            <w:pPr>
              <w:rPr>
                <w:sz w:val="20"/>
                <w:szCs w:val="20"/>
              </w:rPr>
            </w:pPr>
            <w:r>
              <w:rPr>
                <w:sz w:val="20"/>
                <w:szCs w:val="20"/>
              </w:rPr>
              <w:t xml:space="preserve">2 </w:t>
            </w:r>
          </w:p>
        </w:tc>
        <w:tc>
          <w:tcPr>
            <w:tcW w:w="707" w:type="dxa"/>
            <w:tcBorders>
              <w:top w:val="single" w:sz="6" w:space="0" w:color="000000"/>
              <w:left w:val="single" w:sz="6" w:space="0" w:color="000000"/>
              <w:bottom w:val="single" w:sz="6" w:space="0" w:color="000000"/>
              <w:right w:val="single" w:sz="6" w:space="0" w:color="000000"/>
            </w:tcBorders>
          </w:tcPr>
          <w:p w14:paraId="6D1DA676" w14:textId="77777777" w:rsidR="002D58E4" w:rsidRDefault="00F721D4">
            <w:pPr>
              <w:rPr>
                <w:sz w:val="20"/>
                <w:szCs w:val="20"/>
              </w:rPr>
            </w:pPr>
            <w:r>
              <w:rPr>
                <w:sz w:val="20"/>
                <w:szCs w:val="20"/>
              </w:rPr>
              <w:t xml:space="preserve">RCT </w:t>
            </w:r>
            <w:r>
              <w:rPr>
                <w:sz w:val="20"/>
                <w:szCs w:val="20"/>
                <w:vertAlign w:val="superscript"/>
              </w:rPr>
              <w:t>1,2</w:t>
            </w:r>
            <w:r>
              <w:rPr>
                <w:sz w:val="20"/>
                <w:szCs w:val="20"/>
              </w:rPr>
              <w:t xml:space="preserve"> </w:t>
            </w:r>
          </w:p>
        </w:tc>
        <w:tc>
          <w:tcPr>
            <w:tcW w:w="988" w:type="dxa"/>
            <w:tcBorders>
              <w:top w:val="single" w:sz="6" w:space="0" w:color="000000"/>
              <w:left w:val="single" w:sz="6" w:space="0" w:color="000000"/>
              <w:bottom w:val="single" w:sz="6" w:space="0" w:color="000000"/>
              <w:right w:val="single" w:sz="6" w:space="0" w:color="000000"/>
            </w:tcBorders>
          </w:tcPr>
          <w:p w14:paraId="2587DE93" w14:textId="77777777" w:rsidR="002D58E4" w:rsidRDefault="00F721D4">
            <w:pPr>
              <w:rPr>
                <w:sz w:val="20"/>
                <w:szCs w:val="20"/>
              </w:rPr>
            </w:pPr>
            <w:r>
              <w:rPr>
                <w:sz w:val="20"/>
                <w:szCs w:val="20"/>
              </w:rPr>
              <w:t xml:space="preserve">serious </w:t>
            </w:r>
            <w:r>
              <w:rPr>
                <w:sz w:val="20"/>
                <w:szCs w:val="20"/>
                <w:vertAlign w:val="superscript"/>
              </w:rPr>
              <w:t>a</w:t>
            </w:r>
          </w:p>
        </w:tc>
        <w:tc>
          <w:tcPr>
            <w:tcW w:w="1247" w:type="dxa"/>
            <w:tcBorders>
              <w:top w:val="single" w:sz="6" w:space="0" w:color="000000"/>
              <w:left w:val="single" w:sz="6" w:space="0" w:color="000000"/>
              <w:bottom w:val="single" w:sz="6" w:space="0" w:color="000000"/>
              <w:right w:val="single" w:sz="6" w:space="0" w:color="000000"/>
            </w:tcBorders>
          </w:tcPr>
          <w:p w14:paraId="687281D8" w14:textId="77777777" w:rsidR="002D58E4" w:rsidRDefault="00F721D4">
            <w:pPr>
              <w:rPr>
                <w:sz w:val="20"/>
                <w:szCs w:val="20"/>
              </w:rPr>
            </w:pPr>
            <w:r>
              <w:rPr>
                <w:sz w:val="20"/>
                <w:szCs w:val="20"/>
              </w:rPr>
              <w:t>not serious</w:t>
            </w:r>
          </w:p>
        </w:tc>
        <w:tc>
          <w:tcPr>
            <w:tcW w:w="1247" w:type="dxa"/>
            <w:tcBorders>
              <w:top w:val="single" w:sz="6" w:space="0" w:color="000000"/>
              <w:left w:val="single" w:sz="6" w:space="0" w:color="000000"/>
              <w:bottom w:val="single" w:sz="6" w:space="0" w:color="000000"/>
              <w:right w:val="single" w:sz="6" w:space="0" w:color="000000"/>
            </w:tcBorders>
          </w:tcPr>
          <w:p w14:paraId="0BEC3083" w14:textId="77777777" w:rsidR="002D58E4" w:rsidRDefault="00F721D4">
            <w:pPr>
              <w:rPr>
                <w:sz w:val="20"/>
                <w:szCs w:val="20"/>
              </w:rPr>
            </w:pPr>
            <w:r>
              <w:rPr>
                <w:sz w:val="20"/>
                <w:szCs w:val="20"/>
              </w:rPr>
              <w:t xml:space="preserve">not serious </w:t>
            </w:r>
          </w:p>
        </w:tc>
        <w:tc>
          <w:tcPr>
            <w:tcW w:w="1199" w:type="dxa"/>
            <w:tcBorders>
              <w:top w:val="single" w:sz="6" w:space="0" w:color="000000"/>
              <w:left w:val="single" w:sz="6" w:space="0" w:color="000000"/>
              <w:bottom w:val="single" w:sz="6" w:space="0" w:color="000000"/>
              <w:right w:val="single" w:sz="6" w:space="0" w:color="000000"/>
            </w:tcBorders>
          </w:tcPr>
          <w:p w14:paraId="7F0DBA6C" w14:textId="77777777" w:rsidR="002D58E4" w:rsidRDefault="00F721D4">
            <w:pPr>
              <w:rPr>
                <w:sz w:val="20"/>
                <w:szCs w:val="20"/>
              </w:rPr>
            </w:pPr>
            <w:r>
              <w:rPr>
                <w:sz w:val="20"/>
                <w:szCs w:val="20"/>
              </w:rPr>
              <w:t xml:space="preserve">serious </w:t>
            </w:r>
            <w:r>
              <w:rPr>
                <w:sz w:val="20"/>
                <w:szCs w:val="20"/>
                <w:vertAlign w:val="superscript"/>
              </w:rPr>
              <w:t xml:space="preserve">c </w:t>
            </w:r>
          </w:p>
        </w:tc>
        <w:tc>
          <w:tcPr>
            <w:tcW w:w="855" w:type="dxa"/>
            <w:tcBorders>
              <w:top w:val="single" w:sz="6" w:space="0" w:color="000000"/>
              <w:left w:val="single" w:sz="6" w:space="0" w:color="000000"/>
              <w:bottom w:val="single" w:sz="6" w:space="0" w:color="000000"/>
              <w:right w:val="single" w:sz="6" w:space="0" w:color="000000"/>
            </w:tcBorders>
          </w:tcPr>
          <w:p w14:paraId="4CB5C136" w14:textId="77777777" w:rsidR="002D58E4" w:rsidRDefault="00F721D4">
            <w:pPr>
              <w:rPr>
                <w:sz w:val="20"/>
                <w:szCs w:val="20"/>
              </w:rPr>
            </w:pPr>
            <w:r>
              <w:rPr>
                <w:sz w:val="20"/>
                <w:szCs w:val="20"/>
              </w:rPr>
              <w:t xml:space="preserve">none </w:t>
            </w:r>
          </w:p>
        </w:tc>
        <w:tc>
          <w:tcPr>
            <w:tcW w:w="989" w:type="dxa"/>
            <w:tcBorders>
              <w:top w:val="single" w:sz="6" w:space="0" w:color="000000"/>
              <w:left w:val="single" w:sz="6" w:space="0" w:color="000000"/>
              <w:bottom w:val="single" w:sz="6" w:space="0" w:color="000000"/>
              <w:right w:val="single" w:sz="6" w:space="0" w:color="000000"/>
            </w:tcBorders>
          </w:tcPr>
          <w:p w14:paraId="73C217BF" w14:textId="77777777" w:rsidR="002D58E4" w:rsidRDefault="00F721D4">
            <w:pPr>
              <w:jc w:val="center"/>
              <w:rPr>
                <w:sz w:val="20"/>
                <w:szCs w:val="20"/>
              </w:rPr>
            </w:pPr>
            <w:r>
              <w:rPr>
                <w:sz w:val="20"/>
                <w:szCs w:val="20"/>
              </w:rPr>
              <w:t xml:space="preserve">50/85 </w:t>
            </w:r>
          </w:p>
          <w:p w14:paraId="7815E023" w14:textId="77777777" w:rsidR="002D58E4" w:rsidRDefault="00F721D4">
            <w:pPr>
              <w:jc w:val="center"/>
              <w:rPr>
                <w:sz w:val="20"/>
                <w:szCs w:val="20"/>
              </w:rPr>
            </w:pPr>
            <w:r>
              <w:rPr>
                <w:sz w:val="20"/>
                <w:szCs w:val="20"/>
              </w:rPr>
              <w:t>(58.8%)</w:t>
            </w:r>
          </w:p>
        </w:tc>
        <w:tc>
          <w:tcPr>
            <w:tcW w:w="1279" w:type="dxa"/>
            <w:tcBorders>
              <w:top w:val="single" w:sz="6" w:space="0" w:color="000000"/>
              <w:left w:val="single" w:sz="6" w:space="0" w:color="000000"/>
              <w:bottom w:val="single" w:sz="6" w:space="0" w:color="000000"/>
              <w:right w:val="single" w:sz="6" w:space="0" w:color="000000"/>
            </w:tcBorders>
          </w:tcPr>
          <w:p w14:paraId="7A449253" w14:textId="77777777" w:rsidR="002D58E4" w:rsidRDefault="00F721D4">
            <w:pPr>
              <w:jc w:val="center"/>
              <w:rPr>
                <w:sz w:val="20"/>
                <w:szCs w:val="20"/>
              </w:rPr>
            </w:pPr>
            <w:r>
              <w:rPr>
                <w:sz w:val="20"/>
                <w:szCs w:val="20"/>
              </w:rPr>
              <w:t xml:space="preserve">32/69 </w:t>
            </w:r>
          </w:p>
          <w:p w14:paraId="33AE84D8" w14:textId="77777777" w:rsidR="002D58E4" w:rsidRDefault="00F721D4">
            <w:pPr>
              <w:jc w:val="center"/>
              <w:rPr>
                <w:sz w:val="20"/>
                <w:szCs w:val="20"/>
              </w:rPr>
            </w:pPr>
            <w:r>
              <w:rPr>
                <w:sz w:val="20"/>
                <w:szCs w:val="20"/>
              </w:rPr>
              <w:t>(46.4%)</w:t>
            </w:r>
          </w:p>
        </w:tc>
        <w:tc>
          <w:tcPr>
            <w:tcW w:w="1265" w:type="dxa"/>
            <w:tcBorders>
              <w:top w:val="single" w:sz="6" w:space="0" w:color="000000"/>
              <w:left w:val="single" w:sz="6" w:space="0" w:color="000000"/>
              <w:bottom w:val="single" w:sz="6" w:space="0" w:color="000000"/>
              <w:right w:val="single" w:sz="6" w:space="0" w:color="000000"/>
            </w:tcBorders>
          </w:tcPr>
          <w:p w14:paraId="492B34B3" w14:textId="77777777" w:rsidR="002D58E4" w:rsidRDefault="00F721D4">
            <w:pPr>
              <w:jc w:val="center"/>
              <w:rPr>
                <w:sz w:val="20"/>
                <w:szCs w:val="20"/>
              </w:rPr>
            </w:pPr>
            <w:r>
              <w:rPr>
                <w:sz w:val="20"/>
                <w:szCs w:val="20"/>
              </w:rPr>
              <w:t>RR 1.27</w:t>
            </w:r>
          </w:p>
          <w:p w14:paraId="199195E4" w14:textId="77777777" w:rsidR="002D58E4" w:rsidRDefault="00F721D4">
            <w:pPr>
              <w:jc w:val="center"/>
              <w:rPr>
                <w:sz w:val="20"/>
                <w:szCs w:val="20"/>
              </w:rPr>
            </w:pPr>
            <w:r>
              <w:rPr>
                <w:sz w:val="20"/>
                <w:szCs w:val="20"/>
              </w:rPr>
              <w:t>(0.93 to 1.73)</w:t>
            </w:r>
          </w:p>
        </w:tc>
        <w:tc>
          <w:tcPr>
            <w:tcW w:w="2140" w:type="dxa"/>
            <w:tcBorders>
              <w:top w:val="single" w:sz="6" w:space="0" w:color="000000"/>
              <w:left w:val="single" w:sz="6" w:space="0" w:color="000000"/>
              <w:bottom w:val="single" w:sz="6" w:space="0" w:color="000000"/>
              <w:right w:val="single" w:sz="6" w:space="0" w:color="000000"/>
            </w:tcBorders>
          </w:tcPr>
          <w:p w14:paraId="012FFDA9" w14:textId="77777777" w:rsidR="002D58E4" w:rsidRDefault="00F721D4">
            <w:pPr>
              <w:jc w:val="center"/>
              <w:rPr>
                <w:sz w:val="20"/>
                <w:szCs w:val="20"/>
              </w:rPr>
            </w:pPr>
            <w:r>
              <w:rPr>
                <w:sz w:val="20"/>
                <w:szCs w:val="20"/>
              </w:rPr>
              <w:t>127 more per 1,000</w:t>
            </w:r>
          </w:p>
          <w:p w14:paraId="2922E7DB" w14:textId="77777777" w:rsidR="002D58E4" w:rsidRDefault="00F721D4">
            <w:pPr>
              <w:jc w:val="center"/>
              <w:rPr>
                <w:sz w:val="20"/>
                <w:szCs w:val="20"/>
              </w:rPr>
            </w:pPr>
            <w:r>
              <w:rPr>
                <w:sz w:val="20"/>
                <w:szCs w:val="20"/>
              </w:rPr>
              <w:t>(from 32 fewer to 339 more)</w:t>
            </w:r>
          </w:p>
        </w:tc>
        <w:tc>
          <w:tcPr>
            <w:tcW w:w="1268" w:type="dxa"/>
            <w:tcBorders>
              <w:top w:val="single" w:sz="6" w:space="0" w:color="000000"/>
              <w:left w:val="single" w:sz="6" w:space="0" w:color="000000"/>
              <w:bottom w:val="single" w:sz="6" w:space="0" w:color="000000"/>
              <w:right w:val="single" w:sz="6" w:space="0" w:color="000000"/>
            </w:tcBorders>
          </w:tcPr>
          <w:p w14:paraId="3B257D8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4" w:type="dxa"/>
            <w:tcBorders>
              <w:top w:val="single" w:sz="6" w:space="0" w:color="000000"/>
              <w:left w:val="single" w:sz="6" w:space="0" w:color="000000"/>
              <w:bottom w:val="single" w:sz="6" w:space="0" w:color="000000"/>
              <w:right w:val="single" w:sz="6" w:space="0" w:color="000000"/>
            </w:tcBorders>
          </w:tcPr>
          <w:p w14:paraId="284D4F2A" w14:textId="77777777" w:rsidR="002D58E4" w:rsidRDefault="00F721D4">
            <w:pPr>
              <w:rPr>
                <w:sz w:val="20"/>
                <w:szCs w:val="20"/>
              </w:rPr>
            </w:pPr>
            <w:r>
              <w:rPr>
                <w:sz w:val="20"/>
                <w:szCs w:val="20"/>
              </w:rPr>
              <w:t xml:space="preserve">CRITICAL </w:t>
            </w:r>
          </w:p>
        </w:tc>
      </w:tr>
      <w:tr w:rsidR="002D58E4" w14:paraId="03CEB5A6" w14:textId="77777777" w:rsidTr="003D1C11">
        <w:tc>
          <w:tcPr>
            <w:tcW w:w="1502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1B9E68D" w14:textId="77777777" w:rsidR="002D58E4" w:rsidRDefault="00F721D4">
            <w:pPr>
              <w:rPr>
                <w:b/>
                <w:sz w:val="20"/>
                <w:szCs w:val="20"/>
              </w:rPr>
            </w:pPr>
            <w:r>
              <w:rPr>
                <w:b/>
                <w:sz w:val="20"/>
                <w:szCs w:val="20"/>
              </w:rPr>
              <w:t xml:space="preserve">Improvement of Cerebrospinal Fluid Pleocytosis </w:t>
            </w:r>
            <w:r>
              <w:rPr>
                <w:sz w:val="20"/>
                <w:szCs w:val="20"/>
              </w:rPr>
              <w:t>(a</w:t>
            </w:r>
            <w:r>
              <w:t xml:space="preserve">t </w:t>
            </w:r>
            <w:r>
              <w:rPr>
                <w:sz w:val="20"/>
                <w:szCs w:val="20"/>
              </w:rPr>
              <w:t xml:space="preserve">12 months) </w:t>
            </w:r>
          </w:p>
        </w:tc>
      </w:tr>
      <w:tr w:rsidR="002D58E4" w14:paraId="37972E61" w14:textId="77777777" w:rsidTr="003D1C11">
        <w:tc>
          <w:tcPr>
            <w:tcW w:w="708" w:type="dxa"/>
            <w:tcBorders>
              <w:top w:val="single" w:sz="6" w:space="0" w:color="000000"/>
              <w:left w:val="single" w:sz="6" w:space="0" w:color="000000"/>
              <w:bottom w:val="single" w:sz="6" w:space="0" w:color="000000"/>
              <w:right w:val="single" w:sz="6" w:space="0" w:color="000000"/>
            </w:tcBorders>
          </w:tcPr>
          <w:p w14:paraId="2C1B4FB0" w14:textId="77777777" w:rsidR="002D58E4" w:rsidRDefault="00F721D4">
            <w:pPr>
              <w:rPr>
                <w:sz w:val="20"/>
                <w:szCs w:val="20"/>
              </w:rPr>
            </w:pPr>
            <w:r>
              <w:rPr>
                <w:sz w:val="20"/>
                <w:szCs w:val="20"/>
              </w:rPr>
              <w:t xml:space="preserve">1 </w:t>
            </w:r>
          </w:p>
        </w:tc>
        <w:tc>
          <w:tcPr>
            <w:tcW w:w="707" w:type="dxa"/>
            <w:tcBorders>
              <w:top w:val="single" w:sz="6" w:space="0" w:color="000000"/>
              <w:left w:val="single" w:sz="6" w:space="0" w:color="000000"/>
              <w:bottom w:val="single" w:sz="6" w:space="0" w:color="000000"/>
              <w:right w:val="single" w:sz="6" w:space="0" w:color="000000"/>
            </w:tcBorders>
          </w:tcPr>
          <w:p w14:paraId="2ECCD720"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0365A558" w14:textId="77777777" w:rsidR="002D58E4" w:rsidRDefault="00F721D4">
            <w:pPr>
              <w:rPr>
                <w:sz w:val="20"/>
                <w:szCs w:val="20"/>
              </w:rPr>
            </w:pPr>
            <w:r>
              <w:rPr>
                <w:sz w:val="20"/>
                <w:szCs w:val="20"/>
              </w:rPr>
              <w:t xml:space="preserve">serious </w:t>
            </w:r>
            <w:r>
              <w:rPr>
                <w:sz w:val="20"/>
                <w:szCs w:val="20"/>
                <w:vertAlign w:val="superscript"/>
              </w:rPr>
              <w:t>a</w:t>
            </w:r>
          </w:p>
        </w:tc>
        <w:tc>
          <w:tcPr>
            <w:tcW w:w="1247" w:type="dxa"/>
            <w:tcBorders>
              <w:top w:val="single" w:sz="6" w:space="0" w:color="000000"/>
              <w:left w:val="single" w:sz="6" w:space="0" w:color="000000"/>
              <w:bottom w:val="single" w:sz="6" w:space="0" w:color="000000"/>
              <w:right w:val="single" w:sz="6" w:space="0" w:color="000000"/>
            </w:tcBorders>
          </w:tcPr>
          <w:p w14:paraId="6D84D5B7" w14:textId="77777777" w:rsidR="002D58E4" w:rsidRDefault="00F721D4">
            <w:pPr>
              <w:rPr>
                <w:sz w:val="20"/>
                <w:szCs w:val="20"/>
              </w:rPr>
            </w:pPr>
            <w:r>
              <w:rPr>
                <w:sz w:val="20"/>
                <w:szCs w:val="20"/>
              </w:rPr>
              <w:t xml:space="preserve">not serious </w:t>
            </w:r>
          </w:p>
        </w:tc>
        <w:tc>
          <w:tcPr>
            <w:tcW w:w="1247" w:type="dxa"/>
            <w:tcBorders>
              <w:top w:val="single" w:sz="6" w:space="0" w:color="000000"/>
              <w:left w:val="single" w:sz="6" w:space="0" w:color="000000"/>
              <w:bottom w:val="single" w:sz="6" w:space="0" w:color="000000"/>
              <w:right w:val="single" w:sz="6" w:space="0" w:color="000000"/>
            </w:tcBorders>
          </w:tcPr>
          <w:p w14:paraId="1C07C8E4" w14:textId="77777777" w:rsidR="002D58E4" w:rsidRDefault="00F721D4">
            <w:pPr>
              <w:rPr>
                <w:sz w:val="20"/>
                <w:szCs w:val="20"/>
              </w:rPr>
            </w:pPr>
            <w:r>
              <w:rPr>
                <w:sz w:val="20"/>
                <w:szCs w:val="20"/>
              </w:rPr>
              <w:t xml:space="preserve"> serious </w:t>
            </w:r>
            <w:r>
              <w:rPr>
                <w:sz w:val="20"/>
                <w:szCs w:val="20"/>
                <w:vertAlign w:val="superscript"/>
              </w:rPr>
              <w:t>b</w:t>
            </w:r>
          </w:p>
        </w:tc>
        <w:tc>
          <w:tcPr>
            <w:tcW w:w="1199" w:type="dxa"/>
            <w:tcBorders>
              <w:top w:val="single" w:sz="6" w:space="0" w:color="000000"/>
              <w:left w:val="single" w:sz="6" w:space="0" w:color="000000"/>
              <w:bottom w:val="single" w:sz="6" w:space="0" w:color="000000"/>
              <w:right w:val="single" w:sz="6" w:space="0" w:color="000000"/>
            </w:tcBorders>
          </w:tcPr>
          <w:p w14:paraId="71B28C98" w14:textId="77777777" w:rsidR="002D58E4" w:rsidRDefault="00F721D4">
            <w:pPr>
              <w:rPr>
                <w:sz w:val="20"/>
                <w:szCs w:val="20"/>
              </w:rPr>
            </w:pPr>
            <w:r>
              <w:rPr>
                <w:sz w:val="20"/>
                <w:szCs w:val="20"/>
              </w:rPr>
              <w:t xml:space="preserve">very serious </w:t>
            </w:r>
            <w:r>
              <w:rPr>
                <w:sz w:val="20"/>
                <w:szCs w:val="20"/>
                <w:vertAlign w:val="superscript"/>
              </w:rPr>
              <w:t xml:space="preserve">d </w:t>
            </w:r>
          </w:p>
        </w:tc>
        <w:tc>
          <w:tcPr>
            <w:tcW w:w="855" w:type="dxa"/>
            <w:tcBorders>
              <w:top w:val="single" w:sz="6" w:space="0" w:color="000000"/>
              <w:left w:val="single" w:sz="6" w:space="0" w:color="000000"/>
              <w:bottom w:val="single" w:sz="6" w:space="0" w:color="000000"/>
              <w:right w:val="single" w:sz="6" w:space="0" w:color="000000"/>
            </w:tcBorders>
          </w:tcPr>
          <w:p w14:paraId="69C8A524" w14:textId="77777777" w:rsidR="002D58E4" w:rsidRDefault="00F721D4">
            <w:pPr>
              <w:rPr>
                <w:sz w:val="20"/>
                <w:szCs w:val="20"/>
              </w:rPr>
            </w:pPr>
            <w:r>
              <w:rPr>
                <w:sz w:val="20"/>
                <w:szCs w:val="20"/>
              </w:rPr>
              <w:t xml:space="preserve">none </w:t>
            </w:r>
          </w:p>
        </w:tc>
        <w:tc>
          <w:tcPr>
            <w:tcW w:w="989" w:type="dxa"/>
            <w:tcBorders>
              <w:top w:val="single" w:sz="6" w:space="0" w:color="000000"/>
              <w:left w:val="single" w:sz="6" w:space="0" w:color="000000"/>
              <w:bottom w:val="single" w:sz="6" w:space="0" w:color="000000"/>
              <w:right w:val="single" w:sz="6" w:space="0" w:color="000000"/>
            </w:tcBorders>
          </w:tcPr>
          <w:p w14:paraId="51745515" w14:textId="77777777" w:rsidR="002D58E4" w:rsidRDefault="00F721D4">
            <w:pPr>
              <w:jc w:val="center"/>
              <w:rPr>
                <w:sz w:val="20"/>
                <w:szCs w:val="20"/>
              </w:rPr>
            </w:pPr>
            <w:r>
              <w:rPr>
                <w:sz w:val="20"/>
                <w:szCs w:val="20"/>
              </w:rPr>
              <w:t xml:space="preserve">18/20 </w:t>
            </w:r>
          </w:p>
          <w:p w14:paraId="76F0DBE5" w14:textId="77777777" w:rsidR="002D58E4" w:rsidRDefault="00F721D4">
            <w:pPr>
              <w:jc w:val="center"/>
              <w:rPr>
                <w:sz w:val="20"/>
                <w:szCs w:val="20"/>
              </w:rPr>
            </w:pPr>
            <w:r>
              <w:rPr>
                <w:sz w:val="20"/>
                <w:szCs w:val="20"/>
              </w:rPr>
              <w:t>(90.0%)</w:t>
            </w:r>
          </w:p>
        </w:tc>
        <w:tc>
          <w:tcPr>
            <w:tcW w:w="1279" w:type="dxa"/>
            <w:tcBorders>
              <w:top w:val="single" w:sz="6" w:space="0" w:color="000000"/>
              <w:left w:val="single" w:sz="6" w:space="0" w:color="000000"/>
              <w:bottom w:val="single" w:sz="6" w:space="0" w:color="000000"/>
              <w:right w:val="single" w:sz="6" w:space="0" w:color="000000"/>
            </w:tcBorders>
          </w:tcPr>
          <w:p w14:paraId="1130D528" w14:textId="77777777" w:rsidR="002D58E4" w:rsidRDefault="00F721D4">
            <w:pPr>
              <w:jc w:val="center"/>
              <w:rPr>
                <w:sz w:val="20"/>
                <w:szCs w:val="20"/>
              </w:rPr>
            </w:pPr>
            <w:r>
              <w:rPr>
                <w:sz w:val="20"/>
                <w:szCs w:val="20"/>
              </w:rPr>
              <w:t xml:space="preserve">8/9 </w:t>
            </w:r>
          </w:p>
          <w:p w14:paraId="196E27D7" w14:textId="77777777" w:rsidR="002D58E4" w:rsidRDefault="00F721D4">
            <w:pPr>
              <w:jc w:val="center"/>
              <w:rPr>
                <w:sz w:val="20"/>
                <w:szCs w:val="20"/>
              </w:rPr>
            </w:pPr>
            <w:r>
              <w:rPr>
                <w:sz w:val="20"/>
                <w:szCs w:val="20"/>
              </w:rPr>
              <w:t>(88.9%)</w:t>
            </w:r>
          </w:p>
        </w:tc>
        <w:tc>
          <w:tcPr>
            <w:tcW w:w="1265" w:type="dxa"/>
            <w:tcBorders>
              <w:top w:val="single" w:sz="6" w:space="0" w:color="000000"/>
              <w:left w:val="single" w:sz="6" w:space="0" w:color="000000"/>
              <w:bottom w:val="single" w:sz="6" w:space="0" w:color="000000"/>
              <w:right w:val="single" w:sz="6" w:space="0" w:color="000000"/>
            </w:tcBorders>
          </w:tcPr>
          <w:p w14:paraId="31FB2172" w14:textId="77777777" w:rsidR="002D58E4" w:rsidRDefault="00F721D4">
            <w:pPr>
              <w:jc w:val="center"/>
              <w:rPr>
                <w:sz w:val="20"/>
                <w:szCs w:val="20"/>
              </w:rPr>
            </w:pPr>
            <w:r>
              <w:rPr>
                <w:sz w:val="20"/>
                <w:szCs w:val="20"/>
              </w:rPr>
              <w:t>RR 1.01</w:t>
            </w:r>
            <w:r>
              <w:rPr>
                <w:sz w:val="20"/>
                <w:szCs w:val="20"/>
              </w:rPr>
              <w:br/>
              <w:t xml:space="preserve">(0.77 to 1.33) </w:t>
            </w:r>
          </w:p>
        </w:tc>
        <w:tc>
          <w:tcPr>
            <w:tcW w:w="2140" w:type="dxa"/>
            <w:tcBorders>
              <w:top w:val="single" w:sz="6" w:space="0" w:color="000000"/>
              <w:left w:val="single" w:sz="6" w:space="0" w:color="000000"/>
              <w:bottom w:val="single" w:sz="6" w:space="0" w:color="000000"/>
              <w:right w:val="single" w:sz="6" w:space="0" w:color="000000"/>
            </w:tcBorders>
          </w:tcPr>
          <w:p w14:paraId="0A3EF10D" w14:textId="77777777" w:rsidR="002D58E4" w:rsidRDefault="00F721D4">
            <w:pPr>
              <w:jc w:val="center"/>
              <w:rPr>
                <w:sz w:val="20"/>
                <w:szCs w:val="20"/>
              </w:rPr>
            </w:pPr>
            <w:r>
              <w:rPr>
                <w:sz w:val="20"/>
                <w:szCs w:val="20"/>
              </w:rPr>
              <w:t>11 more per 1,000</w:t>
            </w:r>
            <w:r>
              <w:rPr>
                <w:sz w:val="20"/>
                <w:szCs w:val="20"/>
              </w:rPr>
              <w:br/>
              <w:t xml:space="preserve">(from 204 fewer to 294 more) </w:t>
            </w:r>
          </w:p>
        </w:tc>
        <w:tc>
          <w:tcPr>
            <w:tcW w:w="1268" w:type="dxa"/>
            <w:tcBorders>
              <w:top w:val="single" w:sz="6" w:space="0" w:color="000000"/>
              <w:left w:val="single" w:sz="6" w:space="0" w:color="000000"/>
              <w:bottom w:val="single" w:sz="6" w:space="0" w:color="000000"/>
              <w:right w:val="single" w:sz="6" w:space="0" w:color="000000"/>
            </w:tcBorders>
          </w:tcPr>
          <w:p w14:paraId="2BB2430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p w14:paraId="70C181E9" w14:textId="77777777" w:rsidR="002D58E4" w:rsidRDefault="002D58E4">
            <w:pPr>
              <w:jc w:val="center"/>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4AA1ADD9" w14:textId="77777777" w:rsidR="002D58E4" w:rsidRDefault="00F721D4">
            <w:pPr>
              <w:rPr>
                <w:sz w:val="20"/>
                <w:szCs w:val="20"/>
              </w:rPr>
            </w:pPr>
            <w:r>
              <w:rPr>
                <w:sz w:val="20"/>
                <w:szCs w:val="20"/>
              </w:rPr>
              <w:t xml:space="preserve">IMPORTANT </w:t>
            </w:r>
          </w:p>
        </w:tc>
      </w:tr>
      <w:tr w:rsidR="002D58E4" w14:paraId="1AE1F47B" w14:textId="77777777" w:rsidTr="003D1C11">
        <w:tc>
          <w:tcPr>
            <w:tcW w:w="1502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DDB2331" w14:textId="77777777" w:rsidR="002D58E4" w:rsidRDefault="00F721D4">
            <w:pPr>
              <w:rPr>
                <w:b/>
                <w:sz w:val="20"/>
                <w:szCs w:val="20"/>
              </w:rPr>
            </w:pPr>
            <w:r>
              <w:rPr>
                <w:b/>
                <w:sz w:val="20"/>
                <w:szCs w:val="20"/>
              </w:rPr>
              <w:t xml:space="preserve">Treatment-Related Adverse Events </w:t>
            </w:r>
          </w:p>
        </w:tc>
      </w:tr>
      <w:tr w:rsidR="002D58E4" w14:paraId="0C21B78C" w14:textId="77777777" w:rsidTr="003D1C11">
        <w:tc>
          <w:tcPr>
            <w:tcW w:w="708" w:type="dxa"/>
            <w:tcBorders>
              <w:top w:val="single" w:sz="6" w:space="0" w:color="000000"/>
              <w:left w:val="single" w:sz="6" w:space="0" w:color="000000"/>
              <w:bottom w:val="single" w:sz="6" w:space="0" w:color="000000"/>
              <w:right w:val="single" w:sz="6" w:space="0" w:color="000000"/>
            </w:tcBorders>
          </w:tcPr>
          <w:p w14:paraId="696CD8D0" w14:textId="77777777" w:rsidR="002D58E4" w:rsidRDefault="00F721D4">
            <w:pPr>
              <w:rPr>
                <w:sz w:val="20"/>
                <w:szCs w:val="20"/>
              </w:rPr>
            </w:pPr>
            <w:r>
              <w:rPr>
                <w:sz w:val="20"/>
                <w:szCs w:val="20"/>
              </w:rPr>
              <w:t xml:space="preserve">2 </w:t>
            </w:r>
          </w:p>
        </w:tc>
        <w:tc>
          <w:tcPr>
            <w:tcW w:w="707" w:type="dxa"/>
            <w:tcBorders>
              <w:top w:val="single" w:sz="6" w:space="0" w:color="000000"/>
              <w:left w:val="single" w:sz="6" w:space="0" w:color="000000"/>
              <w:bottom w:val="single" w:sz="6" w:space="0" w:color="000000"/>
              <w:right w:val="single" w:sz="6" w:space="0" w:color="000000"/>
            </w:tcBorders>
          </w:tcPr>
          <w:p w14:paraId="0FC6A45E" w14:textId="77777777" w:rsidR="002D58E4" w:rsidRDefault="00F721D4">
            <w:pPr>
              <w:rPr>
                <w:sz w:val="20"/>
                <w:szCs w:val="20"/>
              </w:rPr>
            </w:pPr>
            <w:r>
              <w:rPr>
                <w:sz w:val="20"/>
                <w:szCs w:val="20"/>
              </w:rPr>
              <w:t xml:space="preserve">RCT </w:t>
            </w:r>
            <w:r>
              <w:rPr>
                <w:sz w:val="20"/>
                <w:szCs w:val="20"/>
                <w:vertAlign w:val="superscript"/>
              </w:rPr>
              <w:t>1,2</w:t>
            </w:r>
          </w:p>
        </w:tc>
        <w:tc>
          <w:tcPr>
            <w:tcW w:w="988" w:type="dxa"/>
            <w:tcBorders>
              <w:top w:val="single" w:sz="6" w:space="0" w:color="000000"/>
              <w:left w:val="single" w:sz="6" w:space="0" w:color="000000"/>
              <w:bottom w:val="single" w:sz="6" w:space="0" w:color="000000"/>
              <w:right w:val="single" w:sz="6" w:space="0" w:color="000000"/>
            </w:tcBorders>
          </w:tcPr>
          <w:p w14:paraId="529C66D7" w14:textId="77777777" w:rsidR="002D58E4" w:rsidRDefault="00F721D4">
            <w:pPr>
              <w:rPr>
                <w:sz w:val="20"/>
                <w:szCs w:val="20"/>
              </w:rPr>
            </w:pPr>
            <w:r>
              <w:rPr>
                <w:sz w:val="20"/>
                <w:szCs w:val="20"/>
              </w:rPr>
              <w:t xml:space="preserve">serious </w:t>
            </w:r>
            <w:r>
              <w:rPr>
                <w:sz w:val="20"/>
                <w:szCs w:val="20"/>
                <w:vertAlign w:val="superscript"/>
              </w:rPr>
              <w:t>a</w:t>
            </w:r>
          </w:p>
        </w:tc>
        <w:tc>
          <w:tcPr>
            <w:tcW w:w="1247" w:type="dxa"/>
            <w:tcBorders>
              <w:top w:val="single" w:sz="6" w:space="0" w:color="000000"/>
              <w:left w:val="single" w:sz="6" w:space="0" w:color="000000"/>
              <w:bottom w:val="single" w:sz="6" w:space="0" w:color="000000"/>
              <w:right w:val="single" w:sz="6" w:space="0" w:color="000000"/>
            </w:tcBorders>
          </w:tcPr>
          <w:p w14:paraId="552224E4" w14:textId="77777777" w:rsidR="002D58E4" w:rsidRDefault="00F721D4">
            <w:pPr>
              <w:rPr>
                <w:sz w:val="20"/>
                <w:szCs w:val="20"/>
              </w:rPr>
            </w:pPr>
            <w:r>
              <w:rPr>
                <w:sz w:val="20"/>
                <w:szCs w:val="20"/>
              </w:rPr>
              <w:t xml:space="preserve">not serious </w:t>
            </w:r>
          </w:p>
        </w:tc>
        <w:tc>
          <w:tcPr>
            <w:tcW w:w="1247" w:type="dxa"/>
            <w:tcBorders>
              <w:top w:val="single" w:sz="6" w:space="0" w:color="000000"/>
              <w:left w:val="single" w:sz="6" w:space="0" w:color="000000"/>
              <w:bottom w:val="single" w:sz="6" w:space="0" w:color="000000"/>
              <w:right w:val="single" w:sz="6" w:space="0" w:color="000000"/>
            </w:tcBorders>
          </w:tcPr>
          <w:p w14:paraId="19EE100E" w14:textId="77777777" w:rsidR="002D58E4" w:rsidRDefault="00F721D4">
            <w:pPr>
              <w:rPr>
                <w:sz w:val="20"/>
                <w:szCs w:val="20"/>
              </w:rPr>
            </w:pPr>
            <w:r>
              <w:rPr>
                <w:sz w:val="20"/>
                <w:szCs w:val="20"/>
              </w:rPr>
              <w:t xml:space="preserve">not serious </w:t>
            </w:r>
          </w:p>
        </w:tc>
        <w:tc>
          <w:tcPr>
            <w:tcW w:w="1199" w:type="dxa"/>
            <w:tcBorders>
              <w:top w:val="single" w:sz="6" w:space="0" w:color="000000"/>
              <w:left w:val="single" w:sz="6" w:space="0" w:color="000000"/>
              <w:bottom w:val="single" w:sz="6" w:space="0" w:color="000000"/>
              <w:right w:val="single" w:sz="6" w:space="0" w:color="000000"/>
            </w:tcBorders>
          </w:tcPr>
          <w:p w14:paraId="5CEA98AA" w14:textId="77777777" w:rsidR="002D58E4" w:rsidRDefault="00F721D4">
            <w:pPr>
              <w:rPr>
                <w:sz w:val="20"/>
                <w:szCs w:val="20"/>
              </w:rPr>
            </w:pPr>
            <w:r>
              <w:rPr>
                <w:sz w:val="20"/>
                <w:szCs w:val="20"/>
              </w:rPr>
              <w:t xml:space="preserve">serious </w:t>
            </w:r>
            <w:r>
              <w:rPr>
                <w:sz w:val="20"/>
                <w:szCs w:val="20"/>
                <w:vertAlign w:val="superscript"/>
              </w:rPr>
              <w:t xml:space="preserve">c </w:t>
            </w:r>
          </w:p>
        </w:tc>
        <w:tc>
          <w:tcPr>
            <w:tcW w:w="855" w:type="dxa"/>
            <w:tcBorders>
              <w:top w:val="single" w:sz="6" w:space="0" w:color="000000"/>
              <w:left w:val="single" w:sz="6" w:space="0" w:color="000000"/>
              <w:bottom w:val="single" w:sz="6" w:space="0" w:color="000000"/>
              <w:right w:val="single" w:sz="6" w:space="0" w:color="000000"/>
            </w:tcBorders>
          </w:tcPr>
          <w:p w14:paraId="2EEF98B6" w14:textId="77777777" w:rsidR="002D58E4" w:rsidRDefault="00F721D4">
            <w:pPr>
              <w:rPr>
                <w:sz w:val="20"/>
                <w:szCs w:val="20"/>
              </w:rPr>
            </w:pPr>
            <w:r>
              <w:rPr>
                <w:sz w:val="20"/>
                <w:szCs w:val="20"/>
              </w:rPr>
              <w:t xml:space="preserve">none </w:t>
            </w:r>
          </w:p>
        </w:tc>
        <w:tc>
          <w:tcPr>
            <w:tcW w:w="989" w:type="dxa"/>
            <w:tcBorders>
              <w:top w:val="single" w:sz="6" w:space="0" w:color="000000"/>
              <w:left w:val="single" w:sz="6" w:space="0" w:color="000000"/>
              <w:bottom w:val="single" w:sz="6" w:space="0" w:color="000000"/>
              <w:right w:val="single" w:sz="6" w:space="0" w:color="000000"/>
            </w:tcBorders>
          </w:tcPr>
          <w:p w14:paraId="38C2479F" w14:textId="77777777" w:rsidR="002D58E4" w:rsidRDefault="00F721D4">
            <w:pPr>
              <w:jc w:val="center"/>
              <w:rPr>
                <w:sz w:val="20"/>
                <w:szCs w:val="20"/>
              </w:rPr>
            </w:pPr>
            <w:r>
              <w:rPr>
                <w:sz w:val="20"/>
                <w:szCs w:val="20"/>
              </w:rPr>
              <w:t xml:space="preserve">25/88 </w:t>
            </w:r>
          </w:p>
          <w:p w14:paraId="10427FDF" w14:textId="77777777" w:rsidR="002D58E4" w:rsidRDefault="00F721D4">
            <w:pPr>
              <w:jc w:val="center"/>
              <w:rPr>
                <w:sz w:val="20"/>
                <w:szCs w:val="20"/>
              </w:rPr>
            </w:pPr>
            <w:r>
              <w:rPr>
                <w:sz w:val="20"/>
                <w:szCs w:val="20"/>
              </w:rPr>
              <w:t>(28.4%)</w:t>
            </w:r>
          </w:p>
        </w:tc>
        <w:tc>
          <w:tcPr>
            <w:tcW w:w="1279" w:type="dxa"/>
            <w:tcBorders>
              <w:top w:val="single" w:sz="6" w:space="0" w:color="000000"/>
              <w:left w:val="single" w:sz="6" w:space="0" w:color="000000"/>
              <w:bottom w:val="single" w:sz="6" w:space="0" w:color="000000"/>
              <w:right w:val="single" w:sz="6" w:space="0" w:color="000000"/>
            </w:tcBorders>
          </w:tcPr>
          <w:p w14:paraId="62305112" w14:textId="77777777" w:rsidR="002D58E4" w:rsidRDefault="00F721D4">
            <w:pPr>
              <w:jc w:val="center"/>
              <w:rPr>
                <w:sz w:val="20"/>
                <w:szCs w:val="20"/>
              </w:rPr>
            </w:pPr>
            <w:r>
              <w:rPr>
                <w:sz w:val="20"/>
                <w:szCs w:val="20"/>
              </w:rPr>
              <w:t xml:space="preserve">29/79 </w:t>
            </w:r>
          </w:p>
          <w:p w14:paraId="72A30F2E" w14:textId="77777777" w:rsidR="002D58E4" w:rsidRDefault="00F721D4">
            <w:pPr>
              <w:jc w:val="center"/>
              <w:rPr>
                <w:sz w:val="20"/>
                <w:szCs w:val="20"/>
              </w:rPr>
            </w:pPr>
            <w:r>
              <w:rPr>
                <w:sz w:val="20"/>
                <w:szCs w:val="20"/>
              </w:rPr>
              <w:t>(36.7%)</w:t>
            </w:r>
          </w:p>
        </w:tc>
        <w:tc>
          <w:tcPr>
            <w:tcW w:w="1265" w:type="dxa"/>
            <w:tcBorders>
              <w:top w:val="single" w:sz="6" w:space="0" w:color="000000"/>
              <w:left w:val="single" w:sz="6" w:space="0" w:color="000000"/>
              <w:bottom w:val="single" w:sz="6" w:space="0" w:color="000000"/>
              <w:right w:val="single" w:sz="6" w:space="0" w:color="000000"/>
            </w:tcBorders>
          </w:tcPr>
          <w:p w14:paraId="748A4A46" w14:textId="77777777" w:rsidR="002D58E4" w:rsidRDefault="00F721D4">
            <w:pPr>
              <w:jc w:val="center"/>
              <w:rPr>
                <w:sz w:val="20"/>
                <w:szCs w:val="20"/>
              </w:rPr>
            </w:pPr>
            <w:r>
              <w:rPr>
                <w:sz w:val="20"/>
                <w:szCs w:val="20"/>
              </w:rPr>
              <w:t>RR 0.77</w:t>
            </w:r>
            <w:r>
              <w:rPr>
                <w:sz w:val="20"/>
                <w:szCs w:val="20"/>
              </w:rPr>
              <w:br/>
              <w:t xml:space="preserve">(0.50 to 1.20) </w:t>
            </w:r>
          </w:p>
        </w:tc>
        <w:tc>
          <w:tcPr>
            <w:tcW w:w="2140" w:type="dxa"/>
            <w:tcBorders>
              <w:top w:val="single" w:sz="6" w:space="0" w:color="000000"/>
              <w:left w:val="single" w:sz="6" w:space="0" w:color="000000"/>
              <w:bottom w:val="single" w:sz="6" w:space="0" w:color="000000"/>
              <w:right w:val="single" w:sz="6" w:space="0" w:color="000000"/>
            </w:tcBorders>
          </w:tcPr>
          <w:p w14:paraId="7850554A" w14:textId="77777777" w:rsidR="002D58E4" w:rsidRDefault="00F721D4">
            <w:pPr>
              <w:jc w:val="center"/>
              <w:rPr>
                <w:sz w:val="20"/>
                <w:szCs w:val="20"/>
              </w:rPr>
            </w:pPr>
            <w:r>
              <w:rPr>
                <w:sz w:val="20"/>
                <w:szCs w:val="20"/>
              </w:rPr>
              <w:t>8</w:t>
            </w:r>
            <w:r>
              <w:t>3 fewer</w:t>
            </w:r>
            <w:r>
              <w:rPr>
                <w:sz w:val="20"/>
                <w:szCs w:val="20"/>
              </w:rPr>
              <w:t xml:space="preserve"> per 1,000</w:t>
            </w:r>
            <w:r>
              <w:rPr>
                <w:sz w:val="20"/>
                <w:szCs w:val="20"/>
              </w:rPr>
              <w:br/>
              <w:t xml:space="preserve">(from 184 fewer to 74 more) </w:t>
            </w:r>
          </w:p>
        </w:tc>
        <w:tc>
          <w:tcPr>
            <w:tcW w:w="1268" w:type="dxa"/>
            <w:tcBorders>
              <w:top w:val="single" w:sz="6" w:space="0" w:color="000000"/>
              <w:left w:val="single" w:sz="6" w:space="0" w:color="000000"/>
              <w:bottom w:val="single" w:sz="6" w:space="0" w:color="000000"/>
              <w:right w:val="single" w:sz="6" w:space="0" w:color="000000"/>
            </w:tcBorders>
          </w:tcPr>
          <w:p w14:paraId="3CE4ED72"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4" w:type="dxa"/>
            <w:tcBorders>
              <w:top w:val="single" w:sz="6" w:space="0" w:color="000000"/>
              <w:left w:val="single" w:sz="6" w:space="0" w:color="000000"/>
              <w:bottom w:val="single" w:sz="6" w:space="0" w:color="000000"/>
              <w:right w:val="single" w:sz="6" w:space="0" w:color="000000"/>
            </w:tcBorders>
          </w:tcPr>
          <w:p w14:paraId="3576081B" w14:textId="77777777" w:rsidR="002D58E4" w:rsidRDefault="00F721D4">
            <w:pPr>
              <w:rPr>
                <w:sz w:val="20"/>
                <w:szCs w:val="20"/>
              </w:rPr>
            </w:pPr>
            <w:r>
              <w:rPr>
                <w:sz w:val="20"/>
                <w:szCs w:val="20"/>
              </w:rPr>
              <w:t xml:space="preserve">CRITICAL </w:t>
            </w:r>
          </w:p>
        </w:tc>
      </w:tr>
      <w:tr w:rsidR="002D58E4" w14:paraId="6AE88C76" w14:textId="77777777" w:rsidTr="003D1C11">
        <w:tc>
          <w:tcPr>
            <w:tcW w:w="1502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48B3122" w14:textId="77777777" w:rsidR="002D58E4" w:rsidRDefault="00F721D4">
            <w:pPr>
              <w:rPr>
                <w:b/>
                <w:sz w:val="20"/>
                <w:szCs w:val="20"/>
              </w:rPr>
            </w:pPr>
            <w:r>
              <w:rPr>
                <w:b/>
                <w:sz w:val="20"/>
                <w:szCs w:val="20"/>
              </w:rPr>
              <w:t xml:space="preserve">Withdrawals due to Adverse Events </w:t>
            </w:r>
          </w:p>
        </w:tc>
      </w:tr>
      <w:tr w:rsidR="002D58E4" w14:paraId="2A7E0FDB" w14:textId="77777777" w:rsidTr="003D1C11">
        <w:tc>
          <w:tcPr>
            <w:tcW w:w="708" w:type="dxa"/>
            <w:tcBorders>
              <w:top w:val="single" w:sz="6" w:space="0" w:color="000000"/>
              <w:left w:val="single" w:sz="6" w:space="0" w:color="000000"/>
              <w:bottom w:val="single" w:sz="6" w:space="0" w:color="000000"/>
              <w:right w:val="single" w:sz="6" w:space="0" w:color="000000"/>
            </w:tcBorders>
          </w:tcPr>
          <w:p w14:paraId="76618406" w14:textId="77777777" w:rsidR="002D58E4" w:rsidRDefault="00F721D4">
            <w:pPr>
              <w:rPr>
                <w:sz w:val="20"/>
                <w:szCs w:val="20"/>
              </w:rPr>
            </w:pPr>
            <w:r>
              <w:rPr>
                <w:sz w:val="20"/>
                <w:szCs w:val="20"/>
              </w:rPr>
              <w:t xml:space="preserve">2 </w:t>
            </w:r>
          </w:p>
        </w:tc>
        <w:tc>
          <w:tcPr>
            <w:tcW w:w="707" w:type="dxa"/>
            <w:tcBorders>
              <w:top w:val="single" w:sz="6" w:space="0" w:color="000000"/>
              <w:left w:val="single" w:sz="6" w:space="0" w:color="000000"/>
              <w:bottom w:val="single" w:sz="6" w:space="0" w:color="000000"/>
              <w:right w:val="single" w:sz="6" w:space="0" w:color="000000"/>
            </w:tcBorders>
          </w:tcPr>
          <w:p w14:paraId="1612CF72" w14:textId="77777777" w:rsidR="002D58E4" w:rsidRDefault="00F721D4">
            <w:pPr>
              <w:rPr>
                <w:sz w:val="20"/>
                <w:szCs w:val="20"/>
              </w:rPr>
            </w:pPr>
            <w:r>
              <w:rPr>
                <w:sz w:val="20"/>
                <w:szCs w:val="20"/>
              </w:rPr>
              <w:t xml:space="preserve">RCT </w:t>
            </w:r>
            <w:r>
              <w:rPr>
                <w:sz w:val="20"/>
                <w:szCs w:val="20"/>
                <w:vertAlign w:val="superscript"/>
              </w:rPr>
              <w:t>1,2</w:t>
            </w:r>
          </w:p>
        </w:tc>
        <w:tc>
          <w:tcPr>
            <w:tcW w:w="988" w:type="dxa"/>
            <w:tcBorders>
              <w:top w:val="single" w:sz="6" w:space="0" w:color="000000"/>
              <w:left w:val="single" w:sz="6" w:space="0" w:color="000000"/>
              <w:bottom w:val="single" w:sz="6" w:space="0" w:color="000000"/>
              <w:right w:val="single" w:sz="6" w:space="0" w:color="000000"/>
            </w:tcBorders>
          </w:tcPr>
          <w:p w14:paraId="6AAD063A" w14:textId="77777777" w:rsidR="002D58E4" w:rsidRDefault="00F721D4">
            <w:pPr>
              <w:rPr>
                <w:sz w:val="20"/>
                <w:szCs w:val="20"/>
              </w:rPr>
            </w:pPr>
            <w:r>
              <w:rPr>
                <w:sz w:val="20"/>
                <w:szCs w:val="20"/>
              </w:rPr>
              <w:t xml:space="preserve">serious </w:t>
            </w:r>
            <w:r>
              <w:rPr>
                <w:sz w:val="20"/>
                <w:szCs w:val="20"/>
                <w:vertAlign w:val="superscript"/>
              </w:rPr>
              <w:t>a</w:t>
            </w:r>
          </w:p>
        </w:tc>
        <w:tc>
          <w:tcPr>
            <w:tcW w:w="1247" w:type="dxa"/>
            <w:tcBorders>
              <w:top w:val="single" w:sz="6" w:space="0" w:color="000000"/>
              <w:left w:val="single" w:sz="6" w:space="0" w:color="000000"/>
              <w:bottom w:val="single" w:sz="6" w:space="0" w:color="000000"/>
              <w:right w:val="single" w:sz="6" w:space="0" w:color="000000"/>
            </w:tcBorders>
          </w:tcPr>
          <w:p w14:paraId="0AD4D9A8" w14:textId="77777777" w:rsidR="002D58E4" w:rsidRDefault="00F721D4">
            <w:pPr>
              <w:rPr>
                <w:sz w:val="20"/>
                <w:szCs w:val="20"/>
              </w:rPr>
            </w:pPr>
            <w:r>
              <w:rPr>
                <w:sz w:val="20"/>
                <w:szCs w:val="20"/>
              </w:rPr>
              <w:t xml:space="preserve">not serious </w:t>
            </w:r>
          </w:p>
        </w:tc>
        <w:tc>
          <w:tcPr>
            <w:tcW w:w="1247" w:type="dxa"/>
            <w:tcBorders>
              <w:top w:val="single" w:sz="6" w:space="0" w:color="000000"/>
              <w:left w:val="single" w:sz="6" w:space="0" w:color="000000"/>
              <w:bottom w:val="single" w:sz="6" w:space="0" w:color="000000"/>
              <w:right w:val="single" w:sz="6" w:space="0" w:color="000000"/>
            </w:tcBorders>
          </w:tcPr>
          <w:p w14:paraId="22AEBBCE" w14:textId="77777777" w:rsidR="002D58E4" w:rsidRDefault="00F721D4">
            <w:pPr>
              <w:rPr>
                <w:sz w:val="20"/>
                <w:szCs w:val="20"/>
              </w:rPr>
            </w:pPr>
            <w:r>
              <w:rPr>
                <w:sz w:val="20"/>
                <w:szCs w:val="20"/>
              </w:rPr>
              <w:t xml:space="preserve">not serious </w:t>
            </w:r>
          </w:p>
        </w:tc>
        <w:tc>
          <w:tcPr>
            <w:tcW w:w="1199" w:type="dxa"/>
            <w:tcBorders>
              <w:top w:val="single" w:sz="6" w:space="0" w:color="000000"/>
              <w:left w:val="single" w:sz="6" w:space="0" w:color="000000"/>
              <w:bottom w:val="single" w:sz="6" w:space="0" w:color="000000"/>
              <w:right w:val="single" w:sz="6" w:space="0" w:color="000000"/>
            </w:tcBorders>
          </w:tcPr>
          <w:p w14:paraId="24678309" w14:textId="77777777" w:rsidR="002D58E4" w:rsidRDefault="00F721D4">
            <w:pPr>
              <w:rPr>
                <w:sz w:val="20"/>
                <w:szCs w:val="20"/>
              </w:rPr>
            </w:pPr>
            <w:r>
              <w:rPr>
                <w:sz w:val="20"/>
                <w:szCs w:val="20"/>
              </w:rPr>
              <w:t xml:space="preserve">serious </w:t>
            </w:r>
            <w:r>
              <w:rPr>
                <w:sz w:val="20"/>
                <w:szCs w:val="20"/>
                <w:vertAlign w:val="superscript"/>
              </w:rPr>
              <w:t>c</w:t>
            </w:r>
          </w:p>
        </w:tc>
        <w:tc>
          <w:tcPr>
            <w:tcW w:w="855" w:type="dxa"/>
            <w:tcBorders>
              <w:top w:val="single" w:sz="6" w:space="0" w:color="000000"/>
              <w:left w:val="single" w:sz="6" w:space="0" w:color="000000"/>
              <w:bottom w:val="single" w:sz="6" w:space="0" w:color="000000"/>
              <w:right w:val="single" w:sz="6" w:space="0" w:color="000000"/>
            </w:tcBorders>
          </w:tcPr>
          <w:p w14:paraId="321AC8C3" w14:textId="77777777" w:rsidR="002D58E4" w:rsidRDefault="00F721D4">
            <w:pPr>
              <w:rPr>
                <w:sz w:val="20"/>
                <w:szCs w:val="20"/>
              </w:rPr>
            </w:pPr>
            <w:r>
              <w:rPr>
                <w:sz w:val="20"/>
                <w:szCs w:val="20"/>
              </w:rPr>
              <w:t xml:space="preserve">none </w:t>
            </w:r>
          </w:p>
        </w:tc>
        <w:tc>
          <w:tcPr>
            <w:tcW w:w="989" w:type="dxa"/>
            <w:tcBorders>
              <w:top w:val="single" w:sz="6" w:space="0" w:color="000000"/>
              <w:left w:val="single" w:sz="6" w:space="0" w:color="000000"/>
              <w:bottom w:val="single" w:sz="6" w:space="0" w:color="000000"/>
              <w:right w:val="single" w:sz="6" w:space="0" w:color="000000"/>
            </w:tcBorders>
          </w:tcPr>
          <w:p w14:paraId="4894A82C" w14:textId="77777777" w:rsidR="002D58E4" w:rsidRDefault="00F721D4">
            <w:pPr>
              <w:jc w:val="center"/>
              <w:rPr>
                <w:sz w:val="20"/>
                <w:szCs w:val="20"/>
              </w:rPr>
            </w:pPr>
            <w:r>
              <w:rPr>
                <w:sz w:val="20"/>
                <w:szCs w:val="20"/>
              </w:rPr>
              <w:t xml:space="preserve">0/57 </w:t>
            </w:r>
          </w:p>
          <w:p w14:paraId="0A0476D4" w14:textId="77777777" w:rsidR="002D58E4" w:rsidRDefault="00F721D4">
            <w:pPr>
              <w:jc w:val="center"/>
              <w:rPr>
                <w:sz w:val="20"/>
                <w:szCs w:val="20"/>
              </w:rPr>
            </w:pPr>
            <w:r>
              <w:rPr>
                <w:sz w:val="20"/>
                <w:szCs w:val="20"/>
              </w:rPr>
              <w:t>(0.0%)</w:t>
            </w:r>
          </w:p>
        </w:tc>
        <w:tc>
          <w:tcPr>
            <w:tcW w:w="1279" w:type="dxa"/>
            <w:tcBorders>
              <w:top w:val="single" w:sz="6" w:space="0" w:color="000000"/>
              <w:left w:val="single" w:sz="6" w:space="0" w:color="000000"/>
              <w:bottom w:val="single" w:sz="6" w:space="0" w:color="000000"/>
              <w:right w:val="single" w:sz="6" w:space="0" w:color="000000"/>
            </w:tcBorders>
          </w:tcPr>
          <w:p w14:paraId="684F6A7F" w14:textId="77777777" w:rsidR="002D58E4" w:rsidRDefault="00F721D4">
            <w:pPr>
              <w:jc w:val="center"/>
              <w:rPr>
                <w:sz w:val="20"/>
                <w:szCs w:val="20"/>
              </w:rPr>
            </w:pPr>
            <w:r>
              <w:rPr>
                <w:sz w:val="20"/>
                <w:szCs w:val="20"/>
              </w:rPr>
              <w:t xml:space="preserve">3/56 </w:t>
            </w:r>
          </w:p>
          <w:p w14:paraId="49B56EEA" w14:textId="77777777" w:rsidR="002D58E4" w:rsidRDefault="00F721D4">
            <w:pPr>
              <w:jc w:val="center"/>
              <w:rPr>
                <w:sz w:val="20"/>
                <w:szCs w:val="20"/>
              </w:rPr>
            </w:pPr>
            <w:r>
              <w:rPr>
                <w:sz w:val="20"/>
                <w:szCs w:val="20"/>
              </w:rPr>
              <w:t>(5.4%)</w:t>
            </w:r>
          </w:p>
        </w:tc>
        <w:tc>
          <w:tcPr>
            <w:tcW w:w="1265" w:type="dxa"/>
            <w:tcBorders>
              <w:top w:val="single" w:sz="6" w:space="0" w:color="000000"/>
              <w:left w:val="single" w:sz="6" w:space="0" w:color="000000"/>
              <w:bottom w:val="single" w:sz="6" w:space="0" w:color="000000"/>
              <w:right w:val="single" w:sz="6" w:space="0" w:color="000000"/>
            </w:tcBorders>
          </w:tcPr>
          <w:p w14:paraId="506CEC9C"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7DBE0232" w14:textId="77777777" w:rsidR="002D58E4" w:rsidRDefault="00F721D4">
            <w:pPr>
              <w:jc w:val="center"/>
              <w:rPr>
                <w:sz w:val="20"/>
                <w:szCs w:val="20"/>
              </w:rPr>
            </w:pPr>
            <w:r>
              <w:rPr>
                <w:sz w:val="20"/>
                <w:szCs w:val="20"/>
              </w:rPr>
              <w:t xml:space="preserve"> </w:t>
            </w:r>
          </w:p>
        </w:tc>
        <w:tc>
          <w:tcPr>
            <w:tcW w:w="2140" w:type="dxa"/>
            <w:tcBorders>
              <w:top w:val="single" w:sz="6" w:space="0" w:color="000000"/>
              <w:left w:val="single" w:sz="6" w:space="0" w:color="000000"/>
              <w:bottom w:val="single" w:sz="6" w:space="0" w:color="000000"/>
              <w:right w:val="single" w:sz="6" w:space="0" w:color="000000"/>
            </w:tcBorders>
          </w:tcPr>
          <w:p w14:paraId="7D673D15" w14:textId="77777777" w:rsidR="002D58E4" w:rsidRDefault="00F721D4">
            <w:pPr>
              <w:jc w:val="center"/>
              <w:rPr>
                <w:sz w:val="20"/>
                <w:szCs w:val="20"/>
              </w:rPr>
            </w:pPr>
            <w:r>
              <w:rPr>
                <w:sz w:val="20"/>
                <w:szCs w:val="20"/>
              </w:rPr>
              <w:t xml:space="preserve">54 fewer per 1, 000 </w:t>
            </w:r>
          </w:p>
          <w:p w14:paraId="7C9F57D2" w14:textId="77777777" w:rsidR="002D58E4" w:rsidRDefault="002D58E4">
            <w:pPr>
              <w:jc w:val="center"/>
              <w:rPr>
                <w:sz w:val="20"/>
                <w:szCs w:val="20"/>
              </w:rPr>
            </w:pPr>
          </w:p>
        </w:tc>
        <w:tc>
          <w:tcPr>
            <w:tcW w:w="1268" w:type="dxa"/>
            <w:tcBorders>
              <w:top w:val="single" w:sz="6" w:space="0" w:color="000000"/>
              <w:left w:val="single" w:sz="6" w:space="0" w:color="000000"/>
              <w:bottom w:val="single" w:sz="6" w:space="0" w:color="000000"/>
              <w:right w:val="single" w:sz="6" w:space="0" w:color="000000"/>
            </w:tcBorders>
          </w:tcPr>
          <w:p w14:paraId="07F9039C"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770C35EF" w14:textId="77777777" w:rsidR="002D58E4" w:rsidRDefault="00F721D4">
            <w:pPr>
              <w:rPr>
                <w:sz w:val="20"/>
                <w:szCs w:val="20"/>
              </w:rPr>
            </w:pPr>
            <w:r>
              <w:rPr>
                <w:sz w:val="20"/>
                <w:szCs w:val="20"/>
              </w:rPr>
              <w:t xml:space="preserve">CRITICAL </w:t>
            </w:r>
          </w:p>
        </w:tc>
      </w:tr>
      <w:tr w:rsidR="002D58E4" w14:paraId="5E64A048" w14:textId="77777777" w:rsidTr="003D1C11">
        <w:tc>
          <w:tcPr>
            <w:tcW w:w="1502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1330C1E" w14:textId="77777777" w:rsidR="002D58E4" w:rsidRDefault="00F721D4">
            <w:pPr>
              <w:rPr>
                <w:b/>
                <w:sz w:val="20"/>
                <w:szCs w:val="20"/>
              </w:rPr>
            </w:pPr>
            <w:r>
              <w:rPr>
                <w:b/>
                <w:sz w:val="20"/>
                <w:szCs w:val="20"/>
              </w:rPr>
              <w:t xml:space="preserve">Serious Adverse Events </w:t>
            </w:r>
          </w:p>
        </w:tc>
      </w:tr>
      <w:tr w:rsidR="002D58E4" w14:paraId="42B481A8" w14:textId="77777777" w:rsidTr="003D1C11">
        <w:tc>
          <w:tcPr>
            <w:tcW w:w="708" w:type="dxa"/>
            <w:tcBorders>
              <w:top w:val="single" w:sz="6" w:space="0" w:color="000000"/>
              <w:left w:val="single" w:sz="6" w:space="0" w:color="000000"/>
              <w:bottom w:val="single" w:sz="6" w:space="0" w:color="000000"/>
              <w:right w:val="single" w:sz="6" w:space="0" w:color="000000"/>
            </w:tcBorders>
          </w:tcPr>
          <w:p w14:paraId="5565CBA3" w14:textId="77777777" w:rsidR="002D58E4" w:rsidRDefault="00F721D4">
            <w:pPr>
              <w:rPr>
                <w:sz w:val="20"/>
                <w:szCs w:val="20"/>
              </w:rPr>
            </w:pPr>
            <w:r>
              <w:rPr>
                <w:sz w:val="20"/>
                <w:szCs w:val="20"/>
              </w:rPr>
              <w:t xml:space="preserve">1 </w:t>
            </w:r>
          </w:p>
        </w:tc>
        <w:tc>
          <w:tcPr>
            <w:tcW w:w="707" w:type="dxa"/>
            <w:tcBorders>
              <w:top w:val="single" w:sz="6" w:space="0" w:color="000000"/>
              <w:left w:val="single" w:sz="6" w:space="0" w:color="000000"/>
              <w:bottom w:val="single" w:sz="6" w:space="0" w:color="000000"/>
              <w:right w:val="single" w:sz="6" w:space="0" w:color="000000"/>
            </w:tcBorders>
          </w:tcPr>
          <w:p w14:paraId="3D42121E" w14:textId="77777777" w:rsidR="002D58E4" w:rsidRDefault="00F721D4">
            <w:pPr>
              <w:rPr>
                <w:sz w:val="20"/>
                <w:szCs w:val="20"/>
              </w:rPr>
            </w:pPr>
            <w:r>
              <w:rPr>
                <w:sz w:val="20"/>
                <w:szCs w:val="20"/>
              </w:rPr>
              <w:t xml:space="preserve">RCT </w:t>
            </w:r>
            <w:r>
              <w:rPr>
                <w:sz w:val="20"/>
                <w:szCs w:val="20"/>
                <w:vertAlign w:val="superscript"/>
              </w:rPr>
              <w:t>2</w:t>
            </w:r>
          </w:p>
        </w:tc>
        <w:tc>
          <w:tcPr>
            <w:tcW w:w="988" w:type="dxa"/>
            <w:tcBorders>
              <w:top w:val="single" w:sz="6" w:space="0" w:color="000000"/>
              <w:left w:val="single" w:sz="6" w:space="0" w:color="000000"/>
              <w:bottom w:val="single" w:sz="6" w:space="0" w:color="000000"/>
              <w:right w:val="single" w:sz="6" w:space="0" w:color="000000"/>
            </w:tcBorders>
          </w:tcPr>
          <w:p w14:paraId="2ABDE3F0" w14:textId="77777777" w:rsidR="002D58E4" w:rsidRDefault="00F721D4">
            <w:pPr>
              <w:rPr>
                <w:sz w:val="20"/>
                <w:szCs w:val="20"/>
              </w:rPr>
            </w:pPr>
            <w:r>
              <w:rPr>
                <w:sz w:val="20"/>
                <w:szCs w:val="20"/>
              </w:rPr>
              <w:t>not serious</w:t>
            </w:r>
          </w:p>
        </w:tc>
        <w:tc>
          <w:tcPr>
            <w:tcW w:w="1247" w:type="dxa"/>
            <w:tcBorders>
              <w:top w:val="single" w:sz="6" w:space="0" w:color="000000"/>
              <w:left w:val="single" w:sz="6" w:space="0" w:color="000000"/>
              <w:bottom w:val="single" w:sz="6" w:space="0" w:color="000000"/>
              <w:right w:val="single" w:sz="6" w:space="0" w:color="000000"/>
            </w:tcBorders>
          </w:tcPr>
          <w:p w14:paraId="51DE3C43" w14:textId="77777777" w:rsidR="002D58E4" w:rsidRDefault="00F721D4">
            <w:pPr>
              <w:rPr>
                <w:sz w:val="20"/>
                <w:szCs w:val="20"/>
              </w:rPr>
            </w:pPr>
            <w:r>
              <w:rPr>
                <w:sz w:val="20"/>
                <w:szCs w:val="20"/>
              </w:rPr>
              <w:t xml:space="preserve">not serious </w:t>
            </w:r>
          </w:p>
        </w:tc>
        <w:tc>
          <w:tcPr>
            <w:tcW w:w="1247" w:type="dxa"/>
            <w:tcBorders>
              <w:top w:val="single" w:sz="6" w:space="0" w:color="000000"/>
              <w:left w:val="single" w:sz="6" w:space="0" w:color="000000"/>
              <w:bottom w:val="single" w:sz="6" w:space="0" w:color="000000"/>
              <w:right w:val="single" w:sz="6" w:space="0" w:color="000000"/>
            </w:tcBorders>
          </w:tcPr>
          <w:p w14:paraId="55BABA85" w14:textId="77777777" w:rsidR="002D58E4" w:rsidRDefault="00F721D4">
            <w:pPr>
              <w:rPr>
                <w:sz w:val="20"/>
                <w:szCs w:val="20"/>
              </w:rPr>
            </w:pPr>
            <w:r>
              <w:rPr>
                <w:sz w:val="20"/>
                <w:szCs w:val="20"/>
              </w:rPr>
              <w:t xml:space="preserve">not serious </w:t>
            </w:r>
          </w:p>
        </w:tc>
        <w:tc>
          <w:tcPr>
            <w:tcW w:w="1199" w:type="dxa"/>
            <w:tcBorders>
              <w:top w:val="single" w:sz="6" w:space="0" w:color="000000"/>
              <w:left w:val="single" w:sz="6" w:space="0" w:color="000000"/>
              <w:bottom w:val="single" w:sz="6" w:space="0" w:color="000000"/>
              <w:right w:val="single" w:sz="6" w:space="0" w:color="000000"/>
            </w:tcBorders>
          </w:tcPr>
          <w:p w14:paraId="77925488" w14:textId="77777777" w:rsidR="002D58E4" w:rsidRDefault="00F721D4">
            <w:pPr>
              <w:rPr>
                <w:sz w:val="20"/>
                <w:szCs w:val="20"/>
              </w:rPr>
            </w:pPr>
            <w:r>
              <w:rPr>
                <w:sz w:val="20"/>
                <w:szCs w:val="20"/>
              </w:rPr>
              <w:t xml:space="preserve">serious </w:t>
            </w:r>
            <w:r>
              <w:rPr>
                <w:sz w:val="20"/>
                <w:szCs w:val="20"/>
                <w:vertAlign w:val="superscript"/>
              </w:rPr>
              <w:t>c</w:t>
            </w:r>
          </w:p>
        </w:tc>
        <w:tc>
          <w:tcPr>
            <w:tcW w:w="855" w:type="dxa"/>
            <w:tcBorders>
              <w:top w:val="single" w:sz="6" w:space="0" w:color="000000"/>
              <w:left w:val="single" w:sz="6" w:space="0" w:color="000000"/>
              <w:bottom w:val="single" w:sz="6" w:space="0" w:color="000000"/>
              <w:right w:val="single" w:sz="6" w:space="0" w:color="000000"/>
            </w:tcBorders>
          </w:tcPr>
          <w:p w14:paraId="43C1EBE7" w14:textId="77777777" w:rsidR="002D58E4" w:rsidRDefault="00F721D4">
            <w:pPr>
              <w:rPr>
                <w:sz w:val="20"/>
                <w:szCs w:val="20"/>
              </w:rPr>
            </w:pPr>
            <w:r>
              <w:rPr>
                <w:sz w:val="20"/>
                <w:szCs w:val="20"/>
              </w:rPr>
              <w:t xml:space="preserve">none </w:t>
            </w:r>
          </w:p>
        </w:tc>
        <w:tc>
          <w:tcPr>
            <w:tcW w:w="989" w:type="dxa"/>
            <w:tcBorders>
              <w:top w:val="single" w:sz="6" w:space="0" w:color="000000"/>
              <w:left w:val="single" w:sz="6" w:space="0" w:color="000000"/>
              <w:bottom w:val="single" w:sz="6" w:space="0" w:color="000000"/>
              <w:right w:val="single" w:sz="6" w:space="0" w:color="000000"/>
            </w:tcBorders>
          </w:tcPr>
          <w:p w14:paraId="0183D88F" w14:textId="77777777" w:rsidR="002D58E4" w:rsidRDefault="00F721D4">
            <w:pPr>
              <w:jc w:val="center"/>
              <w:rPr>
                <w:sz w:val="20"/>
                <w:szCs w:val="20"/>
              </w:rPr>
            </w:pPr>
            <w:r>
              <w:rPr>
                <w:sz w:val="20"/>
                <w:szCs w:val="20"/>
              </w:rPr>
              <w:t xml:space="preserve">1/57 </w:t>
            </w:r>
          </w:p>
          <w:p w14:paraId="3A179F0C" w14:textId="77777777" w:rsidR="002D58E4" w:rsidRDefault="00F721D4">
            <w:pPr>
              <w:jc w:val="center"/>
              <w:rPr>
                <w:sz w:val="20"/>
                <w:szCs w:val="20"/>
              </w:rPr>
            </w:pPr>
            <w:r>
              <w:rPr>
                <w:sz w:val="20"/>
                <w:szCs w:val="20"/>
              </w:rPr>
              <w:t>(1.8%)</w:t>
            </w:r>
          </w:p>
        </w:tc>
        <w:tc>
          <w:tcPr>
            <w:tcW w:w="1279" w:type="dxa"/>
            <w:tcBorders>
              <w:top w:val="single" w:sz="6" w:space="0" w:color="000000"/>
              <w:left w:val="single" w:sz="6" w:space="0" w:color="000000"/>
              <w:bottom w:val="single" w:sz="6" w:space="0" w:color="000000"/>
              <w:right w:val="single" w:sz="6" w:space="0" w:color="000000"/>
            </w:tcBorders>
          </w:tcPr>
          <w:p w14:paraId="373D5292" w14:textId="77777777" w:rsidR="002D58E4" w:rsidRDefault="00F721D4">
            <w:pPr>
              <w:jc w:val="center"/>
              <w:rPr>
                <w:sz w:val="20"/>
                <w:szCs w:val="20"/>
              </w:rPr>
            </w:pPr>
            <w:r>
              <w:rPr>
                <w:sz w:val="20"/>
                <w:szCs w:val="20"/>
              </w:rPr>
              <w:t xml:space="preserve">3/56 </w:t>
            </w:r>
          </w:p>
          <w:p w14:paraId="46958DB8" w14:textId="77777777" w:rsidR="002D58E4" w:rsidRDefault="00F721D4">
            <w:pPr>
              <w:jc w:val="center"/>
              <w:rPr>
                <w:sz w:val="20"/>
                <w:szCs w:val="20"/>
              </w:rPr>
            </w:pPr>
            <w:r>
              <w:rPr>
                <w:sz w:val="20"/>
                <w:szCs w:val="20"/>
              </w:rPr>
              <w:t>(5.4%)</w:t>
            </w:r>
          </w:p>
        </w:tc>
        <w:tc>
          <w:tcPr>
            <w:tcW w:w="1265" w:type="dxa"/>
            <w:tcBorders>
              <w:top w:val="single" w:sz="6" w:space="0" w:color="000000"/>
              <w:left w:val="single" w:sz="6" w:space="0" w:color="000000"/>
              <w:bottom w:val="single" w:sz="6" w:space="0" w:color="000000"/>
              <w:right w:val="single" w:sz="6" w:space="0" w:color="000000"/>
            </w:tcBorders>
          </w:tcPr>
          <w:p w14:paraId="726AAE26" w14:textId="77777777" w:rsidR="002D58E4" w:rsidRDefault="00F721D4">
            <w:pPr>
              <w:jc w:val="center"/>
              <w:rPr>
                <w:sz w:val="20"/>
                <w:szCs w:val="20"/>
              </w:rPr>
            </w:pPr>
            <w:r>
              <w:rPr>
                <w:sz w:val="20"/>
                <w:szCs w:val="20"/>
              </w:rPr>
              <w:t>RR 0</w:t>
            </w:r>
            <w:r>
              <w:t>.33</w:t>
            </w:r>
            <w:r>
              <w:rPr>
                <w:sz w:val="20"/>
                <w:szCs w:val="20"/>
              </w:rPr>
              <w:br/>
              <w:t xml:space="preserve">(0.03 to 3.05) </w:t>
            </w:r>
          </w:p>
        </w:tc>
        <w:tc>
          <w:tcPr>
            <w:tcW w:w="2140" w:type="dxa"/>
            <w:tcBorders>
              <w:top w:val="single" w:sz="6" w:space="0" w:color="000000"/>
              <w:left w:val="single" w:sz="6" w:space="0" w:color="000000"/>
              <w:bottom w:val="single" w:sz="6" w:space="0" w:color="000000"/>
              <w:right w:val="single" w:sz="6" w:space="0" w:color="000000"/>
            </w:tcBorders>
          </w:tcPr>
          <w:p w14:paraId="01A7CDA3" w14:textId="77777777" w:rsidR="002D58E4" w:rsidRDefault="00F721D4">
            <w:pPr>
              <w:jc w:val="center"/>
              <w:rPr>
                <w:sz w:val="20"/>
                <w:szCs w:val="20"/>
              </w:rPr>
            </w:pPr>
            <w:r>
              <w:rPr>
                <w:sz w:val="20"/>
                <w:szCs w:val="20"/>
              </w:rPr>
              <w:t>36 f</w:t>
            </w:r>
            <w:r>
              <w:t>ewer</w:t>
            </w:r>
            <w:r>
              <w:rPr>
                <w:sz w:val="20"/>
                <w:szCs w:val="20"/>
              </w:rPr>
              <w:t xml:space="preserve"> per 1,000</w:t>
            </w:r>
            <w:r>
              <w:rPr>
                <w:sz w:val="20"/>
                <w:szCs w:val="20"/>
              </w:rPr>
              <w:br/>
              <w:t xml:space="preserve">(from 52 fewer to 110 more) </w:t>
            </w:r>
          </w:p>
        </w:tc>
        <w:tc>
          <w:tcPr>
            <w:tcW w:w="1268" w:type="dxa"/>
            <w:tcBorders>
              <w:top w:val="single" w:sz="6" w:space="0" w:color="000000"/>
              <w:left w:val="single" w:sz="6" w:space="0" w:color="000000"/>
              <w:bottom w:val="single" w:sz="6" w:space="0" w:color="000000"/>
              <w:right w:val="single" w:sz="6" w:space="0" w:color="000000"/>
            </w:tcBorders>
          </w:tcPr>
          <w:p w14:paraId="1D88940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1BA276CE" w14:textId="77777777" w:rsidR="002D58E4" w:rsidRDefault="00F721D4">
            <w:pPr>
              <w:rPr>
                <w:sz w:val="20"/>
                <w:szCs w:val="20"/>
              </w:rPr>
            </w:pPr>
            <w:r>
              <w:rPr>
                <w:sz w:val="20"/>
                <w:szCs w:val="20"/>
              </w:rPr>
              <w:t xml:space="preserve">CRITICAL </w:t>
            </w:r>
          </w:p>
        </w:tc>
      </w:tr>
      <w:tr w:rsidR="002D58E4" w14:paraId="00C88D57" w14:textId="77777777" w:rsidTr="003D1C11">
        <w:tc>
          <w:tcPr>
            <w:tcW w:w="1502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1DEF0CC" w14:textId="77777777" w:rsidR="002D58E4" w:rsidRDefault="00F721D4">
            <w:pPr>
              <w:rPr>
                <w:b/>
                <w:sz w:val="20"/>
                <w:szCs w:val="20"/>
              </w:rPr>
            </w:pPr>
            <w:r>
              <w:rPr>
                <w:b/>
                <w:sz w:val="20"/>
                <w:szCs w:val="20"/>
              </w:rPr>
              <w:t xml:space="preserve">Gastrointestinal Adverse Events </w:t>
            </w:r>
          </w:p>
        </w:tc>
      </w:tr>
      <w:tr w:rsidR="002D58E4" w14:paraId="3798E229" w14:textId="77777777" w:rsidTr="003D1C11">
        <w:tc>
          <w:tcPr>
            <w:tcW w:w="708" w:type="dxa"/>
            <w:tcBorders>
              <w:top w:val="single" w:sz="6" w:space="0" w:color="000000"/>
              <w:left w:val="single" w:sz="6" w:space="0" w:color="000000"/>
              <w:bottom w:val="single" w:sz="6" w:space="0" w:color="000000"/>
              <w:right w:val="single" w:sz="6" w:space="0" w:color="000000"/>
            </w:tcBorders>
          </w:tcPr>
          <w:p w14:paraId="28E3042B" w14:textId="77777777" w:rsidR="002D58E4" w:rsidRDefault="00F721D4">
            <w:pPr>
              <w:rPr>
                <w:sz w:val="20"/>
                <w:szCs w:val="20"/>
              </w:rPr>
            </w:pPr>
            <w:r>
              <w:rPr>
                <w:sz w:val="20"/>
                <w:szCs w:val="20"/>
              </w:rPr>
              <w:t xml:space="preserve">1 </w:t>
            </w:r>
          </w:p>
        </w:tc>
        <w:tc>
          <w:tcPr>
            <w:tcW w:w="707" w:type="dxa"/>
            <w:tcBorders>
              <w:top w:val="single" w:sz="6" w:space="0" w:color="000000"/>
              <w:left w:val="single" w:sz="6" w:space="0" w:color="000000"/>
              <w:bottom w:val="single" w:sz="6" w:space="0" w:color="000000"/>
              <w:right w:val="single" w:sz="6" w:space="0" w:color="000000"/>
            </w:tcBorders>
          </w:tcPr>
          <w:p w14:paraId="2823BCFE"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7E16134E" w14:textId="77777777" w:rsidR="002D58E4" w:rsidRDefault="00F721D4">
            <w:pPr>
              <w:rPr>
                <w:sz w:val="20"/>
                <w:szCs w:val="20"/>
              </w:rPr>
            </w:pPr>
            <w:r>
              <w:rPr>
                <w:sz w:val="20"/>
                <w:szCs w:val="20"/>
              </w:rPr>
              <w:t xml:space="preserve">serious </w:t>
            </w:r>
            <w:r>
              <w:rPr>
                <w:sz w:val="20"/>
                <w:szCs w:val="20"/>
                <w:vertAlign w:val="superscript"/>
              </w:rPr>
              <w:t>a</w:t>
            </w:r>
          </w:p>
        </w:tc>
        <w:tc>
          <w:tcPr>
            <w:tcW w:w="1247" w:type="dxa"/>
            <w:tcBorders>
              <w:top w:val="single" w:sz="6" w:space="0" w:color="000000"/>
              <w:left w:val="single" w:sz="6" w:space="0" w:color="000000"/>
              <w:bottom w:val="single" w:sz="6" w:space="0" w:color="000000"/>
              <w:right w:val="single" w:sz="6" w:space="0" w:color="000000"/>
            </w:tcBorders>
          </w:tcPr>
          <w:p w14:paraId="2FEF9448" w14:textId="77777777" w:rsidR="002D58E4" w:rsidRDefault="00F721D4">
            <w:pPr>
              <w:rPr>
                <w:sz w:val="20"/>
                <w:szCs w:val="20"/>
              </w:rPr>
            </w:pPr>
            <w:r>
              <w:rPr>
                <w:sz w:val="20"/>
                <w:szCs w:val="20"/>
              </w:rPr>
              <w:t>not serious</w:t>
            </w:r>
          </w:p>
        </w:tc>
        <w:tc>
          <w:tcPr>
            <w:tcW w:w="1247" w:type="dxa"/>
            <w:tcBorders>
              <w:top w:val="single" w:sz="6" w:space="0" w:color="000000"/>
              <w:left w:val="single" w:sz="6" w:space="0" w:color="000000"/>
              <w:bottom w:val="single" w:sz="6" w:space="0" w:color="000000"/>
              <w:right w:val="single" w:sz="6" w:space="0" w:color="000000"/>
            </w:tcBorders>
          </w:tcPr>
          <w:p w14:paraId="15185079" w14:textId="77777777" w:rsidR="002D58E4" w:rsidRDefault="00F721D4">
            <w:pPr>
              <w:rPr>
                <w:sz w:val="20"/>
                <w:szCs w:val="20"/>
              </w:rPr>
            </w:pPr>
            <w:r>
              <w:rPr>
                <w:sz w:val="20"/>
                <w:szCs w:val="20"/>
              </w:rPr>
              <w:t xml:space="preserve">not serious </w:t>
            </w:r>
          </w:p>
        </w:tc>
        <w:tc>
          <w:tcPr>
            <w:tcW w:w="1199" w:type="dxa"/>
            <w:tcBorders>
              <w:top w:val="single" w:sz="6" w:space="0" w:color="000000"/>
              <w:left w:val="single" w:sz="6" w:space="0" w:color="000000"/>
              <w:bottom w:val="single" w:sz="6" w:space="0" w:color="000000"/>
              <w:right w:val="single" w:sz="6" w:space="0" w:color="000000"/>
            </w:tcBorders>
          </w:tcPr>
          <w:p w14:paraId="60D3DBEA" w14:textId="77777777" w:rsidR="002D58E4" w:rsidRDefault="00F721D4">
            <w:pPr>
              <w:rPr>
                <w:sz w:val="20"/>
                <w:szCs w:val="20"/>
              </w:rPr>
            </w:pPr>
            <w:r>
              <w:rPr>
                <w:sz w:val="20"/>
                <w:szCs w:val="20"/>
              </w:rPr>
              <w:t xml:space="preserve">serious </w:t>
            </w:r>
            <w:r>
              <w:rPr>
                <w:sz w:val="20"/>
                <w:szCs w:val="20"/>
                <w:vertAlign w:val="superscript"/>
              </w:rPr>
              <w:t>c</w:t>
            </w:r>
          </w:p>
        </w:tc>
        <w:tc>
          <w:tcPr>
            <w:tcW w:w="855" w:type="dxa"/>
            <w:tcBorders>
              <w:top w:val="single" w:sz="6" w:space="0" w:color="000000"/>
              <w:left w:val="single" w:sz="6" w:space="0" w:color="000000"/>
              <w:bottom w:val="single" w:sz="6" w:space="0" w:color="000000"/>
              <w:right w:val="single" w:sz="6" w:space="0" w:color="000000"/>
            </w:tcBorders>
          </w:tcPr>
          <w:p w14:paraId="3AA8956C" w14:textId="77777777" w:rsidR="002D58E4" w:rsidRDefault="00F721D4">
            <w:pPr>
              <w:rPr>
                <w:sz w:val="20"/>
                <w:szCs w:val="20"/>
              </w:rPr>
            </w:pPr>
            <w:r>
              <w:rPr>
                <w:sz w:val="20"/>
                <w:szCs w:val="20"/>
              </w:rPr>
              <w:t xml:space="preserve">none </w:t>
            </w:r>
          </w:p>
        </w:tc>
        <w:tc>
          <w:tcPr>
            <w:tcW w:w="989" w:type="dxa"/>
            <w:tcBorders>
              <w:top w:val="single" w:sz="6" w:space="0" w:color="000000"/>
              <w:left w:val="single" w:sz="6" w:space="0" w:color="000000"/>
              <w:bottom w:val="single" w:sz="6" w:space="0" w:color="000000"/>
              <w:right w:val="single" w:sz="6" w:space="0" w:color="000000"/>
            </w:tcBorders>
          </w:tcPr>
          <w:p w14:paraId="70791BE9" w14:textId="77777777" w:rsidR="002D58E4" w:rsidRDefault="00F721D4">
            <w:pPr>
              <w:jc w:val="center"/>
              <w:rPr>
                <w:sz w:val="20"/>
                <w:szCs w:val="20"/>
              </w:rPr>
            </w:pPr>
            <w:r>
              <w:rPr>
                <w:sz w:val="20"/>
                <w:szCs w:val="20"/>
              </w:rPr>
              <w:t xml:space="preserve">2/31 </w:t>
            </w:r>
          </w:p>
          <w:p w14:paraId="7130A504" w14:textId="77777777" w:rsidR="002D58E4" w:rsidRDefault="00F721D4">
            <w:pPr>
              <w:jc w:val="center"/>
              <w:rPr>
                <w:sz w:val="20"/>
                <w:szCs w:val="20"/>
              </w:rPr>
            </w:pPr>
            <w:r>
              <w:rPr>
                <w:sz w:val="20"/>
                <w:szCs w:val="20"/>
              </w:rPr>
              <w:t>(6.5%)</w:t>
            </w:r>
          </w:p>
        </w:tc>
        <w:tc>
          <w:tcPr>
            <w:tcW w:w="1279" w:type="dxa"/>
            <w:tcBorders>
              <w:top w:val="single" w:sz="6" w:space="0" w:color="000000"/>
              <w:left w:val="single" w:sz="6" w:space="0" w:color="000000"/>
              <w:bottom w:val="single" w:sz="6" w:space="0" w:color="000000"/>
              <w:right w:val="single" w:sz="6" w:space="0" w:color="000000"/>
            </w:tcBorders>
          </w:tcPr>
          <w:p w14:paraId="72376F87" w14:textId="77777777" w:rsidR="002D58E4" w:rsidRDefault="00F721D4">
            <w:pPr>
              <w:jc w:val="center"/>
              <w:rPr>
                <w:sz w:val="20"/>
                <w:szCs w:val="20"/>
              </w:rPr>
            </w:pPr>
            <w:r>
              <w:rPr>
                <w:sz w:val="20"/>
                <w:szCs w:val="20"/>
              </w:rPr>
              <w:t xml:space="preserve">0/23 </w:t>
            </w:r>
          </w:p>
          <w:p w14:paraId="53BE8F98" w14:textId="77777777" w:rsidR="002D58E4" w:rsidRDefault="00F721D4">
            <w:pPr>
              <w:jc w:val="center"/>
              <w:rPr>
                <w:sz w:val="20"/>
                <w:szCs w:val="20"/>
              </w:rPr>
            </w:pPr>
            <w:r>
              <w:rPr>
                <w:sz w:val="20"/>
                <w:szCs w:val="20"/>
              </w:rPr>
              <w:t>(0.0%)</w:t>
            </w:r>
          </w:p>
        </w:tc>
        <w:tc>
          <w:tcPr>
            <w:tcW w:w="1265" w:type="dxa"/>
            <w:tcBorders>
              <w:top w:val="single" w:sz="6" w:space="0" w:color="000000"/>
              <w:left w:val="single" w:sz="6" w:space="0" w:color="000000"/>
              <w:bottom w:val="single" w:sz="6" w:space="0" w:color="000000"/>
              <w:right w:val="single" w:sz="6" w:space="0" w:color="000000"/>
            </w:tcBorders>
          </w:tcPr>
          <w:p w14:paraId="5097964E"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626E113D" w14:textId="77777777" w:rsidR="002D58E4" w:rsidRDefault="002D58E4">
            <w:pPr>
              <w:jc w:val="center"/>
              <w:rPr>
                <w:sz w:val="20"/>
                <w:szCs w:val="20"/>
              </w:rPr>
            </w:pPr>
          </w:p>
        </w:tc>
        <w:tc>
          <w:tcPr>
            <w:tcW w:w="2140" w:type="dxa"/>
            <w:tcBorders>
              <w:top w:val="single" w:sz="6" w:space="0" w:color="000000"/>
              <w:left w:val="single" w:sz="6" w:space="0" w:color="000000"/>
              <w:bottom w:val="single" w:sz="6" w:space="0" w:color="000000"/>
              <w:right w:val="single" w:sz="6" w:space="0" w:color="000000"/>
            </w:tcBorders>
          </w:tcPr>
          <w:p w14:paraId="3398485F" w14:textId="77777777" w:rsidR="002D58E4" w:rsidRDefault="00F721D4">
            <w:pPr>
              <w:jc w:val="center"/>
              <w:rPr>
                <w:sz w:val="20"/>
                <w:szCs w:val="20"/>
              </w:rPr>
            </w:pPr>
            <w:r>
              <w:rPr>
                <w:sz w:val="20"/>
                <w:szCs w:val="20"/>
              </w:rPr>
              <w:t>65 more per 1,000</w:t>
            </w:r>
            <w:r>
              <w:rPr>
                <w:sz w:val="20"/>
                <w:szCs w:val="20"/>
              </w:rPr>
              <w:br/>
            </w:r>
          </w:p>
        </w:tc>
        <w:tc>
          <w:tcPr>
            <w:tcW w:w="1268" w:type="dxa"/>
            <w:tcBorders>
              <w:top w:val="single" w:sz="6" w:space="0" w:color="000000"/>
              <w:left w:val="single" w:sz="6" w:space="0" w:color="000000"/>
              <w:bottom w:val="single" w:sz="6" w:space="0" w:color="000000"/>
              <w:right w:val="single" w:sz="6" w:space="0" w:color="000000"/>
            </w:tcBorders>
          </w:tcPr>
          <w:p w14:paraId="741D3DF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20DF7504" w14:textId="77777777" w:rsidR="002D58E4" w:rsidRDefault="00F721D4">
            <w:pPr>
              <w:rPr>
                <w:sz w:val="20"/>
                <w:szCs w:val="20"/>
              </w:rPr>
            </w:pPr>
            <w:r>
              <w:rPr>
                <w:sz w:val="20"/>
                <w:szCs w:val="20"/>
              </w:rPr>
              <w:t xml:space="preserve">CRITICAL </w:t>
            </w:r>
          </w:p>
        </w:tc>
      </w:tr>
      <w:tr w:rsidR="002D58E4" w14:paraId="65ACA138" w14:textId="77777777" w:rsidTr="003D1C11">
        <w:tc>
          <w:tcPr>
            <w:tcW w:w="1502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F291236" w14:textId="77777777" w:rsidR="002D58E4" w:rsidRDefault="00F721D4">
            <w:pPr>
              <w:rPr>
                <w:b/>
                <w:sz w:val="20"/>
                <w:szCs w:val="20"/>
              </w:rPr>
            </w:pPr>
            <w:r>
              <w:rPr>
                <w:b/>
                <w:sz w:val="20"/>
                <w:szCs w:val="20"/>
              </w:rPr>
              <w:t xml:space="preserve">Allergic Reaction </w:t>
            </w:r>
          </w:p>
        </w:tc>
      </w:tr>
      <w:tr w:rsidR="002D58E4" w14:paraId="0B5DBC0B" w14:textId="77777777" w:rsidTr="003D1C11">
        <w:tc>
          <w:tcPr>
            <w:tcW w:w="708" w:type="dxa"/>
            <w:tcBorders>
              <w:top w:val="single" w:sz="6" w:space="0" w:color="000000"/>
              <w:left w:val="single" w:sz="6" w:space="0" w:color="000000"/>
              <w:bottom w:val="single" w:sz="6" w:space="0" w:color="000000"/>
              <w:right w:val="single" w:sz="6" w:space="0" w:color="000000"/>
            </w:tcBorders>
          </w:tcPr>
          <w:p w14:paraId="2AB1C812" w14:textId="77777777" w:rsidR="002D58E4" w:rsidRDefault="00F721D4">
            <w:pPr>
              <w:rPr>
                <w:sz w:val="20"/>
                <w:szCs w:val="20"/>
              </w:rPr>
            </w:pPr>
            <w:r>
              <w:rPr>
                <w:sz w:val="20"/>
                <w:szCs w:val="20"/>
              </w:rPr>
              <w:t xml:space="preserve">1 </w:t>
            </w:r>
          </w:p>
        </w:tc>
        <w:tc>
          <w:tcPr>
            <w:tcW w:w="707" w:type="dxa"/>
            <w:tcBorders>
              <w:top w:val="single" w:sz="6" w:space="0" w:color="000000"/>
              <w:left w:val="single" w:sz="6" w:space="0" w:color="000000"/>
              <w:bottom w:val="single" w:sz="6" w:space="0" w:color="000000"/>
              <w:right w:val="single" w:sz="6" w:space="0" w:color="000000"/>
            </w:tcBorders>
          </w:tcPr>
          <w:p w14:paraId="01553582" w14:textId="77777777" w:rsidR="002D58E4" w:rsidRDefault="00F721D4">
            <w:pPr>
              <w:rPr>
                <w:sz w:val="20"/>
                <w:szCs w:val="20"/>
              </w:rPr>
            </w:pPr>
            <w:r>
              <w:rPr>
                <w:sz w:val="20"/>
                <w:szCs w:val="20"/>
              </w:rPr>
              <w:t xml:space="preserve">RCT </w:t>
            </w:r>
            <w:r>
              <w:rPr>
                <w:sz w:val="20"/>
                <w:szCs w:val="20"/>
                <w:vertAlign w:val="superscript"/>
              </w:rPr>
              <w:t>1</w:t>
            </w:r>
          </w:p>
        </w:tc>
        <w:tc>
          <w:tcPr>
            <w:tcW w:w="988" w:type="dxa"/>
            <w:tcBorders>
              <w:top w:val="single" w:sz="6" w:space="0" w:color="000000"/>
              <w:left w:val="single" w:sz="6" w:space="0" w:color="000000"/>
              <w:bottom w:val="single" w:sz="6" w:space="0" w:color="000000"/>
              <w:right w:val="single" w:sz="6" w:space="0" w:color="000000"/>
            </w:tcBorders>
          </w:tcPr>
          <w:p w14:paraId="3CF25CF9" w14:textId="77777777" w:rsidR="002D58E4" w:rsidRDefault="00F721D4">
            <w:pPr>
              <w:rPr>
                <w:sz w:val="20"/>
                <w:szCs w:val="20"/>
              </w:rPr>
            </w:pPr>
            <w:r>
              <w:rPr>
                <w:sz w:val="20"/>
                <w:szCs w:val="20"/>
              </w:rPr>
              <w:t xml:space="preserve">serious </w:t>
            </w:r>
            <w:r>
              <w:rPr>
                <w:sz w:val="20"/>
                <w:szCs w:val="20"/>
                <w:vertAlign w:val="superscript"/>
              </w:rPr>
              <w:t>a</w:t>
            </w:r>
          </w:p>
        </w:tc>
        <w:tc>
          <w:tcPr>
            <w:tcW w:w="1247" w:type="dxa"/>
            <w:tcBorders>
              <w:top w:val="single" w:sz="6" w:space="0" w:color="000000"/>
              <w:left w:val="single" w:sz="6" w:space="0" w:color="000000"/>
              <w:bottom w:val="single" w:sz="6" w:space="0" w:color="000000"/>
              <w:right w:val="single" w:sz="6" w:space="0" w:color="000000"/>
            </w:tcBorders>
          </w:tcPr>
          <w:p w14:paraId="38E57E65" w14:textId="77777777" w:rsidR="002D58E4" w:rsidRDefault="00F721D4">
            <w:pPr>
              <w:rPr>
                <w:sz w:val="20"/>
                <w:szCs w:val="20"/>
              </w:rPr>
            </w:pPr>
            <w:r>
              <w:rPr>
                <w:sz w:val="20"/>
                <w:szCs w:val="20"/>
              </w:rPr>
              <w:t xml:space="preserve">not serious </w:t>
            </w:r>
          </w:p>
        </w:tc>
        <w:tc>
          <w:tcPr>
            <w:tcW w:w="1247" w:type="dxa"/>
            <w:tcBorders>
              <w:top w:val="single" w:sz="6" w:space="0" w:color="000000"/>
              <w:left w:val="single" w:sz="6" w:space="0" w:color="000000"/>
              <w:bottom w:val="single" w:sz="6" w:space="0" w:color="000000"/>
              <w:right w:val="single" w:sz="6" w:space="0" w:color="000000"/>
            </w:tcBorders>
          </w:tcPr>
          <w:p w14:paraId="572EC800" w14:textId="77777777" w:rsidR="002D58E4" w:rsidRDefault="00F721D4">
            <w:pPr>
              <w:rPr>
                <w:sz w:val="20"/>
                <w:szCs w:val="20"/>
              </w:rPr>
            </w:pPr>
            <w:r>
              <w:rPr>
                <w:sz w:val="20"/>
                <w:szCs w:val="20"/>
              </w:rPr>
              <w:t xml:space="preserve">not serious </w:t>
            </w:r>
          </w:p>
        </w:tc>
        <w:tc>
          <w:tcPr>
            <w:tcW w:w="1199" w:type="dxa"/>
            <w:tcBorders>
              <w:top w:val="single" w:sz="6" w:space="0" w:color="000000"/>
              <w:left w:val="single" w:sz="6" w:space="0" w:color="000000"/>
              <w:bottom w:val="single" w:sz="6" w:space="0" w:color="000000"/>
              <w:right w:val="single" w:sz="6" w:space="0" w:color="000000"/>
            </w:tcBorders>
          </w:tcPr>
          <w:p w14:paraId="38BB83A3" w14:textId="77777777" w:rsidR="002D58E4" w:rsidRDefault="00F721D4">
            <w:pPr>
              <w:rPr>
                <w:sz w:val="20"/>
                <w:szCs w:val="20"/>
              </w:rPr>
            </w:pPr>
            <w:r>
              <w:rPr>
                <w:sz w:val="20"/>
                <w:szCs w:val="20"/>
              </w:rPr>
              <w:t xml:space="preserve">serious </w:t>
            </w:r>
            <w:r>
              <w:rPr>
                <w:sz w:val="20"/>
                <w:szCs w:val="20"/>
                <w:vertAlign w:val="superscript"/>
              </w:rPr>
              <w:t>c</w:t>
            </w:r>
          </w:p>
        </w:tc>
        <w:tc>
          <w:tcPr>
            <w:tcW w:w="855" w:type="dxa"/>
            <w:tcBorders>
              <w:top w:val="single" w:sz="6" w:space="0" w:color="000000"/>
              <w:left w:val="single" w:sz="6" w:space="0" w:color="000000"/>
              <w:bottom w:val="single" w:sz="6" w:space="0" w:color="000000"/>
              <w:right w:val="single" w:sz="6" w:space="0" w:color="000000"/>
            </w:tcBorders>
          </w:tcPr>
          <w:p w14:paraId="0CB5E3AD" w14:textId="77777777" w:rsidR="002D58E4" w:rsidRDefault="00F721D4">
            <w:pPr>
              <w:rPr>
                <w:sz w:val="20"/>
                <w:szCs w:val="20"/>
              </w:rPr>
            </w:pPr>
            <w:r>
              <w:rPr>
                <w:sz w:val="20"/>
                <w:szCs w:val="20"/>
              </w:rPr>
              <w:t xml:space="preserve">none </w:t>
            </w:r>
          </w:p>
        </w:tc>
        <w:tc>
          <w:tcPr>
            <w:tcW w:w="989" w:type="dxa"/>
            <w:tcBorders>
              <w:top w:val="single" w:sz="6" w:space="0" w:color="000000"/>
              <w:left w:val="single" w:sz="6" w:space="0" w:color="000000"/>
              <w:bottom w:val="single" w:sz="6" w:space="0" w:color="000000"/>
              <w:right w:val="single" w:sz="6" w:space="0" w:color="000000"/>
            </w:tcBorders>
          </w:tcPr>
          <w:p w14:paraId="38EC270F" w14:textId="77777777" w:rsidR="002D58E4" w:rsidRDefault="00F721D4">
            <w:pPr>
              <w:jc w:val="center"/>
              <w:rPr>
                <w:sz w:val="20"/>
                <w:szCs w:val="20"/>
              </w:rPr>
            </w:pPr>
            <w:r>
              <w:rPr>
                <w:sz w:val="20"/>
                <w:szCs w:val="20"/>
              </w:rPr>
              <w:t xml:space="preserve">2/31 </w:t>
            </w:r>
          </w:p>
          <w:p w14:paraId="56A341AA" w14:textId="77777777" w:rsidR="002D58E4" w:rsidRDefault="00F721D4">
            <w:pPr>
              <w:jc w:val="center"/>
              <w:rPr>
                <w:sz w:val="20"/>
                <w:szCs w:val="20"/>
              </w:rPr>
            </w:pPr>
            <w:r>
              <w:rPr>
                <w:sz w:val="20"/>
                <w:szCs w:val="20"/>
              </w:rPr>
              <w:t>(6.5%)</w:t>
            </w:r>
          </w:p>
        </w:tc>
        <w:tc>
          <w:tcPr>
            <w:tcW w:w="1279" w:type="dxa"/>
            <w:tcBorders>
              <w:top w:val="single" w:sz="6" w:space="0" w:color="000000"/>
              <w:left w:val="single" w:sz="6" w:space="0" w:color="000000"/>
              <w:bottom w:val="single" w:sz="6" w:space="0" w:color="000000"/>
              <w:right w:val="single" w:sz="6" w:space="0" w:color="000000"/>
            </w:tcBorders>
          </w:tcPr>
          <w:p w14:paraId="501B0115" w14:textId="77777777" w:rsidR="002D58E4" w:rsidRDefault="00F721D4">
            <w:pPr>
              <w:jc w:val="center"/>
              <w:rPr>
                <w:sz w:val="20"/>
                <w:szCs w:val="20"/>
              </w:rPr>
            </w:pPr>
            <w:r>
              <w:rPr>
                <w:sz w:val="20"/>
                <w:szCs w:val="20"/>
              </w:rPr>
              <w:t>0/23</w:t>
            </w:r>
          </w:p>
          <w:p w14:paraId="370552CE" w14:textId="77777777" w:rsidR="002D58E4" w:rsidRDefault="00F721D4">
            <w:pPr>
              <w:jc w:val="center"/>
              <w:rPr>
                <w:sz w:val="20"/>
                <w:szCs w:val="20"/>
              </w:rPr>
            </w:pPr>
            <w:r>
              <w:rPr>
                <w:sz w:val="20"/>
                <w:szCs w:val="20"/>
              </w:rPr>
              <w:t xml:space="preserve"> (0.0%)</w:t>
            </w:r>
          </w:p>
        </w:tc>
        <w:tc>
          <w:tcPr>
            <w:tcW w:w="1265" w:type="dxa"/>
            <w:tcBorders>
              <w:top w:val="single" w:sz="6" w:space="0" w:color="000000"/>
              <w:left w:val="single" w:sz="6" w:space="0" w:color="000000"/>
              <w:bottom w:val="single" w:sz="6" w:space="0" w:color="000000"/>
              <w:right w:val="single" w:sz="6" w:space="0" w:color="000000"/>
            </w:tcBorders>
          </w:tcPr>
          <w:p w14:paraId="624669F2"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425B6332" w14:textId="77777777" w:rsidR="002D58E4" w:rsidRDefault="002D58E4">
            <w:pPr>
              <w:jc w:val="center"/>
              <w:rPr>
                <w:sz w:val="20"/>
                <w:szCs w:val="20"/>
              </w:rPr>
            </w:pPr>
          </w:p>
        </w:tc>
        <w:tc>
          <w:tcPr>
            <w:tcW w:w="2140" w:type="dxa"/>
            <w:tcBorders>
              <w:top w:val="single" w:sz="6" w:space="0" w:color="000000"/>
              <w:left w:val="single" w:sz="6" w:space="0" w:color="000000"/>
              <w:bottom w:val="single" w:sz="6" w:space="0" w:color="000000"/>
              <w:right w:val="single" w:sz="6" w:space="0" w:color="000000"/>
            </w:tcBorders>
          </w:tcPr>
          <w:p w14:paraId="46F95FC9" w14:textId="77777777" w:rsidR="002D58E4" w:rsidRDefault="00F721D4">
            <w:pPr>
              <w:jc w:val="center"/>
              <w:rPr>
                <w:sz w:val="20"/>
                <w:szCs w:val="20"/>
              </w:rPr>
            </w:pPr>
            <w:r>
              <w:rPr>
                <w:sz w:val="20"/>
                <w:szCs w:val="20"/>
              </w:rPr>
              <w:t>65 more per 1,000</w:t>
            </w:r>
            <w:r>
              <w:rPr>
                <w:sz w:val="20"/>
                <w:szCs w:val="20"/>
              </w:rPr>
              <w:br/>
            </w:r>
          </w:p>
        </w:tc>
        <w:tc>
          <w:tcPr>
            <w:tcW w:w="1268" w:type="dxa"/>
            <w:tcBorders>
              <w:top w:val="single" w:sz="6" w:space="0" w:color="000000"/>
              <w:left w:val="single" w:sz="6" w:space="0" w:color="000000"/>
              <w:bottom w:val="single" w:sz="6" w:space="0" w:color="000000"/>
              <w:right w:val="single" w:sz="6" w:space="0" w:color="000000"/>
            </w:tcBorders>
          </w:tcPr>
          <w:p w14:paraId="67DC8E1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1342F92C" w14:textId="77777777" w:rsidR="002D58E4" w:rsidRDefault="00F721D4">
            <w:pPr>
              <w:rPr>
                <w:sz w:val="20"/>
                <w:szCs w:val="20"/>
              </w:rPr>
            </w:pPr>
            <w:r>
              <w:rPr>
                <w:sz w:val="20"/>
                <w:szCs w:val="20"/>
              </w:rPr>
              <w:t xml:space="preserve">CRITICAL </w:t>
            </w:r>
          </w:p>
        </w:tc>
      </w:tr>
    </w:tbl>
    <w:p w14:paraId="2603A82C" w14:textId="77777777" w:rsidR="002D58E4" w:rsidRDefault="00F721D4">
      <w:pPr>
        <w:pBdr>
          <w:top w:val="nil"/>
          <w:left w:val="nil"/>
          <w:bottom w:val="nil"/>
          <w:right w:val="nil"/>
          <w:between w:val="nil"/>
        </w:pBdr>
        <w:spacing w:before="100" w:after="100" w:line="240" w:lineRule="auto"/>
        <w:rPr>
          <w:color w:val="000000"/>
          <w:sz w:val="20"/>
          <w:szCs w:val="20"/>
        </w:rPr>
      </w:pPr>
      <w:r>
        <w:rPr>
          <w:color w:val="000000"/>
          <w:sz w:val="20"/>
          <w:szCs w:val="20"/>
        </w:rPr>
        <w:t>*Improvement of Neurologic Lyme Symptoms were defined as either “patients free of subjective and objective neurologic findings” in the Karlsson study, and as “clinical score of 0= no subjective or objective symptoms” in the Ljøstad study.</w:t>
      </w:r>
    </w:p>
    <w:p w14:paraId="75575FF8"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6F8B7E65" w14:textId="77777777" w:rsidR="007F0CB1" w:rsidRDefault="007F0CB1" w:rsidP="007F0CB1">
      <w:pPr>
        <w:spacing w:before="280" w:after="0"/>
        <w:rPr>
          <w:b/>
          <w:color w:val="000000"/>
          <w:sz w:val="24"/>
          <w:szCs w:val="24"/>
        </w:rPr>
      </w:pPr>
      <w:r>
        <w:rPr>
          <w:b/>
          <w:color w:val="000000"/>
          <w:sz w:val="24"/>
          <w:szCs w:val="24"/>
        </w:rPr>
        <w:t>Explanations</w:t>
      </w:r>
    </w:p>
    <w:p w14:paraId="3409B1F1" w14:textId="557CE5F8" w:rsidR="002D58E4" w:rsidRDefault="00F721D4">
      <w:pPr>
        <w:spacing w:after="0"/>
        <w:rPr>
          <w:color w:val="000000"/>
          <w:sz w:val="18"/>
          <w:szCs w:val="18"/>
        </w:rPr>
      </w:pPr>
      <w:r>
        <w:rPr>
          <w:color w:val="000000"/>
          <w:sz w:val="18"/>
          <w:szCs w:val="18"/>
        </w:rPr>
        <w:t>a. Karlson 1994 received a high risk of bias due to the high number of participants excluded from final analysis due to negative serology (16 out of 70 randomized patients) and to an unblinded study design.</w:t>
      </w:r>
    </w:p>
    <w:p w14:paraId="72FC4656" w14:textId="77777777" w:rsidR="002D58E4" w:rsidRDefault="00F721D4">
      <w:pPr>
        <w:spacing w:after="0"/>
        <w:rPr>
          <w:color w:val="000000"/>
          <w:sz w:val="18"/>
          <w:szCs w:val="18"/>
        </w:rPr>
      </w:pPr>
      <w:r>
        <w:rPr>
          <w:color w:val="000000"/>
          <w:sz w:val="18"/>
          <w:szCs w:val="18"/>
        </w:rPr>
        <w:t>b. Surrogate for improvement of neurological disease.</w:t>
      </w:r>
    </w:p>
    <w:p w14:paraId="53233EA3" w14:textId="338F4FE8" w:rsidR="002D58E4" w:rsidRDefault="00F721D4">
      <w:pPr>
        <w:spacing w:after="0"/>
        <w:rPr>
          <w:color w:val="000000"/>
          <w:sz w:val="18"/>
          <w:szCs w:val="18"/>
        </w:rPr>
      </w:pPr>
      <w:r>
        <w:rPr>
          <w:color w:val="000000"/>
          <w:sz w:val="18"/>
          <w:szCs w:val="18"/>
        </w:rPr>
        <w:t>c. 95% CI is wide and crossing the null value</w:t>
      </w:r>
      <w:r w:rsidR="007F0CB1">
        <w:rPr>
          <w:color w:val="000000"/>
          <w:sz w:val="18"/>
          <w:szCs w:val="18"/>
        </w:rPr>
        <w:t>.</w:t>
      </w:r>
    </w:p>
    <w:p w14:paraId="0A26D48D" w14:textId="77777777" w:rsidR="002D58E4" w:rsidRDefault="00F721D4">
      <w:pPr>
        <w:spacing w:after="0"/>
        <w:rPr>
          <w:color w:val="000000"/>
          <w:sz w:val="18"/>
          <w:szCs w:val="18"/>
        </w:rPr>
      </w:pPr>
      <w:r>
        <w:rPr>
          <w:color w:val="000000"/>
          <w:sz w:val="18"/>
          <w:szCs w:val="18"/>
        </w:rPr>
        <w:t xml:space="preserve">d. 95% CI is wide and crossing the null value, </w:t>
      </w:r>
      <w:r>
        <w:rPr>
          <w:sz w:val="18"/>
          <w:szCs w:val="18"/>
        </w:rPr>
        <w:t xml:space="preserve">OIS criteria not meant.  </w:t>
      </w:r>
    </w:p>
    <w:p w14:paraId="0EB4D6D4" w14:textId="1BF957F1" w:rsidR="002D58E4" w:rsidRDefault="00F721D4">
      <w:pPr>
        <w:spacing w:after="0"/>
        <w:rPr>
          <w:color w:val="000000"/>
          <w:sz w:val="18"/>
          <w:szCs w:val="18"/>
        </w:rPr>
      </w:pPr>
      <w:r>
        <w:rPr>
          <w:color w:val="000000"/>
          <w:sz w:val="18"/>
          <w:szCs w:val="18"/>
        </w:rPr>
        <w:t>e. One arm has zero events; unable to estimate relative risk</w:t>
      </w:r>
      <w:r w:rsidR="007F0CB1">
        <w:rPr>
          <w:color w:val="000000"/>
          <w:sz w:val="18"/>
          <w:szCs w:val="18"/>
        </w:rPr>
        <w:t>.</w:t>
      </w:r>
    </w:p>
    <w:p w14:paraId="4AA23FEF" w14:textId="77777777" w:rsidR="002D58E4" w:rsidRDefault="00F721D4">
      <w:pPr>
        <w:widowControl w:val="0"/>
        <w:pBdr>
          <w:top w:val="nil"/>
          <w:left w:val="nil"/>
          <w:bottom w:val="nil"/>
          <w:right w:val="nil"/>
          <w:between w:val="nil"/>
        </w:pBdr>
        <w:spacing w:after="0"/>
        <w:rPr>
          <w:color w:val="000000"/>
          <w:sz w:val="14"/>
          <w:szCs w:val="14"/>
        </w:rPr>
        <w:sectPr w:rsidR="002D58E4" w:rsidSect="007F0CB1">
          <w:type w:val="continuous"/>
          <w:pgSz w:w="15840" w:h="12240"/>
          <w:pgMar w:top="720" w:right="672" w:bottom="720" w:left="720" w:header="720" w:footer="720" w:gutter="0"/>
          <w:cols w:space="720" w:equalWidth="0">
            <w:col w:w="14448"/>
          </w:cols>
        </w:sectPr>
      </w:pPr>
      <w:r>
        <w:br w:type="page"/>
      </w:r>
    </w:p>
    <w:p w14:paraId="4D7B8126" w14:textId="77777777" w:rsidR="002D58E4" w:rsidRDefault="002D58E4">
      <w:pPr>
        <w:spacing w:after="0"/>
        <w:rPr>
          <w:b/>
          <w:color w:val="0070C0"/>
          <w:u w:val="single"/>
        </w:rPr>
      </w:pPr>
    </w:p>
    <w:p w14:paraId="16167A08" w14:textId="77777777" w:rsidR="002D58E4" w:rsidRDefault="00F721D4">
      <w:pPr>
        <w:spacing w:after="0"/>
        <w:rPr>
          <w:b/>
          <w:color w:val="000000"/>
          <w:u w:val="single"/>
        </w:rPr>
      </w:pPr>
      <w:r>
        <w:rPr>
          <w:b/>
          <w:color w:val="000000"/>
          <w:u w:val="single"/>
        </w:rPr>
        <w:t>3</w:t>
      </w:r>
      <w:r>
        <w:rPr>
          <w:b/>
          <w:color w:val="000000"/>
          <w:u w:val="single"/>
          <w:vertAlign w:val="superscript"/>
        </w:rPr>
        <w:t>rd</w:t>
      </w:r>
      <w:r>
        <w:rPr>
          <w:b/>
          <w:color w:val="000000"/>
          <w:u w:val="single"/>
        </w:rPr>
        <w:t xml:space="preserve"> GENERATION CEPHALOSPORINS vs. IV PENICILLIN</w:t>
      </w:r>
    </w:p>
    <w:p w14:paraId="7754359B" w14:textId="77777777" w:rsidR="002D58E4" w:rsidRDefault="00F721D4" w:rsidP="00E14B2B">
      <w:pPr>
        <w:spacing w:after="0"/>
        <w:ind w:right="-626"/>
        <w:rPr>
          <w:b/>
        </w:rPr>
      </w:pPr>
      <w:r>
        <w:rPr>
          <w:b/>
        </w:rPr>
        <w:t>In patients with Lyme neuroborreliosis, should IV 3</w:t>
      </w:r>
      <w:r>
        <w:rPr>
          <w:b/>
          <w:vertAlign w:val="superscript"/>
        </w:rPr>
        <w:t>rd</w:t>
      </w:r>
      <w:r>
        <w:rPr>
          <w:b/>
        </w:rPr>
        <w:t xml:space="preserve"> generation cephalosporins be used over IV penicillin G?</w:t>
      </w:r>
    </w:p>
    <w:p w14:paraId="74997E0E" w14:textId="77777777" w:rsidR="002D58E4" w:rsidRDefault="00F721D4">
      <w:pPr>
        <w:spacing w:after="0"/>
      </w:pPr>
      <w:r>
        <w:t>P: In patients with Lyme neuroborreliosis</w:t>
      </w:r>
    </w:p>
    <w:p w14:paraId="3F85DDF1" w14:textId="77777777" w:rsidR="002D58E4" w:rsidRDefault="00F721D4">
      <w:pPr>
        <w:spacing w:after="0"/>
      </w:pPr>
      <w:r>
        <w:t>I: IV 3</w:t>
      </w:r>
      <w:r>
        <w:rPr>
          <w:vertAlign w:val="superscript"/>
        </w:rPr>
        <w:t>rd</w:t>
      </w:r>
      <w:r>
        <w:t xml:space="preserve"> generation cephalosporins (ceftriaxone or cefotaxime)</w:t>
      </w:r>
    </w:p>
    <w:p w14:paraId="0DA02DF6" w14:textId="77777777" w:rsidR="002D58E4" w:rsidRPr="002914A2" w:rsidRDefault="00F721D4">
      <w:pPr>
        <w:spacing w:after="0"/>
        <w:rPr>
          <w:lang w:val="fr-CA"/>
        </w:rPr>
      </w:pPr>
      <w:r w:rsidRPr="002914A2">
        <w:rPr>
          <w:lang w:val="fr-CA"/>
        </w:rPr>
        <w:t>C: IV penicillin G</w:t>
      </w:r>
    </w:p>
    <w:p w14:paraId="550FEDD0" w14:textId="77777777" w:rsidR="002D58E4" w:rsidRPr="002914A2" w:rsidRDefault="002D58E4">
      <w:pPr>
        <w:spacing w:after="0"/>
        <w:rPr>
          <w:lang w:val="fr-CA"/>
        </w:rPr>
      </w:pPr>
    </w:p>
    <w:p w14:paraId="5F232E49" w14:textId="77777777" w:rsidR="002D58E4" w:rsidRDefault="00F721D4" w:rsidP="00171735">
      <w:pPr>
        <w:ind w:right="-626"/>
        <w:rPr>
          <w:color w:val="000000"/>
          <w:sz w:val="18"/>
          <w:szCs w:val="18"/>
        </w:rPr>
      </w:pPr>
      <w:r w:rsidRPr="002914A2">
        <w:rPr>
          <w:b/>
          <w:color w:val="000000"/>
          <w:sz w:val="18"/>
          <w:szCs w:val="18"/>
          <w:lang w:val="fr-CA"/>
        </w:rPr>
        <w:t>Bibliography</w:t>
      </w:r>
      <w:r w:rsidRPr="002914A2">
        <w:rPr>
          <w:color w:val="000000"/>
          <w:sz w:val="18"/>
          <w:szCs w:val="18"/>
          <w:lang w:val="fr-CA"/>
        </w:rPr>
        <w:t xml:space="preserve">: 1. Pfister, et al.  </w:t>
      </w:r>
      <w:r>
        <w:rPr>
          <w:color w:val="000000"/>
          <w:sz w:val="18"/>
          <w:szCs w:val="18"/>
        </w:rPr>
        <w:t>Arch Neurol. 1989 Nov; 46(11): 1190-4; 2. Müllegger, et al.  Infection. 1991 Jul-Aug; 19(4): 279-83 (PEDIATRIC).</w:t>
      </w:r>
    </w:p>
    <w:tbl>
      <w:tblPr>
        <w:tblStyle w:val="aff2"/>
        <w:tblW w:w="14793" w:type="dxa"/>
        <w:tblInd w:w="-29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848"/>
        <w:gridCol w:w="993"/>
        <w:gridCol w:w="1273"/>
        <w:gridCol w:w="992"/>
        <w:gridCol w:w="1186"/>
        <w:gridCol w:w="1010"/>
        <w:gridCol w:w="1387"/>
        <w:gridCol w:w="1020"/>
        <w:gridCol w:w="1130"/>
        <w:gridCol w:w="66"/>
        <w:gridCol w:w="2005"/>
        <w:gridCol w:w="1055"/>
        <w:gridCol w:w="1121"/>
      </w:tblGrid>
      <w:tr w:rsidR="007F0CB1" w14:paraId="4BA6D10C" w14:textId="77777777" w:rsidTr="003D1C11">
        <w:tc>
          <w:tcPr>
            <w:tcW w:w="7009"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63B38BAC" w14:textId="77777777" w:rsidR="007F0CB1" w:rsidRDefault="007F0CB1">
            <w:pPr>
              <w:jc w:val="center"/>
              <w:rPr>
                <w:b/>
                <w:sz w:val="20"/>
                <w:szCs w:val="20"/>
              </w:rPr>
            </w:pPr>
            <w:r>
              <w:rPr>
                <w:b/>
                <w:sz w:val="20"/>
                <w:szCs w:val="20"/>
              </w:rPr>
              <w:t>Certainty assessment</w:t>
            </w: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A022790" w14:textId="77777777" w:rsidR="007F0CB1" w:rsidRDefault="007F0CB1">
            <w:pPr>
              <w:jc w:val="center"/>
              <w:rPr>
                <w:b/>
                <w:sz w:val="20"/>
                <w:szCs w:val="20"/>
                <w:highlight w:val="red"/>
              </w:rPr>
            </w:pPr>
            <w:r>
              <w:rPr>
                <w:b/>
                <w:sz w:val="20"/>
                <w:szCs w:val="20"/>
              </w:rPr>
              <w:t>№ of events/№ of patients</w:t>
            </w:r>
          </w:p>
        </w:tc>
        <w:tc>
          <w:tcPr>
            <w:tcW w:w="3201"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3FB4B699" w14:textId="77777777" w:rsidR="007F0CB1" w:rsidRDefault="007F0CB1">
            <w:pPr>
              <w:jc w:val="center"/>
              <w:rPr>
                <w:b/>
                <w:sz w:val="20"/>
                <w:szCs w:val="20"/>
              </w:rPr>
            </w:pPr>
            <w:r>
              <w:rPr>
                <w:b/>
                <w:sz w:val="20"/>
                <w:szCs w:val="20"/>
              </w:rPr>
              <w:t>Effect</w:t>
            </w:r>
          </w:p>
        </w:tc>
        <w:tc>
          <w:tcPr>
            <w:tcW w:w="1055" w:type="dxa"/>
            <w:vMerge w:val="restart"/>
            <w:tcBorders>
              <w:top w:val="single" w:sz="6" w:space="0" w:color="000000"/>
              <w:left w:val="single" w:sz="6" w:space="0" w:color="000000"/>
              <w:right w:val="single" w:sz="6" w:space="0" w:color="000000"/>
            </w:tcBorders>
            <w:shd w:val="clear" w:color="auto" w:fill="D9D9D9"/>
            <w:vAlign w:val="center"/>
          </w:tcPr>
          <w:p w14:paraId="12CDEC05" w14:textId="77777777" w:rsidR="007F0CB1" w:rsidRDefault="007F0CB1">
            <w:pPr>
              <w:jc w:val="center"/>
              <w:rPr>
                <w:b/>
                <w:sz w:val="20"/>
                <w:szCs w:val="20"/>
                <w:highlight w:val="yellow"/>
              </w:rPr>
            </w:pPr>
            <w:r>
              <w:rPr>
                <w:b/>
                <w:sz w:val="20"/>
                <w:szCs w:val="20"/>
              </w:rPr>
              <w:t>Certainty</w:t>
            </w:r>
          </w:p>
        </w:tc>
        <w:tc>
          <w:tcPr>
            <w:tcW w:w="1120" w:type="dxa"/>
            <w:vMerge w:val="restart"/>
            <w:tcBorders>
              <w:top w:val="single" w:sz="6" w:space="0" w:color="000000"/>
              <w:left w:val="single" w:sz="6" w:space="0" w:color="000000"/>
              <w:right w:val="single" w:sz="6" w:space="0" w:color="000000"/>
            </w:tcBorders>
            <w:shd w:val="clear" w:color="auto" w:fill="D9D9D9"/>
            <w:vAlign w:val="center"/>
          </w:tcPr>
          <w:p w14:paraId="00E42688" w14:textId="77777777" w:rsidR="007F0CB1" w:rsidRDefault="007F0CB1">
            <w:pPr>
              <w:jc w:val="center"/>
              <w:rPr>
                <w:b/>
                <w:sz w:val="20"/>
                <w:szCs w:val="20"/>
              </w:rPr>
            </w:pPr>
            <w:r>
              <w:rPr>
                <w:b/>
                <w:sz w:val="20"/>
                <w:szCs w:val="20"/>
              </w:rPr>
              <w:t>Importance</w:t>
            </w:r>
          </w:p>
        </w:tc>
      </w:tr>
      <w:tr w:rsidR="007F0CB1" w14:paraId="45CBD4A7" w14:textId="77777777" w:rsidTr="003D1C11">
        <w:tc>
          <w:tcPr>
            <w:tcW w:w="70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AEA88E" w14:textId="77777777" w:rsidR="007F0CB1" w:rsidRDefault="007F0CB1">
            <w:pPr>
              <w:jc w:val="center"/>
              <w:rPr>
                <w:b/>
                <w:sz w:val="20"/>
                <w:szCs w:val="20"/>
              </w:rPr>
            </w:pPr>
            <w:r>
              <w:rPr>
                <w:b/>
                <w:sz w:val="20"/>
                <w:szCs w:val="20"/>
              </w:rPr>
              <w:t>№ of studies</w:t>
            </w:r>
          </w:p>
        </w:tc>
        <w:tc>
          <w:tcPr>
            <w:tcW w:w="84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C8523CF" w14:textId="77777777" w:rsidR="007F0CB1" w:rsidRDefault="007F0CB1">
            <w:pPr>
              <w:jc w:val="center"/>
              <w:rPr>
                <w:b/>
                <w:sz w:val="20"/>
                <w:szCs w:val="20"/>
              </w:rPr>
            </w:pPr>
            <w:r>
              <w:rPr>
                <w:b/>
                <w:sz w:val="20"/>
                <w:szCs w:val="20"/>
              </w:rPr>
              <w:t>Study design</w:t>
            </w:r>
          </w:p>
        </w:tc>
        <w:tc>
          <w:tcPr>
            <w:tcW w:w="99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ABB75F8" w14:textId="77777777" w:rsidR="007F0CB1" w:rsidRDefault="007F0CB1">
            <w:pPr>
              <w:jc w:val="center"/>
              <w:rPr>
                <w:b/>
                <w:sz w:val="20"/>
                <w:szCs w:val="20"/>
              </w:rPr>
            </w:pPr>
            <w:r>
              <w:rPr>
                <w:b/>
                <w:sz w:val="20"/>
                <w:szCs w:val="20"/>
              </w:rPr>
              <w:t>Risk of bias</w:t>
            </w:r>
          </w:p>
        </w:tc>
        <w:tc>
          <w:tcPr>
            <w:tcW w:w="127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4A986A8" w14:textId="77777777" w:rsidR="007F0CB1" w:rsidRDefault="007F0CB1">
            <w:pPr>
              <w:jc w:val="center"/>
              <w:rPr>
                <w:b/>
                <w:sz w:val="19"/>
                <w:szCs w:val="19"/>
              </w:rPr>
            </w:pPr>
            <w:r>
              <w:rPr>
                <w:b/>
                <w:sz w:val="20"/>
                <w:szCs w:val="20"/>
              </w:rPr>
              <w:t>Inconsistency</w:t>
            </w:r>
          </w:p>
        </w:tc>
        <w:tc>
          <w:tcPr>
            <w:tcW w:w="9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69FB386" w14:textId="77777777" w:rsidR="007F0CB1" w:rsidRDefault="007F0CB1">
            <w:pPr>
              <w:jc w:val="center"/>
              <w:rPr>
                <w:b/>
                <w:sz w:val="20"/>
                <w:szCs w:val="20"/>
              </w:rPr>
            </w:pPr>
            <w:r>
              <w:rPr>
                <w:b/>
                <w:sz w:val="20"/>
                <w:szCs w:val="20"/>
              </w:rPr>
              <w:t>Indirectness</w:t>
            </w:r>
          </w:p>
        </w:tc>
        <w:tc>
          <w:tcPr>
            <w:tcW w:w="118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7B6E303" w14:textId="77777777" w:rsidR="007F0CB1" w:rsidRDefault="007F0CB1">
            <w:pPr>
              <w:jc w:val="center"/>
              <w:rPr>
                <w:b/>
                <w:sz w:val="20"/>
                <w:szCs w:val="20"/>
              </w:rPr>
            </w:pPr>
            <w:r>
              <w:rPr>
                <w:b/>
                <w:sz w:val="20"/>
                <w:szCs w:val="20"/>
              </w:rPr>
              <w:t>Imprecision</w:t>
            </w:r>
          </w:p>
        </w:tc>
        <w:tc>
          <w:tcPr>
            <w:tcW w:w="10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E2FC0EF" w14:textId="77777777" w:rsidR="007F0CB1" w:rsidRDefault="007F0CB1">
            <w:pPr>
              <w:jc w:val="center"/>
              <w:rPr>
                <w:b/>
                <w:sz w:val="20"/>
                <w:szCs w:val="20"/>
              </w:rPr>
            </w:pPr>
            <w:r>
              <w:rPr>
                <w:b/>
                <w:sz w:val="20"/>
                <w:szCs w:val="20"/>
              </w:rPr>
              <w:t>Other considerations</w:t>
            </w:r>
          </w:p>
        </w:tc>
        <w:tc>
          <w:tcPr>
            <w:tcW w:w="13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09584D" w14:textId="77777777" w:rsidR="007F0CB1" w:rsidRDefault="007F0CB1">
            <w:pPr>
              <w:jc w:val="center"/>
              <w:rPr>
                <w:b/>
                <w:sz w:val="20"/>
                <w:szCs w:val="20"/>
              </w:rPr>
            </w:pPr>
            <w:r>
              <w:rPr>
                <w:b/>
                <w:sz w:val="20"/>
                <w:szCs w:val="20"/>
              </w:rPr>
              <w:t>3rd Generation Cephalosporins (ceftriaxone or cefotaxime)</w:t>
            </w:r>
          </w:p>
        </w:tc>
        <w:tc>
          <w:tcPr>
            <w:tcW w:w="10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68D8D1D" w14:textId="77777777" w:rsidR="007F0CB1" w:rsidRDefault="007F0CB1">
            <w:pPr>
              <w:jc w:val="center"/>
              <w:rPr>
                <w:b/>
                <w:sz w:val="20"/>
                <w:szCs w:val="20"/>
              </w:rPr>
            </w:pPr>
            <w:r>
              <w:rPr>
                <w:b/>
                <w:sz w:val="20"/>
                <w:szCs w:val="20"/>
              </w:rPr>
              <w:t>IV Penicillin G</w:t>
            </w:r>
          </w:p>
        </w:tc>
        <w:tc>
          <w:tcPr>
            <w:tcW w:w="113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6B7737" w14:textId="77777777" w:rsidR="007F0CB1" w:rsidRDefault="007F0CB1">
            <w:pPr>
              <w:jc w:val="center"/>
              <w:rPr>
                <w:b/>
                <w:sz w:val="20"/>
                <w:szCs w:val="20"/>
              </w:rPr>
            </w:pPr>
            <w:r>
              <w:rPr>
                <w:b/>
                <w:sz w:val="20"/>
                <w:szCs w:val="20"/>
              </w:rPr>
              <w:t>Relative</w:t>
            </w:r>
            <w:r>
              <w:rPr>
                <w:b/>
                <w:sz w:val="20"/>
                <w:szCs w:val="20"/>
              </w:rPr>
              <w:br/>
              <w:t>(95% CI)</w:t>
            </w:r>
          </w:p>
        </w:tc>
        <w:tc>
          <w:tcPr>
            <w:tcW w:w="207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8C93F30" w14:textId="77777777" w:rsidR="007F0CB1" w:rsidRDefault="007F0CB1">
            <w:pPr>
              <w:jc w:val="center"/>
              <w:rPr>
                <w:b/>
                <w:sz w:val="20"/>
                <w:szCs w:val="20"/>
              </w:rPr>
            </w:pPr>
            <w:r>
              <w:rPr>
                <w:b/>
                <w:sz w:val="20"/>
                <w:szCs w:val="20"/>
              </w:rPr>
              <w:t>Absolute</w:t>
            </w:r>
            <w:r>
              <w:rPr>
                <w:b/>
                <w:sz w:val="20"/>
                <w:szCs w:val="20"/>
              </w:rPr>
              <w:br/>
              <w:t>(95% CI)</w:t>
            </w:r>
          </w:p>
        </w:tc>
        <w:tc>
          <w:tcPr>
            <w:tcW w:w="1055" w:type="dxa"/>
            <w:vMerge/>
            <w:tcBorders>
              <w:left w:val="single" w:sz="6" w:space="0" w:color="000000"/>
              <w:bottom w:val="single" w:sz="6" w:space="0" w:color="000000"/>
              <w:right w:val="single" w:sz="6" w:space="0" w:color="000000"/>
            </w:tcBorders>
            <w:shd w:val="clear" w:color="auto" w:fill="D9D9D9"/>
            <w:vAlign w:val="center"/>
          </w:tcPr>
          <w:p w14:paraId="6B89F5D8" w14:textId="77777777" w:rsidR="007F0CB1" w:rsidRDefault="007F0CB1">
            <w:pPr>
              <w:rPr>
                <w:b/>
                <w:sz w:val="20"/>
                <w:szCs w:val="20"/>
              </w:rPr>
            </w:pPr>
          </w:p>
        </w:tc>
        <w:tc>
          <w:tcPr>
            <w:tcW w:w="1120" w:type="dxa"/>
            <w:vMerge/>
            <w:tcBorders>
              <w:left w:val="single" w:sz="6" w:space="0" w:color="000000"/>
              <w:bottom w:val="single" w:sz="6" w:space="0" w:color="000000"/>
              <w:right w:val="single" w:sz="6" w:space="0" w:color="000000"/>
            </w:tcBorders>
            <w:shd w:val="clear" w:color="auto" w:fill="D9D9D9"/>
            <w:vAlign w:val="center"/>
          </w:tcPr>
          <w:p w14:paraId="26A93E68" w14:textId="77777777" w:rsidR="007F0CB1" w:rsidRDefault="007F0CB1">
            <w:pPr>
              <w:rPr>
                <w:b/>
                <w:sz w:val="20"/>
                <w:szCs w:val="20"/>
              </w:rPr>
            </w:pPr>
          </w:p>
        </w:tc>
      </w:tr>
      <w:tr w:rsidR="002D58E4" w14:paraId="0AE9C9D3" w14:textId="77777777" w:rsidTr="003D1C11">
        <w:tc>
          <w:tcPr>
            <w:tcW w:w="1479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37A9DF56" w14:textId="77777777" w:rsidR="002D58E4" w:rsidRDefault="00F721D4">
            <w:pPr>
              <w:rPr>
                <w:sz w:val="20"/>
                <w:szCs w:val="20"/>
              </w:rPr>
            </w:pPr>
            <w:r>
              <w:rPr>
                <w:b/>
                <w:sz w:val="20"/>
                <w:szCs w:val="20"/>
              </w:rPr>
              <w:t xml:space="preserve">Improvement of Neurologic Lyme Symptoms </w:t>
            </w:r>
            <w:r>
              <w:rPr>
                <w:sz w:val="20"/>
                <w:szCs w:val="20"/>
              </w:rPr>
              <w:t xml:space="preserve">(Follow-up at 10 day in Pfister, at 6 months in Müllegger) </w:t>
            </w:r>
          </w:p>
        </w:tc>
      </w:tr>
      <w:tr w:rsidR="002D58E4" w14:paraId="78CC1600" w14:textId="77777777" w:rsidTr="003D1C11">
        <w:tc>
          <w:tcPr>
            <w:tcW w:w="707" w:type="dxa"/>
            <w:tcBorders>
              <w:top w:val="single" w:sz="6" w:space="0" w:color="000000"/>
              <w:left w:val="single" w:sz="6" w:space="0" w:color="000000"/>
              <w:bottom w:val="single" w:sz="6" w:space="0" w:color="000000"/>
              <w:right w:val="single" w:sz="6" w:space="0" w:color="000000"/>
            </w:tcBorders>
          </w:tcPr>
          <w:p w14:paraId="45F0667D" w14:textId="77777777" w:rsidR="002D58E4" w:rsidRDefault="00F721D4">
            <w:pPr>
              <w:rPr>
                <w:sz w:val="20"/>
                <w:szCs w:val="20"/>
              </w:rPr>
            </w:pPr>
            <w:r>
              <w:rPr>
                <w:sz w:val="20"/>
                <w:szCs w:val="20"/>
              </w:rPr>
              <w:t xml:space="preserve">2 </w:t>
            </w:r>
          </w:p>
        </w:tc>
        <w:tc>
          <w:tcPr>
            <w:tcW w:w="848" w:type="dxa"/>
            <w:tcBorders>
              <w:top w:val="single" w:sz="6" w:space="0" w:color="000000"/>
              <w:left w:val="single" w:sz="6" w:space="0" w:color="000000"/>
              <w:bottom w:val="single" w:sz="6" w:space="0" w:color="000000"/>
              <w:right w:val="single" w:sz="6" w:space="0" w:color="000000"/>
            </w:tcBorders>
          </w:tcPr>
          <w:p w14:paraId="3298A426" w14:textId="77777777" w:rsidR="002D58E4" w:rsidRDefault="00F721D4">
            <w:pPr>
              <w:rPr>
                <w:sz w:val="20"/>
                <w:szCs w:val="20"/>
                <w:highlight w:val="yellow"/>
              </w:rPr>
            </w:pPr>
            <w:r>
              <w:rPr>
                <w:sz w:val="20"/>
                <w:szCs w:val="20"/>
              </w:rPr>
              <w:t xml:space="preserve">RCT </w:t>
            </w:r>
            <w:r>
              <w:rPr>
                <w:sz w:val="20"/>
                <w:szCs w:val="20"/>
                <w:vertAlign w:val="superscript"/>
              </w:rPr>
              <w:t>1,2</w:t>
            </w:r>
          </w:p>
        </w:tc>
        <w:tc>
          <w:tcPr>
            <w:tcW w:w="993" w:type="dxa"/>
            <w:tcBorders>
              <w:top w:val="single" w:sz="6" w:space="0" w:color="000000"/>
              <w:left w:val="single" w:sz="6" w:space="0" w:color="000000"/>
              <w:bottom w:val="single" w:sz="6" w:space="0" w:color="000000"/>
              <w:right w:val="single" w:sz="6" w:space="0" w:color="000000"/>
            </w:tcBorders>
          </w:tcPr>
          <w:p w14:paraId="24DE1E5F" w14:textId="77777777" w:rsidR="002D58E4" w:rsidRDefault="00F721D4">
            <w:pPr>
              <w:rPr>
                <w:sz w:val="20"/>
                <w:szCs w:val="20"/>
              </w:rPr>
            </w:pPr>
            <w:r>
              <w:rPr>
                <w:sz w:val="20"/>
                <w:szCs w:val="20"/>
              </w:rPr>
              <w:t xml:space="preserve">serious </w:t>
            </w:r>
            <w:r>
              <w:rPr>
                <w:sz w:val="20"/>
                <w:szCs w:val="20"/>
                <w:vertAlign w:val="superscript"/>
              </w:rPr>
              <w:t>a</w:t>
            </w:r>
          </w:p>
        </w:tc>
        <w:tc>
          <w:tcPr>
            <w:tcW w:w="1273" w:type="dxa"/>
            <w:tcBorders>
              <w:top w:val="single" w:sz="6" w:space="0" w:color="000000"/>
              <w:left w:val="single" w:sz="6" w:space="0" w:color="000000"/>
              <w:bottom w:val="single" w:sz="6" w:space="0" w:color="000000"/>
              <w:right w:val="single" w:sz="6" w:space="0" w:color="000000"/>
            </w:tcBorders>
          </w:tcPr>
          <w:p w14:paraId="783FF0CF"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48062E48" w14:textId="77777777" w:rsidR="002D58E4" w:rsidRDefault="00F721D4">
            <w:pPr>
              <w:rPr>
                <w:sz w:val="20"/>
                <w:szCs w:val="20"/>
              </w:rPr>
            </w:pPr>
            <w:r>
              <w:rPr>
                <w:sz w:val="20"/>
                <w:szCs w:val="20"/>
              </w:rPr>
              <w:t xml:space="preserve">not serious </w:t>
            </w:r>
          </w:p>
        </w:tc>
        <w:tc>
          <w:tcPr>
            <w:tcW w:w="1186" w:type="dxa"/>
            <w:tcBorders>
              <w:top w:val="single" w:sz="6" w:space="0" w:color="000000"/>
              <w:left w:val="single" w:sz="6" w:space="0" w:color="000000"/>
              <w:bottom w:val="single" w:sz="6" w:space="0" w:color="000000"/>
              <w:right w:val="single" w:sz="6" w:space="0" w:color="000000"/>
            </w:tcBorders>
          </w:tcPr>
          <w:p w14:paraId="302A6E61" w14:textId="77777777" w:rsidR="002D58E4" w:rsidRDefault="00F721D4">
            <w:pPr>
              <w:rPr>
                <w:sz w:val="20"/>
                <w:szCs w:val="20"/>
              </w:rPr>
            </w:pPr>
            <w:r>
              <w:rPr>
                <w:sz w:val="20"/>
                <w:szCs w:val="20"/>
              </w:rPr>
              <w:t xml:space="preserve"> serious </w:t>
            </w:r>
            <w:r>
              <w:rPr>
                <w:sz w:val="20"/>
                <w:szCs w:val="20"/>
                <w:vertAlign w:val="superscript"/>
              </w:rPr>
              <w:t>c</w:t>
            </w:r>
          </w:p>
        </w:tc>
        <w:tc>
          <w:tcPr>
            <w:tcW w:w="1010" w:type="dxa"/>
            <w:tcBorders>
              <w:top w:val="single" w:sz="6" w:space="0" w:color="000000"/>
              <w:left w:val="single" w:sz="6" w:space="0" w:color="000000"/>
              <w:bottom w:val="single" w:sz="6" w:space="0" w:color="000000"/>
              <w:right w:val="single" w:sz="6" w:space="0" w:color="000000"/>
            </w:tcBorders>
          </w:tcPr>
          <w:p w14:paraId="66D93A21" w14:textId="77777777" w:rsidR="002D58E4" w:rsidRDefault="00F721D4">
            <w:pPr>
              <w:rPr>
                <w:sz w:val="20"/>
                <w:szCs w:val="20"/>
              </w:rPr>
            </w:pPr>
            <w:r>
              <w:rPr>
                <w:sz w:val="20"/>
                <w:szCs w:val="20"/>
              </w:rPr>
              <w:t xml:space="preserve">none </w:t>
            </w:r>
          </w:p>
        </w:tc>
        <w:tc>
          <w:tcPr>
            <w:tcW w:w="1387" w:type="dxa"/>
            <w:tcBorders>
              <w:top w:val="single" w:sz="6" w:space="0" w:color="000000"/>
              <w:left w:val="single" w:sz="6" w:space="0" w:color="000000"/>
              <w:bottom w:val="single" w:sz="6" w:space="0" w:color="000000"/>
              <w:right w:val="single" w:sz="6" w:space="0" w:color="000000"/>
            </w:tcBorders>
          </w:tcPr>
          <w:p w14:paraId="3697FB5A" w14:textId="77777777" w:rsidR="002D58E4" w:rsidRDefault="00F721D4">
            <w:pPr>
              <w:jc w:val="center"/>
              <w:rPr>
                <w:sz w:val="20"/>
                <w:szCs w:val="20"/>
              </w:rPr>
            </w:pPr>
            <w:r>
              <w:rPr>
                <w:sz w:val="20"/>
                <w:szCs w:val="20"/>
              </w:rPr>
              <w:t xml:space="preserve">21/23 </w:t>
            </w:r>
          </w:p>
          <w:p w14:paraId="7F926CBB" w14:textId="77777777" w:rsidR="002D58E4" w:rsidRDefault="00F721D4">
            <w:pPr>
              <w:jc w:val="center"/>
              <w:rPr>
                <w:sz w:val="20"/>
                <w:szCs w:val="20"/>
              </w:rPr>
            </w:pPr>
            <w:r>
              <w:rPr>
                <w:sz w:val="20"/>
                <w:szCs w:val="20"/>
              </w:rPr>
              <w:t xml:space="preserve">(91.3%) </w:t>
            </w:r>
          </w:p>
        </w:tc>
        <w:tc>
          <w:tcPr>
            <w:tcW w:w="1020" w:type="dxa"/>
            <w:tcBorders>
              <w:top w:val="single" w:sz="6" w:space="0" w:color="000000"/>
              <w:left w:val="single" w:sz="6" w:space="0" w:color="000000"/>
              <w:bottom w:val="single" w:sz="6" w:space="0" w:color="000000"/>
              <w:right w:val="single" w:sz="6" w:space="0" w:color="000000"/>
            </w:tcBorders>
          </w:tcPr>
          <w:p w14:paraId="2F623540" w14:textId="77777777" w:rsidR="002D58E4" w:rsidRDefault="00F721D4">
            <w:pPr>
              <w:jc w:val="center"/>
              <w:rPr>
                <w:sz w:val="20"/>
                <w:szCs w:val="20"/>
              </w:rPr>
            </w:pPr>
            <w:r>
              <w:rPr>
                <w:sz w:val="20"/>
                <w:szCs w:val="20"/>
              </w:rPr>
              <w:t xml:space="preserve">19/21 </w:t>
            </w:r>
          </w:p>
          <w:p w14:paraId="65A1A0B4" w14:textId="77777777" w:rsidR="002D58E4" w:rsidRDefault="00F721D4">
            <w:pPr>
              <w:jc w:val="center"/>
              <w:rPr>
                <w:sz w:val="20"/>
                <w:szCs w:val="20"/>
              </w:rPr>
            </w:pPr>
            <w:r>
              <w:rPr>
                <w:sz w:val="20"/>
                <w:szCs w:val="20"/>
              </w:rPr>
              <w:t xml:space="preserve">(90.5%) </w:t>
            </w:r>
          </w:p>
        </w:tc>
        <w:tc>
          <w:tcPr>
            <w:tcW w:w="1130" w:type="dxa"/>
            <w:tcBorders>
              <w:top w:val="single" w:sz="6" w:space="0" w:color="000000"/>
              <w:left w:val="single" w:sz="6" w:space="0" w:color="000000"/>
              <w:bottom w:val="single" w:sz="6" w:space="0" w:color="000000"/>
              <w:right w:val="single" w:sz="6" w:space="0" w:color="000000"/>
            </w:tcBorders>
          </w:tcPr>
          <w:p w14:paraId="049F0C09" w14:textId="77777777" w:rsidR="002D58E4" w:rsidRDefault="00F721D4">
            <w:pPr>
              <w:jc w:val="center"/>
              <w:rPr>
                <w:sz w:val="20"/>
                <w:szCs w:val="20"/>
              </w:rPr>
            </w:pPr>
            <w:r>
              <w:rPr>
                <w:sz w:val="20"/>
                <w:szCs w:val="20"/>
              </w:rPr>
              <w:t>RR 1.00</w:t>
            </w:r>
            <w:r>
              <w:rPr>
                <w:sz w:val="20"/>
                <w:szCs w:val="20"/>
              </w:rPr>
              <w:br/>
              <w:t xml:space="preserve">(0.86 to 1.16) </w:t>
            </w:r>
          </w:p>
        </w:tc>
        <w:tc>
          <w:tcPr>
            <w:tcW w:w="2071" w:type="dxa"/>
            <w:gridSpan w:val="2"/>
            <w:tcBorders>
              <w:top w:val="single" w:sz="6" w:space="0" w:color="000000"/>
              <w:left w:val="single" w:sz="6" w:space="0" w:color="000000"/>
              <w:bottom w:val="single" w:sz="6" w:space="0" w:color="000000"/>
              <w:right w:val="single" w:sz="6" w:space="0" w:color="000000"/>
            </w:tcBorders>
          </w:tcPr>
          <w:p w14:paraId="649D654C" w14:textId="77777777" w:rsidR="002D58E4" w:rsidRDefault="00F721D4">
            <w:pPr>
              <w:jc w:val="center"/>
              <w:rPr>
                <w:sz w:val="20"/>
                <w:szCs w:val="20"/>
              </w:rPr>
            </w:pPr>
            <w:r>
              <w:rPr>
                <w:sz w:val="20"/>
                <w:szCs w:val="20"/>
              </w:rPr>
              <w:t>0 fewer per 1,000</w:t>
            </w:r>
            <w:r>
              <w:rPr>
                <w:sz w:val="20"/>
                <w:szCs w:val="20"/>
              </w:rPr>
              <w:br/>
              <w:t xml:space="preserve">(from 127 fewer to 145 more) </w:t>
            </w:r>
          </w:p>
        </w:tc>
        <w:tc>
          <w:tcPr>
            <w:tcW w:w="1055" w:type="dxa"/>
            <w:tcBorders>
              <w:top w:val="single" w:sz="6" w:space="0" w:color="000000"/>
              <w:left w:val="single" w:sz="6" w:space="0" w:color="000000"/>
              <w:bottom w:val="single" w:sz="6" w:space="0" w:color="000000"/>
              <w:right w:val="single" w:sz="6" w:space="0" w:color="000000"/>
            </w:tcBorders>
          </w:tcPr>
          <w:p w14:paraId="0543FF0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20" w:type="dxa"/>
            <w:tcBorders>
              <w:top w:val="single" w:sz="6" w:space="0" w:color="000000"/>
              <w:left w:val="single" w:sz="6" w:space="0" w:color="000000"/>
              <w:bottom w:val="single" w:sz="6" w:space="0" w:color="000000"/>
              <w:right w:val="single" w:sz="6" w:space="0" w:color="000000"/>
            </w:tcBorders>
          </w:tcPr>
          <w:p w14:paraId="1C9AC6DF" w14:textId="77777777" w:rsidR="002D58E4" w:rsidRDefault="00F721D4">
            <w:pPr>
              <w:rPr>
                <w:sz w:val="20"/>
                <w:szCs w:val="20"/>
              </w:rPr>
            </w:pPr>
            <w:r>
              <w:rPr>
                <w:sz w:val="20"/>
                <w:szCs w:val="20"/>
              </w:rPr>
              <w:t xml:space="preserve">CRITICAL </w:t>
            </w:r>
          </w:p>
        </w:tc>
      </w:tr>
      <w:tr w:rsidR="002D58E4" w14:paraId="4A742C35" w14:textId="77777777" w:rsidTr="003D1C11">
        <w:tc>
          <w:tcPr>
            <w:tcW w:w="1479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874F8A8" w14:textId="77777777" w:rsidR="002D58E4" w:rsidRDefault="00F721D4">
            <w:pPr>
              <w:rPr>
                <w:sz w:val="20"/>
                <w:szCs w:val="20"/>
              </w:rPr>
            </w:pPr>
            <w:r>
              <w:rPr>
                <w:b/>
                <w:sz w:val="20"/>
                <w:szCs w:val="20"/>
              </w:rPr>
              <w:t xml:space="preserve">Cerebrospinal Fluid Lymphocytic Pleocytosis </w:t>
            </w:r>
            <w:r>
              <w:rPr>
                <w:sz w:val="20"/>
                <w:szCs w:val="20"/>
              </w:rPr>
              <w:t>(Follow-up at a mean time of 7.2 months f</w:t>
            </w:r>
            <w:r>
              <w:t xml:space="preserve">or cefotaxime and </w:t>
            </w:r>
            <w:r>
              <w:rPr>
                <w:sz w:val="20"/>
                <w:szCs w:val="20"/>
              </w:rPr>
              <w:t>8.2 months for penicillin)</w:t>
            </w:r>
          </w:p>
        </w:tc>
      </w:tr>
      <w:tr w:rsidR="002D58E4" w14:paraId="68AB57FB" w14:textId="77777777" w:rsidTr="003D1C11">
        <w:tc>
          <w:tcPr>
            <w:tcW w:w="707" w:type="dxa"/>
            <w:tcBorders>
              <w:top w:val="single" w:sz="6" w:space="0" w:color="000000"/>
              <w:left w:val="single" w:sz="6" w:space="0" w:color="000000"/>
              <w:bottom w:val="single" w:sz="6" w:space="0" w:color="000000"/>
              <w:right w:val="single" w:sz="6" w:space="0" w:color="000000"/>
            </w:tcBorders>
          </w:tcPr>
          <w:p w14:paraId="65D0CBA9" w14:textId="77777777" w:rsidR="002D58E4" w:rsidRDefault="00F721D4">
            <w:pPr>
              <w:rPr>
                <w:sz w:val="20"/>
                <w:szCs w:val="20"/>
              </w:rPr>
            </w:pPr>
            <w:r>
              <w:rPr>
                <w:sz w:val="20"/>
                <w:szCs w:val="20"/>
              </w:rPr>
              <w:t xml:space="preserve">1 </w:t>
            </w:r>
          </w:p>
        </w:tc>
        <w:tc>
          <w:tcPr>
            <w:tcW w:w="848" w:type="dxa"/>
            <w:tcBorders>
              <w:top w:val="single" w:sz="6" w:space="0" w:color="000000"/>
              <w:left w:val="single" w:sz="6" w:space="0" w:color="000000"/>
              <w:bottom w:val="single" w:sz="6" w:space="0" w:color="000000"/>
              <w:right w:val="single" w:sz="6" w:space="0" w:color="000000"/>
            </w:tcBorders>
          </w:tcPr>
          <w:p w14:paraId="16220D81" w14:textId="77777777" w:rsidR="002D58E4" w:rsidRDefault="00F721D4">
            <w:pPr>
              <w:rPr>
                <w:sz w:val="20"/>
                <w:szCs w:val="20"/>
              </w:rPr>
            </w:pPr>
            <w:r>
              <w:rPr>
                <w:sz w:val="20"/>
                <w:szCs w:val="20"/>
              </w:rPr>
              <w:t xml:space="preserve">RCT </w:t>
            </w:r>
            <w:r>
              <w:rPr>
                <w:sz w:val="20"/>
                <w:szCs w:val="20"/>
                <w:vertAlign w:val="superscript"/>
              </w:rPr>
              <w:t>1</w:t>
            </w:r>
          </w:p>
        </w:tc>
        <w:tc>
          <w:tcPr>
            <w:tcW w:w="993" w:type="dxa"/>
            <w:tcBorders>
              <w:top w:val="single" w:sz="6" w:space="0" w:color="000000"/>
              <w:left w:val="single" w:sz="6" w:space="0" w:color="000000"/>
              <w:bottom w:val="single" w:sz="6" w:space="0" w:color="000000"/>
              <w:right w:val="single" w:sz="6" w:space="0" w:color="000000"/>
            </w:tcBorders>
          </w:tcPr>
          <w:p w14:paraId="336CD20D" w14:textId="77777777" w:rsidR="002D58E4" w:rsidRDefault="00F721D4">
            <w:pPr>
              <w:rPr>
                <w:sz w:val="20"/>
                <w:szCs w:val="20"/>
              </w:rPr>
            </w:pPr>
            <w:r>
              <w:rPr>
                <w:sz w:val="20"/>
                <w:szCs w:val="20"/>
              </w:rPr>
              <w:t>not serious</w:t>
            </w:r>
          </w:p>
        </w:tc>
        <w:tc>
          <w:tcPr>
            <w:tcW w:w="1273" w:type="dxa"/>
            <w:tcBorders>
              <w:top w:val="single" w:sz="6" w:space="0" w:color="000000"/>
              <w:left w:val="single" w:sz="6" w:space="0" w:color="000000"/>
              <w:bottom w:val="single" w:sz="6" w:space="0" w:color="000000"/>
              <w:right w:val="single" w:sz="6" w:space="0" w:color="000000"/>
            </w:tcBorders>
          </w:tcPr>
          <w:p w14:paraId="70C2FB6F"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0334D2CE" w14:textId="77777777" w:rsidR="002D58E4" w:rsidRDefault="00F721D4">
            <w:pPr>
              <w:rPr>
                <w:sz w:val="20"/>
                <w:szCs w:val="20"/>
              </w:rPr>
            </w:pPr>
            <w:r>
              <w:rPr>
                <w:sz w:val="20"/>
                <w:szCs w:val="20"/>
              </w:rPr>
              <w:t xml:space="preserve">serious </w:t>
            </w:r>
            <w:r>
              <w:rPr>
                <w:sz w:val="20"/>
                <w:szCs w:val="20"/>
                <w:vertAlign w:val="superscript"/>
              </w:rPr>
              <w:t xml:space="preserve">b </w:t>
            </w:r>
          </w:p>
        </w:tc>
        <w:tc>
          <w:tcPr>
            <w:tcW w:w="1186" w:type="dxa"/>
            <w:tcBorders>
              <w:top w:val="single" w:sz="6" w:space="0" w:color="000000"/>
              <w:left w:val="single" w:sz="6" w:space="0" w:color="000000"/>
              <w:bottom w:val="single" w:sz="6" w:space="0" w:color="000000"/>
              <w:right w:val="single" w:sz="6" w:space="0" w:color="000000"/>
            </w:tcBorders>
          </w:tcPr>
          <w:p w14:paraId="1C87D785" w14:textId="77777777" w:rsidR="002D58E4" w:rsidRDefault="00F721D4">
            <w:pPr>
              <w:rPr>
                <w:sz w:val="20"/>
                <w:szCs w:val="20"/>
              </w:rPr>
            </w:pPr>
            <w:r>
              <w:rPr>
                <w:sz w:val="20"/>
                <w:szCs w:val="20"/>
              </w:rPr>
              <w:t xml:space="preserve">very serious </w:t>
            </w:r>
            <w:r>
              <w:rPr>
                <w:sz w:val="20"/>
                <w:szCs w:val="20"/>
                <w:vertAlign w:val="superscript"/>
              </w:rPr>
              <w:t>d</w:t>
            </w:r>
          </w:p>
        </w:tc>
        <w:tc>
          <w:tcPr>
            <w:tcW w:w="1010" w:type="dxa"/>
            <w:tcBorders>
              <w:top w:val="single" w:sz="6" w:space="0" w:color="000000"/>
              <w:left w:val="single" w:sz="6" w:space="0" w:color="000000"/>
              <w:bottom w:val="single" w:sz="6" w:space="0" w:color="000000"/>
              <w:right w:val="single" w:sz="6" w:space="0" w:color="000000"/>
            </w:tcBorders>
          </w:tcPr>
          <w:p w14:paraId="2263C304" w14:textId="77777777" w:rsidR="002D58E4" w:rsidRDefault="00F721D4">
            <w:pPr>
              <w:rPr>
                <w:sz w:val="20"/>
                <w:szCs w:val="20"/>
              </w:rPr>
            </w:pPr>
            <w:r>
              <w:rPr>
                <w:sz w:val="20"/>
                <w:szCs w:val="20"/>
              </w:rPr>
              <w:t xml:space="preserve">none </w:t>
            </w:r>
          </w:p>
        </w:tc>
        <w:tc>
          <w:tcPr>
            <w:tcW w:w="1387" w:type="dxa"/>
            <w:tcBorders>
              <w:top w:val="single" w:sz="6" w:space="0" w:color="000000"/>
              <w:left w:val="single" w:sz="6" w:space="0" w:color="000000"/>
              <w:bottom w:val="single" w:sz="6" w:space="0" w:color="000000"/>
              <w:right w:val="single" w:sz="6" w:space="0" w:color="000000"/>
            </w:tcBorders>
          </w:tcPr>
          <w:p w14:paraId="683D35AF" w14:textId="77777777" w:rsidR="002D58E4" w:rsidRDefault="00F721D4">
            <w:pPr>
              <w:jc w:val="center"/>
              <w:rPr>
                <w:sz w:val="20"/>
                <w:szCs w:val="20"/>
              </w:rPr>
            </w:pPr>
            <w:r>
              <w:rPr>
                <w:sz w:val="20"/>
                <w:szCs w:val="20"/>
              </w:rPr>
              <w:t xml:space="preserve">1/10 </w:t>
            </w:r>
          </w:p>
          <w:p w14:paraId="0F41747C" w14:textId="77777777" w:rsidR="002D58E4" w:rsidRDefault="00F721D4">
            <w:pPr>
              <w:jc w:val="center"/>
              <w:rPr>
                <w:sz w:val="20"/>
                <w:szCs w:val="20"/>
              </w:rPr>
            </w:pPr>
            <w:r>
              <w:rPr>
                <w:sz w:val="20"/>
                <w:szCs w:val="20"/>
              </w:rPr>
              <w:t xml:space="preserve">(10.0%) </w:t>
            </w:r>
          </w:p>
        </w:tc>
        <w:tc>
          <w:tcPr>
            <w:tcW w:w="1020" w:type="dxa"/>
            <w:tcBorders>
              <w:top w:val="single" w:sz="6" w:space="0" w:color="000000"/>
              <w:left w:val="single" w:sz="6" w:space="0" w:color="000000"/>
              <w:bottom w:val="single" w:sz="6" w:space="0" w:color="000000"/>
              <w:right w:val="single" w:sz="6" w:space="0" w:color="000000"/>
            </w:tcBorders>
          </w:tcPr>
          <w:p w14:paraId="5D1E80D4" w14:textId="77777777" w:rsidR="002D58E4" w:rsidRDefault="00F721D4">
            <w:pPr>
              <w:jc w:val="center"/>
              <w:rPr>
                <w:sz w:val="20"/>
                <w:szCs w:val="20"/>
              </w:rPr>
            </w:pPr>
            <w:r>
              <w:rPr>
                <w:sz w:val="20"/>
                <w:szCs w:val="20"/>
              </w:rPr>
              <w:t xml:space="preserve">0/10 </w:t>
            </w:r>
          </w:p>
          <w:p w14:paraId="76411F4D" w14:textId="77777777" w:rsidR="002D58E4" w:rsidRDefault="00F721D4">
            <w:pPr>
              <w:jc w:val="center"/>
              <w:rPr>
                <w:sz w:val="20"/>
                <w:szCs w:val="20"/>
              </w:rPr>
            </w:pPr>
            <w:r>
              <w:rPr>
                <w:sz w:val="20"/>
                <w:szCs w:val="20"/>
              </w:rPr>
              <w:t xml:space="preserve">(0.0%) </w:t>
            </w:r>
          </w:p>
        </w:tc>
        <w:tc>
          <w:tcPr>
            <w:tcW w:w="1130" w:type="dxa"/>
            <w:tcBorders>
              <w:top w:val="single" w:sz="6" w:space="0" w:color="000000"/>
              <w:left w:val="single" w:sz="6" w:space="0" w:color="000000"/>
              <w:bottom w:val="single" w:sz="6" w:space="0" w:color="000000"/>
              <w:right w:val="single" w:sz="6" w:space="0" w:color="000000"/>
            </w:tcBorders>
          </w:tcPr>
          <w:p w14:paraId="3B5AC875"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24C8F12B" w14:textId="77777777" w:rsidR="002D58E4" w:rsidRDefault="002D58E4">
            <w:pPr>
              <w:jc w:val="center"/>
              <w:rPr>
                <w:sz w:val="20"/>
                <w:szCs w:val="20"/>
              </w:rPr>
            </w:pPr>
          </w:p>
        </w:tc>
        <w:tc>
          <w:tcPr>
            <w:tcW w:w="2071" w:type="dxa"/>
            <w:gridSpan w:val="2"/>
            <w:tcBorders>
              <w:top w:val="single" w:sz="6" w:space="0" w:color="000000"/>
              <w:left w:val="single" w:sz="6" w:space="0" w:color="000000"/>
              <w:bottom w:val="single" w:sz="6" w:space="0" w:color="000000"/>
              <w:right w:val="single" w:sz="6" w:space="0" w:color="000000"/>
            </w:tcBorders>
          </w:tcPr>
          <w:p w14:paraId="4BD8CF18" w14:textId="77777777" w:rsidR="002D58E4" w:rsidRDefault="00F721D4">
            <w:pPr>
              <w:jc w:val="center"/>
              <w:rPr>
                <w:sz w:val="20"/>
                <w:szCs w:val="20"/>
              </w:rPr>
            </w:pPr>
            <w:r>
              <w:rPr>
                <w:sz w:val="20"/>
                <w:szCs w:val="20"/>
              </w:rPr>
              <w:t>100 more per 1,000</w:t>
            </w:r>
          </w:p>
          <w:p w14:paraId="578DA8B4" w14:textId="77777777" w:rsidR="002D58E4" w:rsidRDefault="002D58E4">
            <w:pPr>
              <w:jc w:val="center"/>
              <w:rPr>
                <w:sz w:val="20"/>
                <w:szCs w:val="20"/>
              </w:rPr>
            </w:pPr>
          </w:p>
        </w:tc>
        <w:tc>
          <w:tcPr>
            <w:tcW w:w="1055" w:type="dxa"/>
            <w:tcBorders>
              <w:top w:val="single" w:sz="6" w:space="0" w:color="000000"/>
              <w:left w:val="single" w:sz="6" w:space="0" w:color="000000"/>
              <w:bottom w:val="single" w:sz="6" w:space="0" w:color="000000"/>
              <w:right w:val="single" w:sz="6" w:space="0" w:color="000000"/>
            </w:tcBorders>
          </w:tcPr>
          <w:p w14:paraId="708DEB3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20" w:type="dxa"/>
            <w:tcBorders>
              <w:top w:val="single" w:sz="6" w:space="0" w:color="000000"/>
              <w:left w:val="single" w:sz="6" w:space="0" w:color="000000"/>
              <w:bottom w:val="single" w:sz="6" w:space="0" w:color="000000"/>
              <w:right w:val="single" w:sz="6" w:space="0" w:color="000000"/>
            </w:tcBorders>
          </w:tcPr>
          <w:p w14:paraId="0F847C90" w14:textId="77777777" w:rsidR="002D58E4" w:rsidRDefault="00F721D4">
            <w:pPr>
              <w:rPr>
                <w:sz w:val="20"/>
                <w:szCs w:val="20"/>
              </w:rPr>
            </w:pPr>
            <w:r>
              <w:rPr>
                <w:sz w:val="20"/>
                <w:szCs w:val="20"/>
              </w:rPr>
              <w:t xml:space="preserve">IMPORTANT </w:t>
            </w:r>
          </w:p>
        </w:tc>
      </w:tr>
      <w:tr w:rsidR="002D58E4" w14:paraId="1652A25B" w14:textId="77777777" w:rsidTr="003D1C11">
        <w:tc>
          <w:tcPr>
            <w:tcW w:w="1479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105B36D1" w14:textId="77777777" w:rsidR="002D58E4" w:rsidRDefault="00F721D4">
            <w:pPr>
              <w:rPr>
                <w:sz w:val="20"/>
                <w:szCs w:val="20"/>
              </w:rPr>
            </w:pPr>
            <w:r>
              <w:rPr>
                <w:b/>
                <w:sz w:val="20"/>
                <w:szCs w:val="20"/>
              </w:rPr>
              <w:t xml:space="preserve">Elevated Cerebrospinal Fluid Protein Count </w:t>
            </w:r>
            <w:r>
              <w:rPr>
                <w:sz w:val="20"/>
                <w:szCs w:val="20"/>
              </w:rPr>
              <w:t>(Follow-up at a mean time of 7.2 months f</w:t>
            </w:r>
            <w:r>
              <w:t xml:space="preserve">or cefotaxime and </w:t>
            </w:r>
            <w:r>
              <w:rPr>
                <w:sz w:val="20"/>
                <w:szCs w:val="20"/>
              </w:rPr>
              <w:t>8.2 months for penicillin)</w:t>
            </w:r>
          </w:p>
        </w:tc>
      </w:tr>
      <w:tr w:rsidR="002D58E4" w14:paraId="4673065A" w14:textId="77777777" w:rsidTr="003D1C11">
        <w:tc>
          <w:tcPr>
            <w:tcW w:w="707" w:type="dxa"/>
            <w:tcBorders>
              <w:top w:val="single" w:sz="6" w:space="0" w:color="000000"/>
              <w:left w:val="single" w:sz="6" w:space="0" w:color="000000"/>
              <w:bottom w:val="single" w:sz="6" w:space="0" w:color="000000"/>
              <w:right w:val="single" w:sz="6" w:space="0" w:color="000000"/>
            </w:tcBorders>
          </w:tcPr>
          <w:p w14:paraId="7B2B39E6" w14:textId="77777777" w:rsidR="002D58E4" w:rsidRDefault="00F721D4">
            <w:pPr>
              <w:rPr>
                <w:sz w:val="20"/>
                <w:szCs w:val="20"/>
              </w:rPr>
            </w:pPr>
            <w:r>
              <w:rPr>
                <w:sz w:val="20"/>
                <w:szCs w:val="20"/>
              </w:rPr>
              <w:t xml:space="preserve">1 </w:t>
            </w:r>
          </w:p>
        </w:tc>
        <w:tc>
          <w:tcPr>
            <w:tcW w:w="848" w:type="dxa"/>
            <w:tcBorders>
              <w:top w:val="single" w:sz="6" w:space="0" w:color="000000"/>
              <w:left w:val="single" w:sz="6" w:space="0" w:color="000000"/>
              <w:bottom w:val="single" w:sz="6" w:space="0" w:color="000000"/>
              <w:right w:val="single" w:sz="6" w:space="0" w:color="000000"/>
            </w:tcBorders>
          </w:tcPr>
          <w:p w14:paraId="44591947" w14:textId="77777777" w:rsidR="002D58E4" w:rsidRDefault="00F721D4">
            <w:pPr>
              <w:rPr>
                <w:sz w:val="20"/>
                <w:szCs w:val="20"/>
              </w:rPr>
            </w:pPr>
            <w:r>
              <w:rPr>
                <w:sz w:val="20"/>
                <w:szCs w:val="20"/>
              </w:rPr>
              <w:t xml:space="preserve">RCT </w:t>
            </w:r>
            <w:r>
              <w:rPr>
                <w:sz w:val="20"/>
                <w:szCs w:val="20"/>
                <w:vertAlign w:val="superscript"/>
              </w:rPr>
              <w:t>1</w:t>
            </w:r>
          </w:p>
        </w:tc>
        <w:tc>
          <w:tcPr>
            <w:tcW w:w="993" w:type="dxa"/>
            <w:tcBorders>
              <w:top w:val="single" w:sz="6" w:space="0" w:color="000000"/>
              <w:left w:val="single" w:sz="6" w:space="0" w:color="000000"/>
              <w:bottom w:val="single" w:sz="6" w:space="0" w:color="000000"/>
              <w:right w:val="single" w:sz="6" w:space="0" w:color="000000"/>
            </w:tcBorders>
          </w:tcPr>
          <w:p w14:paraId="292B81DA" w14:textId="77777777" w:rsidR="002D58E4" w:rsidRDefault="00F721D4">
            <w:pPr>
              <w:rPr>
                <w:sz w:val="20"/>
                <w:szCs w:val="20"/>
              </w:rPr>
            </w:pPr>
            <w:r>
              <w:rPr>
                <w:sz w:val="20"/>
                <w:szCs w:val="20"/>
              </w:rPr>
              <w:t xml:space="preserve">not serious </w:t>
            </w:r>
          </w:p>
        </w:tc>
        <w:tc>
          <w:tcPr>
            <w:tcW w:w="1273" w:type="dxa"/>
            <w:tcBorders>
              <w:top w:val="single" w:sz="6" w:space="0" w:color="000000"/>
              <w:left w:val="single" w:sz="6" w:space="0" w:color="000000"/>
              <w:bottom w:val="single" w:sz="6" w:space="0" w:color="000000"/>
              <w:right w:val="single" w:sz="6" w:space="0" w:color="000000"/>
            </w:tcBorders>
          </w:tcPr>
          <w:p w14:paraId="05213F7F" w14:textId="77777777" w:rsidR="002D58E4" w:rsidRDefault="00F721D4">
            <w:pPr>
              <w:rPr>
                <w:sz w:val="20"/>
                <w:szCs w:val="20"/>
              </w:rPr>
            </w:pPr>
            <w:r>
              <w:rPr>
                <w:sz w:val="20"/>
                <w:szCs w:val="20"/>
              </w:rPr>
              <w:t xml:space="preserve">not serious </w:t>
            </w:r>
          </w:p>
          <w:p w14:paraId="678DA08F" w14:textId="77777777" w:rsidR="002D58E4" w:rsidRDefault="002D58E4">
            <w:pPr>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3F557B58" w14:textId="77777777" w:rsidR="002D58E4" w:rsidRDefault="00F721D4">
            <w:pPr>
              <w:rPr>
                <w:sz w:val="20"/>
                <w:szCs w:val="20"/>
              </w:rPr>
            </w:pPr>
            <w:r>
              <w:rPr>
                <w:sz w:val="20"/>
                <w:szCs w:val="20"/>
              </w:rPr>
              <w:t xml:space="preserve"> serious </w:t>
            </w:r>
            <w:r>
              <w:rPr>
                <w:sz w:val="20"/>
                <w:szCs w:val="20"/>
                <w:vertAlign w:val="superscript"/>
              </w:rPr>
              <w:t xml:space="preserve">b </w:t>
            </w:r>
          </w:p>
        </w:tc>
        <w:tc>
          <w:tcPr>
            <w:tcW w:w="1186" w:type="dxa"/>
            <w:tcBorders>
              <w:top w:val="single" w:sz="6" w:space="0" w:color="000000"/>
              <w:left w:val="single" w:sz="6" w:space="0" w:color="000000"/>
              <w:bottom w:val="single" w:sz="6" w:space="0" w:color="000000"/>
              <w:right w:val="single" w:sz="6" w:space="0" w:color="000000"/>
            </w:tcBorders>
          </w:tcPr>
          <w:p w14:paraId="4D69C04D" w14:textId="77777777" w:rsidR="002D58E4" w:rsidRDefault="00F721D4">
            <w:pPr>
              <w:rPr>
                <w:sz w:val="20"/>
                <w:szCs w:val="20"/>
              </w:rPr>
            </w:pPr>
            <w:r>
              <w:rPr>
                <w:sz w:val="20"/>
                <w:szCs w:val="20"/>
              </w:rPr>
              <w:t xml:space="preserve">very serious </w:t>
            </w:r>
            <w:r>
              <w:rPr>
                <w:sz w:val="20"/>
                <w:szCs w:val="20"/>
                <w:vertAlign w:val="superscript"/>
              </w:rPr>
              <w:t>d</w:t>
            </w:r>
          </w:p>
        </w:tc>
        <w:tc>
          <w:tcPr>
            <w:tcW w:w="1010" w:type="dxa"/>
            <w:tcBorders>
              <w:top w:val="single" w:sz="6" w:space="0" w:color="000000"/>
              <w:left w:val="single" w:sz="6" w:space="0" w:color="000000"/>
              <w:bottom w:val="single" w:sz="6" w:space="0" w:color="000000"/>
              <w:right w:val="single" w:sz="6" w:space="0" w:color="000000"/>
            </w:tcBorders>
          </w:tcPr>
          <w:p w14:paraId="6D0321F0" w14:textId="77777777" w:rsidR="002D58E4" w:rsidRDefault="00F721D4">
            <w:pPr>
              <w:rPr>
                <w:sz w:val="20"/>
                <w:szCs w:val="20"/>
              </w:rPr>
            </w:pPr>
            <w:r>
              <w:rPr>
                <w:sz w:val="20"/>
                <w:szCs w:val="20"/>
              </w:rPr>
              <w:t xml:space="preserve">none </w:t>
            </w:r>
          </w:p>
        </w:tc>
        <w:tc>
          <w:tcPr>
            <w:tcW w:w="1387" w:type="dxa"/>
            <w:tcBorders>
              <w:top w:val="single" w:sz="6" w:space="0" w:color="000000"/>
              <w:left w:val="single" w:sz="6" w:space="0" w:color="000000"/>
              <w:bottom w:val="single" w:sz="6" w:space="0" w:color="000000"/>
              <w:right w:val="single" w:sz="6" w:space="0" w:color="000000"/>
            </w:tcBorders>
          </w:tcPr>
          <w:p w14:paraId="2C39D778" w14:textId="77777777" w:rsidR="002D58E4" w:rsidRDefault="00F721D4">
            <w:pPr>
              <w:jc w:val="center"/>
              <w:rPr>
                <w:sz w:val="20"/>
                <w:szCs w:val="20"/>
              </w:rPr>
            </w:pPr>
            <w:r>
              <w:rPr>
                <w:sz w:val="20"/>
                <w:szCs w:val="20"/>
              </w:rPr>
              <w:t>1/11</w:t>
            </w:r>
          </w:p>
          <w:p w14:paraId="420BE3FF" w14:textId="77777777" w:rsidR="002D58E4" w:rsidRDefault="00F721D4">
            <w:pPr>
              <w:jc w:val="center"/>
              <w:rPr>
                <w:sz w:val="20"/>
                <w:szCs w:val="20"/>
              </w:rPr>
            </w:pPr>
            <w:r>
              <w:rPr>
                <w:sz w:val="20"/>
                <w:szCs w:val="20"/>
              </w:rPr>
              <w:t xml:space="preserve"> (9.1%) </w:t>
            </w:r>
          </w:p>
        </w:tc>
        <w:tc>
          <w:tcPr>
            <w:tcW w:w="1020" w:type="dxa"/>
            <w:tcBorders>
              <w:top w:val="single" w:sz="6" w:space="0" w:color="000000"/>
              <w:left w:val="single" w:sz="6" w:space="0" w:color="000000"/>
              <w:bottom w:val="single" w:sz="6" w:space="0" w:color="000000"/>
              <w:right w:val="single" w:sz="6" w:space="0" w:color="000000"/>
            </w:tcBorders>
          </w:tcPr>
          <w:p w14:paraId="5D367976" w14:textId="77777777" w:rsidR="002D58E4" w:rsidRDefault="00F721D4">
            <w:pPr>
              <w:jc w:val="center"/>
              <w:rPr>
                <w:sz w:val="20"/>
                <w:szCs w:val="20"/>
              </w:rPr>
            </w:pPr>
            <w:r>
              <w:rPr>
                <w:sz w:val="20"/>
                <w:szCs w:val="20"/>
              </w:rPr>
              <w:t xml:space="preserve">2/10 </w:t>
            </w:r>
          </w:p>
          <w:p w14:paraId="0DDE9D2E" w14:textId="77777777" w:rsidR="002D58E4" w:rsidRDefault="00F721D4">
            <w:pPr>
              <w:jc w:val="center"/>
              <w:rPr>
                <w:sz w:val="20"/>
                <w:szCs w:val="20"/>
              </w:rPr>
            </w:pPr>
            <w:r>
              <w:rPr>
                <w:sz w:val="20"/>
                <w:szCs w:val="20"/>
              </w:rPr>
              <w:t xml:space="preserve">(20.0%) </w:t>
            </w:r>
          </w:p>
        </w:tc>
        <w:tc>
          <w:tcPr>
            <w:tcW w:w="1130" w:type="dxa"/>
            <w:tcBorders>
              <w:top w:val="single" w:sz="6" w:space="0" w:color="000000"/>
              <w:left w:val="single" w:sz="6" w:space="0" w:color="000000"/>
              <w:bottom w:val="single" w:sz="6" w:space="0" w:color="000000"/>
              <w:right w:val="single" w:sz="6" w:space="0" w:color="000000"/>
            </w:tcBorders>
          </w:tcPr>
          <w:p w14:paraId="3040A41C" w14:textId="77777777" w:rsidR="002D58E4" w:rsidRDefault="00F721D4">
            <w:pPr>
              <w:jc w:val="center"/>
              <w:rPr>
                <w:sz w:val="20"/>
                <w:szCs w:val="20"/>
              </w:rPr>
            </w:pPr>
            <w:r>
              <w:rPr>
                <w:sz w:val="20"/>
                <w:szCs w:val="20"/>
              </w:rPr>
              <w:t>RR 0.45</w:t>
            </w:r>
            <w:r>
              <w:rPr>
                <w:sz w:val="20"/>
                <w:szCs w:val="20"/>
              </w:rPr>
              <w:br/>
              <w:t xml:space="preserve">(0.05 to 4.28) </w:t>
            </w:r>
          </w:p>
        </w:tc>
        <w:tc>
          <w:tcPr>
            <w:tcW w:w="2071" w:type="dxa"/>
            <w:gridSpan w:val="2"/>
            <w:tcBorders>
              <w:top w:val="single" w:sz="6" w:space="0" w:color="000000"/>
              <w:left w:val="single" w:sz="6" w:space="0" w:color="000000"/>
              <w:bottom w:val="single" w:sz="6" w:space="0" w:color="000000"/>
              <w:right w:val="single" w:sz="6" w:space="0" w:color="000000"/>
            </w:tcBorders>
          </w:tcPr>
          <w:p w14:paraId="3AE49B11" w14:textId="77777777" w:rsidR="002D58E4" w:rsidRDefault="00F721D4">
            <w:pPr>
              <w:jc w:val="center"/>
              <w:rPr>
                <w:sz w:val="20"/>
                <w:szCs w:val="20"/>
              </w:rPr>
            </w:pPr>
            <w:r>
              <w:rPr>
                <w:sz w:val="20"/>
                <w:szCs w:val="20"/>
              </w:rPr>
              <w:t>110 fewer per 1,000</w:t>
            </w:r>
            <w:r>
              <w:rPr>
                <w:sz w:val="20"/>
                <w:szCs w:val="20"/>
              </w:rPr>
              <w:br/>
              <w:t xml:space="preserve">(from 190 fewer to 656 more) </w:t>
            </w:r>
          </w:p>
        </w:tc>
        <w:tc>
          <w:tcPr>
            <w:tcW w:w="1055" w:type="dxa"/>
            <w:tcBorders>
              <w:top w:val="single" w:sz="6" w:space="0" w:color="000000"/>
              <w:left w:val="single" w:sz="6" w:space="0" w:color="000000"/>
              <w:bottom w:val="single" w:sz="6" w:space="0" w:color="000000"/>
              <w:right w:val="single" w:sz="6" w:space="0" w:color="000000"/>
            </w:tcBorders>
          </w:tcPr>
          <w:p w14:paraId="6F1DAD4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20" w:type="dxa"/>
            <w:tcBorders>
              <w:top w:val="single" w:sz="6" w:space="0" w:color="000000"/>
              <w:left w:val="single" w:sz="6" w:space="0" w:color="000000"/>
              <w:bottom w:val="single" w:sz="6" w:space="0" w:color="000000"/>
              <w:right w:val="single" w:sz="6" w:space="0" w:color="000000"/>
            </w:tcBorders>
          </w:tcPr>
          <w:p w14:paraId="608E1972" w14:textId="77777777" w:rsidR="002D58E4" w:rsidRDefault="00F721D4">
            <w:pPr>
              <w:rPr>
                <w:sz w:val="20"/>
                <w:szCs w:val="20"/>
              </w:rPr>
            </w:pPr>
            <w:r>
              <w:rPr>
                <w:sz w:val="20"/>
                <w:szCs w:val="20"/>
              </w:rPr>
              <w:t xml:space="preserve">IMPORTANT </w:t>
            </w:r>
          </w:p>
        </w:tc>
      </w:tr>
      <w:tr w:rsidR="002D58E4" w14:paraId="117975DA" w14:textId="77777777" w:rsidTr="003D1C11">
        <w:tc>
          <w:tcPr>
            <w:tcW w:w="1479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5C77FAA" w14:textId="77777777" w:rsidR="002D58E4" w:rsidRDefault="00F721D4">
            <w:pPr>
              <w:rPr>
                <w:sz w:val="20"/>
                <w:szCs w:val="20"/>
              </w:rPr>
            </w:pPr>
            <w:r>
              <w:rPr>
                <w:b/>
                <w:sz w:val="20"/>
                <w:szCs w:val="20"/>
              </w:rPr>
              <w:t xml:space="preserve">Withdrawals due to Adverse Events </w:t>
            </w:r>
          </w:p>
        </w:tc>
      </w:tr>
      <w:tr w:rsidR="002D58E4" w14:paraId="797A0B45" w14:textId="77777777" w:rsidTr="003D1C11">
        <w:tc>
          <w:tcPr>
            <w:tcW w:w="707" w:type="dxa"/>
            <w:tcBorders>
              <w:top w:val="single" w:sz="6" w:space="0" w:color="000000"/>
              <w:left w:val="single" w:sz="6" w:space="0" w:color="000000"/>
              <w:bottom w:val="single" w:sz="6" w:space="0" w:color="000000"/>
              <w:right w:val="single" w:sz="6" w:space="0" w:color="000000"/>
            </w:tcBorders>
          </w:tcPr>
          <w:p w14:paraId="7BAADE8B" w14:textId="77777777" w:rsidR="002D58E4" w:rsidRDefault="00F721D4">
            <w:pPr>
              <w:rPr>
                <w:sz w:val="20"/>
                <w:szCs w:val="20"/>
              </w:rPr>
            </w:pPr>
            <w:r>
              <w:rPr>
                <w:sz w:val="20"/>
                <w:szCs w:val="20"/>
              </w:rPr>
              <w:t xml:space="preserve">1 </w:t>
            </w:r>
          </w:p>
        </w:tc>
        <w:tc>
          <w:tcPr>
            <w:tcW w:w="848" w:type="dxa"/>
            <w:tcBorders>
              <w:top w:val="single" w:sz="6" w:space="0" w:color="000000"/>
              <w:left w:val="single" w:sz="6" w:space="0" w:color="000000"/>
              <w:bottom w:val="single" w:sz="6" w:space="0" w:color="000000"/>
              <w:right w:val="single" w:sz="6" w:space="0" w:color="000000"/>
            </w:tcBorders>
          </w:tcPr>
          <w:p w14:paraId="65287D18" w14:textId="77777777" w:rsidR="002D58E4" w:rsidRDefault="00F721D4">
            <w:pPr>
              <w:rPr>
                <w:sz w:val="20"/>
                <w:szCs w:val="20"/>
              </w:rPr>
            </w:pPr>
            <w:r>
              <w:rPr>
                <w:sz w:val="20"/>
                <w:szCs w:val="20"/>
              </w:rPr>
              <w:t xml:space="preserve">RCT </w:t>
            </w:r>
            <w:r>
              <w:rPr>
                <w:sz w:val="20"/>
                <w:szCs w:val="20"/>
                <w:vertAlign w:val="superscript"/>
              </w:rPr>
              <w:t>1</w:t>
            </w:r>
          </w:p>
        </w:tc>
        <w:tc>
          <w:tcPr>
            <w:tcW w:w="993" w:type="dxa"/>
            <w:tcBorders>
              <w:top w:val="single" w:sz="6" w:space="0" w:color="000000"/>
              <w:left w:val="single" w:sz="6" w:space="0" w:color="000000"/>
              <w:bottom w:val="single" w:sz="6" w:space="0" w:color="000000"/>
              <w:right w:val="single" w:sz="6" w:space="0" w:color="000000"/>
            </w:tcBorders>
          </w:tcPr>
          <w:p w14:paraId="5D53F2A2" w14:textId="77777777" w:rsidR="002D58E4" w:rsidRDefault="00F721D4">
            <w:pPr>
              <w:rPr>
                <w:sz w:val="20"/>
                <w:szCs w:val="20"/>
              </w:rPr>
            </w:pPr>
            <w:r>
              <w:rPr>
                <w:sz w:val="20"/>
                <w:szCs w:val="20"/>
              </w:rPr>
              <w:t xml:space="preserve">serious </w:t>
            </w:r>
            <w:r>
              <w:rPr>
                <w:sz w:val="20"/>
                <w:szCs w:val="20"/>
                <w:vertAlign w:val="superscript"/>
              </w:rPr>
              <w:t>a</w:t>
            </w:r>
          </w:p>
        </w:tc>
        <w:tc>
          <w:tcPr>
            <w:tcW w:w="1273" w:type="dxa"/>
            <w:tcBorders>
              <w:top w:val="single" w:sz="6" w:space="0" w:color="000000"/>
              <w:left w:val="single" w:sz="6" w:space="0" w:color="000000"/>
              <w:bottom w:val="single" w:sz="6" w:space="0" w:color="000000"/>
              <w:right w:val="single" w:sz="6" w:space="0" w:color="000000"/>
            </w:tcBorders>
          </w:tcPr>
          <w:p w14:paraId="789026C9"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4D2CE97A" w14:textId="77777777" w:rsidR="002D58E4" w:rsidRDefault="00F721D4">
            <w:pPr>
              <w:rPr>
                <w:sz w:val="20"/>
                <w:szCs w:val="20"/>
              </w:rPr>
            </w:pPr>
            <w:r>
              <w:rPr>
                <w:sz w:val="20"/>
                <w:szCs w:val="20"/>
              </w:rPr>
              <w:t xml:space="preserve">not serious </w:t>
            </w:r>
          </w:p>
        </w:tc>
        <w:tc>
          <w:tcPr>
            <w:tcW w:w="1186" w:type="dxa"/>
            <w:tcBorders>
              <w:top w:val="single" w:sz="6" w:space="0" w:color="000000"/>
              <w:left w:val="single" w:sz="6" w:space="0" w:color="000000"/>
              <w:bottom w:val="single" w:sz="6" w:space="0" w:color="000000"/>
              <w:right w:val="single" w:sz="6" w:space="0" w:color="000000"/>
            </w:tcBorders>
          </w:tcPr>
          <w:p w14:paraId="4F05BBEB" w14:textId="77777777" w:rsidR="002D58E4" w:rsidRDefault="00F721D4">
            <w:pPr>
              <w:rPr>
                <w:sz w:val="20"/>
                <w:szCs w:val="20"/>
              </w:rPr>
            </w:pPr>
            <w:r>
              <w:rPr>
                <w:sz w:val="20"/>
                <w:szCs w:val="20"/>
              </w:rPr>
              <w:t xml:space="preserve">very serious </w:t>
            </w:r>
            <w:r>
              <w:rPr>
                <w:sz w:val="20"/>
                <w:szCs w:val="20"/>
                <w:vertAlign w:val="superscript"/>
              </w:rPr>
              <w:t>d</w:t>
            </w:r>
          </w:p>
        </w:tc>
        <w:tc>
          <w:tcPr>
            <w:tcW w:w="1010" w:type="dxa"/>
            <w:tcBorders>
              <w:top w:val="single" w:sz="6" w:space="0" w:color="000000"/>
              <w:left w:val="single" w:sz="6" w:space="0" w:color="000000"/>
              <w:bottom w:val="single" w:sz="6" w:space="0" w:color="000000"/>
              <w:right w:val="single" w:sz="6" w:space="0" w:color="000000"/>
            </w:tcBorders>
          </w:tcPr>
          <w:p w14:paraId="2A0714F8" w14:textId="77777777" w:rsidR="002D58E4" w:rsidRDefault="00F721D4">
            <w:pPr>
              <w:rPr>
                <w:sz w:val="20"/>
                <w:szCs w:val="20"/>
              </w:rPr>
            </w:pPr>
            <w:r>
              <w:rPr>
                <w:sz w:val="20"/>
                <w:szCs w:val="20"/>
              </w:rPr>
              <w:t xml:space="preserve">none </w:t>
            </w:r>
          </w:p>
        </w:tc>
        <w:tc>
          <w:tcPr>
            <w:tcW w:w="1387" w:type="dxa"/>
            <w:tcBorders>
              <w:top w:val="single" w:sz="6" w:space="0" w:color="000000"/>
              <w:left w:val="single" w:sz="6" w:space="0" w:color="000000"/>
              <w:bottom w:val="single" w:sz="6" w:space="0" w:color="000000"/>
              <w:right w:val="single" w:sz="6" w:space="0" w:color="000000"/>
            </w:tcBorders>
          </w:tcPr>
          <w:p w14:paraId="6CBC2577" w14:textId="77777777" w:rsidR="002D58E4" w:rsidRDefault="00F721D4">
            <w:pPr>
              <w:jc w:val="center"/>
              <w:rPr>
                <w:sz w:val="20"/>
                <w:szCs w:val="20"/>
              </w:rPr>
            </w:pPr>
            <w:r>
              <w:rPr>
                <w:sz w:val="20"/>
                <w:szCs w:val="20"/>
              </w:rPr>
              <w:t>0/11</w:t>
            </w:r>
          </w:p>
          <w:p w14:paraId="08F628FD" w14:textId="77777777" w:rsidR="002D58E4" w:rsidRDefault="00F721D4">
            <w:pPr>
              <w:jc w:val="center"/>
              <w:rPr>
                <w:sz w:val="20"/>
                <w:szCs w:val="20"/>
              </w:rPr>
            </w:pPr>
            <w:r>
              <w:rPr>
                <w:sz w:val="20"/>
                <w:szCs w:val="20"/>
              </w:rPr>
              <w:t xml:space="preserve"> (0.0%) </w:t>
            </w:r>
          </w:p>
        </w:tc>
        <w:tc>
          <w:tcPr>
            <w:tcW w:w="1020" w:type="dxa"/>
            <w:tcBorders>
              <w:top w:val="single" w:sz="6" w:space="0" w:color="000000"/>
              <w:left w:val="single" w:sz="6" w:space="0" w:color="000000"/>
              <w:bottom w:val="single" w:sz="6" w:space="0" w:color="000000"/>
              <w:right w:val="single" w:sz="6" w:space="0" w:color="000000"/>
            </w:tcBorders>
          </w:tcPr>
          <w:p w14:paraId="668F34F8" w14:textId="77777777" w:rsidR="002D58E4" w:rsidRDefault="00F721D4">
            <w:pPr>
              <w:jc w:val="center"/>
              <w:rPr>
                <w:sz w:val="20"/>
                <w:szCs w:val="20"/>
              </w:rPr>
            </w:pPr>
            <w:r>
              <w:rPr>
                <w:sz w:val="20"/>
                <w:szCs w:val="20"/>
              </w:rPr>
              <w:t xml:space="preserve">0/10 </w:t>
            </w:r>
          </w:p>
          <w:p w14:paraId="1EEFFDBD" w14:textId="77777777" w:rsidR="002D58E4" w:rsidRDefault="00F721D4">
            <w:pPr>
              <w:jc w:val="center"/>
              <w:rPr>
                <w:sz w:val="20"/>
                <w:szCs w:val="20"/>
              </w:rPr>
            </w:pPr>
            <w:r>
              <w:rPr>
                <w:sz w:val="20"/>
                <w:szCs w:val="20"/>
              </w:rPr>
              <w:t xml:space="preserve">(0.0%) </w:t>
            </w:r>
          </w:p>
        </w:tc>
        <w:tc>
          <w:tcPr>
            <w:tcW w:w="1196" w:type="dxa"/>
            <w:gridSpan w:val="2"/>
            <w:tcBorders>
              <w:top w:val="single" w:sz="6" w:space="0" w:color="000000"/>
              <w:left w:val="single" w:sz="6" w:space="0" w:color="000000"/>
              <w:bottom w:val="single" w:sz="6" w:space="0" w:color="000000"/>
              <w:right w:val="single" w:sz="6" w:space="0" w:color="000000"/>
            </w:tcBorders>
          </w:tcPr>
          <w:p w14:paraId="77E607DC"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4EC878B5" w14:textId="77777777" w:rsidR="002D58E4" w:rsidRDefault="002D58E4">
            <w:pPr>
              <w:jc w:val="center"/>
              <w:rPr>
                <w:sz w:val="20"/>
                <w:szCs w:val="20"/>
              </w:rPr>
            </w:pPr>
          </w:p>
        </w:tc>
        <w:tc>
          <w:tcPr>
            <w:tcW w:w="2005" w:type="dxa"/>
            <w:tcBorders>
              <w:top w:val="single" w:sz="6" w:space="0" w:color="000000"/>
              <w:left w:val="single" w:sz="6" w:space="0" w:color="000000"/>
              <w:bottom w:val="single" w:sz="6" w:space="0" w:color="000000"/>
              <w:right w:val="single" w:sz="6" w:space="0" w:color="000000"/>
            </w:tcBorders>
          </w:tcPr>
          <w:p w14:paraId="7BCBA645" w14:textId="77777777" w:rsidR="002D58E4" w:rsidRDefault="00F721D4">
            <w:pPr>
              <w:jc w:val="center"/>
              <w:rPr>
                <w:sz w:val="20"/>
                <w:szCs w:val="20"/>
              </w:rPr>
            </w:pPr>
            <w:r>
              <w:rPr>
                <w:sz w:val="20"/>
                <w:szCs w:val="20"/>
              </w:rPr>
              <w:t>0 per 1,000</w:t>
            </w:r>
          </w:p>
        </w:tc>
        <w:tc>
          <w:tcPr>
            <w:tcW w:w="1055" w:type="dxa"/>
            <w:tcBorders>
              <w:top w:val="single" w:sz="6" w:space="0" w:color="000000"/>
              <w:left w:val="single" w:sz="6" w:space="0" w:color="000000"/>
              <w:bottom w:val="single" w:sz="6" w:space="0" w:color="000000"/>
              <w:right w:val="single" w:sz="6" w:space="0" w:color="000000"/>
            </w:tcBorders>
          </w:tcPr>
          <w:p w14:paraId="4EB6A232"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20" w:type="dxa"/>
            <w:tcBorders>
              <w:top w:val="single" w:sz="6" w:space="0" w:color="000000"/>
              <w:left w:val="single" w:sz="6" w:space="0" w:color="000000"/>
              <w:bottom w:val="single" w:sz="6" w:space="0" w:color="000000"/>
              <w:right w:val="single" w:sz="6" w:space="0" w:color="000000"/>
            </w:tcBorders>
          </w:tcPr>
          <w:p w14:paraId="4F793F31" w14:textId="77777777" w:rsidR="002D58E4" w:rsidRDefault="00F721D4">
            <w:pPr>
              <w:rPr>
                <w:sz w:val="20"/>
                <w:szCs w:val="20"/>
              </w:rPr>
            </w:pPr>
            <w:r>
              <w:rPr>
                <w:sz w:val="20"/>
                <w:szCs w:val="20"/>
              </w:rPr>
              <w:t xml:space="preserve">CRITICAL </w:t>
            </w:r>
          </w:p>
        </w:tc>
      </w:tr>
      <w:tr w:rsidR="002D58E4" w14:paraId="19E62162" w14:textId="77777777" w:rsidTr="003D1C11">
        <w:tc>
          <w:tcPr>
            <w:tcW w:w="1479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5A0F596A" w14:textId="77777777" w:rsidR="002D58E4" w:rsidRDefault="00F721D4">
            <w:pPr>
              <w:rPr>
                <w:b/>
                <w:sz w:val="20"/>
                <w:szCs w:val="20"/>
              </w:rPr>
            </w:pPr>
            <w:r>
              <w:rPr>
                <w:b/>
                <w:sz w:val="20"/>
                <w:szCs w:val="20"/>
              </w:rPr>
              <w:t xml:space="preserve">Treatment-related Adverse Events </w:t>
            </w:r>
          </w:p>
        </w:tc>
      </w:tr>
      <w:tr w:rsidR="002D58E4" w14:paraId="2E3FD88F" w14:textId="77777777" w:rsidTr="003D1C11">
        <w:tc>
          <w:tcPr>
            <w:tcW w:w="707" w:type="dxa"/>
            <w:tcBorders>
              <w:top w:val="single" w:sz="6" w:space="0" w:color="000000"/>
              <w:left w:val="single" w:sz="6" w:space="0" w:color="000000"/>
              <w:bottom w:val="single" w:sz="6" w:space="0" w:color="000000"/>
              <w:right w:val="single" w:sz="6" w:space="0" w:color="000000"/>
            </w:tcBorders>
          </w:tcPr>
          <w:p w14:paraId="2C9B7954" w14:textId="77777777" w:rsidR="002D58E4" w:rsidRDefault="00F721D4">
            <w:pPr>
              <w:rPr>
                <w:sz w:val="20"/>
                <w:szCs w:val="20"/>
              </w:rPr>
            </w:pPr>
            <w:r>
              <w:rPr>
                <w:sz w:val="20"/>
                <w:szCs w:val="20"/>
              </w:rPr>
              <w:t xml:space="preserve">1 </w:t>
            </w:r>
          </w:p>
        </w:tc>
        <w:tc>
          <w:tcPr>
            <w:tcW w:w="848" w:type="dxa"/>
            <w:tcBorders>
              <w:top w:val="single" w:sz="6" w:space="0" w:color="000000"/>
              <w:left w:val="single" w:sz="6" w:space="0" w:color="000000"/>
              <w:bottom w:val="single" w:sz="6" w:space="0" w:color="000000"/>
              <w:right w:val="single" w:sz="6" w:space="0" w:color="000000"/>
            </w:tcBorders>
          </w:tcPr>
          <w:p w14:paraId="638A655A" w14:textId="77777777" w:rsidR="002D58E4" w:rsidRDefault="00F721D4">
            <w:pPr>
              <w:rPr>
                <w:sz w:val="20"/>
                <w:szCs w:val="20"/>
              </w:rPr>
            </w:pPr>
            <w:r>
              <w:rPr>
                <w:sz w:val="20"/>
                <w:szCs w:val="20"/>
              </w:rPr>
              <w:t xml:space="preserve">RCT </w:t>
            </w:r>
            <w:r>
              <w:rPr>
                <w:sz w:val="20"/>
                <w:szCs w:val="20"/>
                <w:vertAlign w:val="superscript"/>
              </w:rPr>
              <w:t>2</w:t>
            </w:r>
          </w:p>
        </w:tc>
        <w:tc>
          <w:tcPr>
            <w:tcW w:w="993" w:type="dxa"/>
            <w:tcBorders>
              <w:top w:val="single" w:sz="6" w:space="0" w:color="000000"/>
              <w:left w:val="single" w:sz="6" w:space="0" w:color="000000"/>
              <w:bottom w:val="single" w:sz="6" w:space="0" w:color="000000"/>
              <w:right w:val="single" w:sz="6" w:space="0" w:color="000000"/>
            </w:tcBorders>
          </w:tcPr>
          <w:p w14:paraId="4F5F25BB" w14:textId="77777777" w:rsidR="002D58E4" w:rsidRDefault="00F721D4">
            <w:pPr>
              <w:rPr>
                <w:sz w:val="20"/>
                <w:szCs w:val="20"/>
              </w:rPr>
            </w:pPr>
            <w:r>
              <w:rPr>
                <w:sz w:val="20"/>
                <w:szCs w:val="20"/>
              </w:rPr>
              <w:t xml:space="preserve">serious </w:t>
            </w:r>
            <w:r>
              <w:rPr>
                <w:sz w:val="20"/>
                <w:szCs w:val="20"/>
                <w:vertAlign w:val="superscript"/>
              </w:rPr>
              <w:t>a</w:t>
            </w:r>
          </w:p>
        </w:tc>
        <w:tc>
          <w:tcPr>
            <w:tcW w:w="1273" w:type="dxa"/>
            <w:tcBorders>
              <w:top w:val="single" w:sz="6" w:space="0" w:color="000000"/>
              <w:left w:val="single" w:sz="6" w:space="0" w:color="000000"/>
              <w:bottom w:val="single" w:sz="6" w:space="0" w:color="000000"/>
              <w:right w:val="single" w:sz="6" w:space="0" w:color="000000"/>
            </w:tcBorders>
          </w:tcPr>
          <w:p w14:paraId="10375054"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35114E61" w14:textId="77777777" w:rsidR="002D58E4" w:rsidRDefault="00F721D4">
            <w:pPr>
              <w:rPr>
                <w:sz w:val="20"/>
                <w:szCs w:val="20"/>
              </w:rPr>
            </w:pPr>
            <w:r>
              <w:rPr>
                <w:sz w:val="20"/>
                <w:szCs w:val="20"/>
              </w:rPr>
              <w:t xml:space="preserve">not serious </w:t>
            </w:r>
          </w:p>
        </w:tc>
        <w:tc>
          <w:tcPr>
            <w:tcW w:w="1186" w:type="dxa"/>
            <w:tcBorders>
              <w:top w:val="single" w:sz="6" w:space="0" w:color="000000"/>
              <w:left w:val="single" w:sz="6" w:space="0" w:color="000000"/>
              <w:bottom w:val="single" w:sz="6" w:space="0" w:color="000000"/>
              <w:right w:val="single" w:sz="6" w:space="0" w:color="000000"/>
            </w:tcBorders>
          </w:tcPr>
          <w:p w14:paraId="73F8AAFD" w14:textId="77777777" w:rsidR="002D58E4" w:rsidRDefault="00F721D4">
            <w:pPr>
              <w:rPr>
                <w:sz w:val="20"/>
                <w:szCs w:val="20"/>
              </w:rPr>
            </w:pPr>
            <w:r>
              <w:rPr>
                <w:sz w:val="20"/>
                <w:szCs w:val="20"/>
              </w:rPr>
              <w:t xml:space="preserve">very serious </w:t>
            </w:r>
            <w:r>
              <w:rPr>
                <w:sz w:val="20"/>
                <w:szCs w:val="20"/>
                <w:vertAlign w:val="superscript"/>
              </w:rPr>
              <w:t>d</w:t>
            </w:r>
          </w:p>
        </w:tc>
        <w:tc>
          <w:tcPr>
            <w:tcW w:w="1010" w:type="dxa"/>
            <w:tcBorders>
              <w:top w:val="single" w:sz="6" w:space="0" w:color="000000"/>
              <w:left w:val="single" w:sz="6" w:space="0" w:color="000000"/>
              <w:bottom w:val="single" w:sz="6" w:space="0" w:color="000000"/>
              <w:right w:val="single" w:sz="6" w:space="0" w:color="000000"/>
            </w:tcBorders>
          </w:tcPr>
          <w:p w14:paraId="25C49E41" w14:textId="77777777" w:rsidR="002D58E4" w:rsidRDefault="00F721D4">
            <w:pPr>
              <w:rPr>
                <w:sz w:val="20"/>
                <w:szCs w:val="20"/>
              </w:rPr>
            </w:pPr>
            <w:r>
              <w:rPr>
                <w:sz w:val="20"/>
                <w:szCs w:val="20"/>
              </w:rPr>
              <w:t xml:space="preserve">none </w:t>
            </w:r>
          </w:p>
        </w:tc>
        <w:tc>
          <w:tcPr>
            <w:tcW w:w="1387" w:type="dxa"/>
            <w:tcBorders>
              <w:top w:val="single" w:sz="6" w:space="0" w:color="000000"/>
              <w:left w:val="single" w:sz="6" w:space="0" w:color="000000"/>
              <w:bottom w:val="single" w:sz="6" w:space="0" w:color="000000"/>
              <w:right w:val="single" w:sz="6" w:space="0" w:color="000000"/>
            </w:tcBorders>
          </w:tcPr>
          <w:p w14:paraId="02F7DE49" w14:textId="77777777" w:rsidR="002D58E4" w:rsidRDefault="00F721D4">
            <w:pPr>
              <w:jc w:val="center"/>
              <w:rPr>
                <w:sz w:val="20"/>
                <w:szCs w:val="20"/>
              </w:rPr>
            </w:pPr>
            <w:r>
              <w:rPr>
                <w:sz w:val="20"/>
                <w:szCs w:val="20"/>
              </w:rPr>
              <w:t xml:space="preserve">3/12 </w:t>
            </w:r>
          </w:p>
          <w:p w14:paraId="7A17529C" w14:textId="77777777" w:rsidR="002D58E4" w:rsidRDefault="00F721D4">
            <w:pPr>
              <w:jc w:val="center"/>
              <w:rPr>
                <w:sz w:val="20"/>
                <w:szCs w:val="20"/>
              </w:rPr>
            </w:pPr>
            <w:r>
              <w:rPr>
                <w:sz w:val="20"/>
                <w:szCs w:val="20"/>
              </w:rPr>
              <w:t xml:space="preserve">(25.0%) </w:t>
            </w:r>
          </w:p>
        </w:tc>
        <w:tc>
          <w:tcPr>
            <w:tcW w:w="1020" w:type="dxa"/>
            <w:tcBorders>
              <w:top w:val="single" w:sz="6" w:space="0" w:color="000000"/>
              <w:left w:val="single" w:sz="6" w:space="0" w:color="000000"/>
              <w:bottom w:val="single" w:sz="6" w:space="0" w:color="000000"/>
              <w:right w:val="single" w:sz="6" w:space="0" w:color="000000"/>
            </w:tcBorders>
          </w:tcPr>
          <w:p w14:paraId="6BC91E70" w14:textId="77777777" w:rsidR="002D58E4" w:rsidRDefault="00F721D4">
            <w:pPr>
              <w:jc w:val="center"/>
              <w:rPr>
                <w:sz w:val="20"/>
                <w:szCs w:val="20"/>
              </w:rPr>
            </w:pPr>
            <w:r>
              <w:rPr>
                <w:sz w:val="20"/>
                <w:szCs w:val="20"/>
              </w:rPr>
              <w:t>0/11</w:t>
            </w:r>
          </w:p>
          <w:p w14:paraId="1DA19185" w14:textId="77777777" w:rsidR="002D58E4" w:rsidRDefault="00F721D4">
            <w:pPr>
              <w:jc w:val="center"/>
              <w:rPr>
                <w:sz w:val="20"/>
                <w:szCs w:val="20"/>
              </w:rPr>
            </w:pPr>
            <w:r>
              <w:rPr>
                <w:sz w:val="20"/>
                <w:szCs w:val="20"/>
              </w:rPr>
              <w:t xml:space="preserve"> (0.0%) </w:t>
            </w:r>
          </w:p>
        </w:tc>
        <w:tc>
          <w:tcPr>
            <w:tcW w:w="1130" w:type="dxa"/>
            <w:tcBorders>
              <w:top w:val="single" w:sz="6" w:space="0" w:color="000000"/>
              <w:left w:val="single" w:sz="6" w:space="0" w:color="000000"/>
              <w:bottom w:val="single" w:sz="6" w:space="0" w:color="000000"/>
              <w:right w:val="single" w:sz="6" w:space="0" w:color="000000"/>
            </w:tcBorders>
          </w:tcPr>
          <w:p w14:paraId="5A586545"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0C31ECA0" w14:textId="77777777" w:rsidR="002D58E4" w:rsidRDefault="00F721D4">
            <w:pPr>
              <w:jc w:val="center"/>
              <w:rPr>
                <w:sz w:val="20"/>
                <w:szCs w:val="20"/>
              </w:rPr>
            </w:pPr>
            <w:r>
              <w:rPr>
                <w:sz w:val="20"/>
                <w:szCs w:val="20"/>
              </w:rPr>
              <w:t xml:space="preserve"> </w:t>
            </w:r>
          </w:p>
        </w:tc>
        <w:tc>
          <w:tcPr>
            <w:tcW w:w="2071" w:type="dxa"/>
            <w:gridSpan w:val="2"/>
            <w:tcBorders>
              <w:top w:val="single" w:sz="6" w:space="0" w:color="000000"/>
              <w:left w:val="single" w:sz="6" w:space="0" w:color="000000"/>
              <w:bottom w:val="single" w:sz="6" w:space="0" w:color="000000"/>
              <w:right w:val="single" w:sz="6" w:space="0" w:color="000000"/>
            </w:tcBorders>
          </w:tcPr>
          <w:p w14:paraId="724F6075" w14:textId="77777777" w:rsidR="002D58E4" w:rsidRDefault="00F721D4">
            <w:pPr>
              <w:jc w:val="center"/>
              <w:rPr>
                <w:sz w:val="20"/>
                <w:szCs w:val="20"/>
              </w:rPr>
            </w:pPr>
            <w:r>
              <w:rPr>
                <w:sz w:val="20"/>
                <w:szCs w:val="20"/>
              </w:rPr>
              <w:t>250 more per 1,000</w:t>
            </w:r>
          </w:p>
          <w:p w14:paraId="6A345A65" w14:textId="77777777" w:rsidR="002D58E4" w:rsidRDefault="002D58E4">
            <w:pPr>
              <w:jc w:val="center"/>
              <w:rPr>
                <w:sz w:val="20"/>
                <w:szCs w:val="20"/>
              </w:rPr>
            </w:pPr>
          </w:p>
        </w:tc>
        <w:tc>
          <w:tcPr>
            <w:tcW w:w="1055" w:type="dxa"/>
            <w:tcBorders>
              <w:top w:val="single" w:sz="6" w:space="0" w:color="000000"/>
              <w:left w:val="single" w:sz="6" w:space="0" w:color="000000"/>
              <w:bottom w:val="single" w:sz="6" w:space="0" w:color="000000"/>
              <w:right w:val="single" w:sz="6" w:space="0" w:color="000000"/>
            </w:tcBorders>
          </w:tcPr>
          <w:p w14:paraId="757CB22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120" w:type="dxa"/>
            <w:tcBorders>
              <w:top w:val="single" w:sz="6" w:space="0" w:color="000000"/>
              <w:left w:val="single" w:sz="6" w:space="0" w:color="000000"/>
              <w:bottom w:val="single" w:sz="6" w:space="0" w:color="000000"/>
              <w:right w:val="single" w:sz="6" w:space="0" w:color="000000"/>
            </w:tcBorders>
          </w:tcPr>
          <w:p w14:paraId="4BCA62DF" w14:textId="77777777" w:rsidR="002D58E4" w:rsidRDefault="00F721D4">
            <w:pPr>
              <w:rPr>
                <w:sz w:val="20"/>
                <w:szCs w:val="20"/>
              </w:rPr>
            </w:pPr>
            <w:r>
              <w:rPr>
                <w:sz w:val="20"/>
                <w:szCs w:val="20"/>
              </w:rPr>
              <w:t xml:space="preserve">CRITICAL </w:t>
            </w:r>
          </w:p>
        </w:tc>
      </w:tr>
      <w:tr w:rsidR="002D58E4" w14:paraId="250CB939" w14:textId="77777777" w:rsidTr="003D1C11">
        <w:tc>
          <w:tcPr>
            <w:tcW w:w="14793"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6263ADBB" w14:textId="77777777" w:rsidR="002D58E4" w:rsidRDefault="00F721D4">
            <w:pPr>
              <w:rPr>
                <w:sz w:val="20"/>
                <w:szCs w:val="20"/>
              </w:rPr>
            </w:pPr>
            <w:r>
              <w:rPr>
                <w:b/>
                <w:sz w:val="20"/>
                <w:szCs w:val="20"/>
              </w:rPr>
              <w:t>Allergic Reaction</w:t>
            </w:r>
            <w:r>
              <w:rPr>
                <w:sz w:val="20"/>
                <w:szCs w:val="20"/>
              </w:rPr>
              <w:t xml:space="preserve"> </w:t>
            </w:r>
          </w:p>
        </w:tc>
      </w:tr>
      <w:tr w:rsidR="002D58E4" w14:paraId="59EBB4FF" w14:textId="77777777" w:rsidTr="003D1C11">
        <w:tc>
          <w:tcPr>
            <w:tcW w:w="707" w:type="dxa"/>
            <w:tcBorders>
              <w:top w:val="single" w:sz="6" w:space="0" w:color="000000"/>
              <w:left w:val="single" w:sz="6" w:space="0" w:color="000000"/>
              <w:bottom w:val="single" w:sz="6" w:space="0" w:color="000000"/>
              <w:right w:val="single" w:sz="6" w:space="0" w:color="000000"/>
            </w:tcBorders>
          </w:tcPr>
          <w:p w14:paraId="742A94D3" w14:textId="77777777" w:rsidR="002D58E4" w:rsidRDefault="00F721D4">
            <w:pPr>
              <w:rPr>
                <w:sz w:val="20"/>
                <w:szCs w:val="20"/>
              </w:rPr>
            </w:pPr>
            <w:r>
              <w:rPr>
                <w:sz w:val="20"/>
                <w:szCs w:val="20"/>
              </w:rPr>
              <w:t xml:space="preserve">1 </w:t>
            </w:r>
          </w:p>
        </w:tc>
        <w:tc>
          <w:tcPr>
            <w:tcW w:w="848" w:type="dxa"/>
            <w:tcBorders>
              <w:top w:val="single" w:sz="6" w:space="0" w:color="000000"/>
              <w:left w:val="single" w:sz="6" w:space="0" w:color="000000"/>
              <w:bottom w:val="single" w:sz="6" w:space="0" w:color="000000"/>
              <w:right w:val="single" w:sz="6" w:space="0" w:color="000000"/>
            </w:tcBorders>
          </w:tcPr>
          <w:p w14:paraId="209C49AE" w14:textId="77777777" w:rsidR="002D58E4" w:rsidRDefault="00F721D4">
            <w:pPr>
              <w:rPr>
                <w:sz w:val="20"/>
                <w:szCs w:val="20"/>
              </w:rPr>
            </w:pPr>
            <w:r>
              <w:rPr>
                <w:sz w:val="20"/>
                <w:szCs w:val="20"/>
              </w:rPr>
              <w:t xml:space="preserve">RCT </w:t>
            </w:r>
            <w:r>
              <w:rPr>
                <w:sz w:val="20"/>
                <w:szCs w:val="20"/>
                <w:vertAlign w:val="superscript"/>
              </w:rPr>
              <w:t>2</w:t>
            </w:r>
          </w:p>
        </w:tc>
        <w:tc>
          <w:tcPr>
            <w:tcW w:w="993" w:type="dxa"/>
            <w:tcBorders>
              <w:top w:val="single" w:sz="6" w:space="0" w:color="000000"/>
              <w:left w:val="single" w:sz="6" w:space="0" w:color="000000"/>
              <w:bottom w:val="single" w:sz="6" w:space="0" w:color="000000"/>
              <w:right w:val="single" w:sz="6" w:space="0" w:color="000000"/>
            </w:tcBorders>
          </w:tcPr>
          <w:p w14:paraId="26C368C3" w14:textId="77777777" w:rsidR="002D58E4" w:rsidRDefault="00F721D4">
            <w:pPr>
              <w:rPr>
                <w:sz w:val="20"/>
                <w:szCs w:val="20"/>
              </w:rPr>
            </w:pPr>
            <w:r>
              <w:rPr>
                <w:sz w:val="20"/>
                <w:szCs w:val="20"/>
              </w:rPr>
              <w:t xml:space="preserve">serious </w:t>
            </w:r>
            <w:r>
              <w:rPr>
                <w:sz w:val="20"/>
                <w:szCs w:val="20"/>
                <w:vertAlign w:val="superscript"/>
              </w:rPr>
              <w:t>a</w:t>
            </w:r>
          </w:p>
        </w:tc>
        <w:tc>
          <w:tcPr>
            <w:tcW w:w="1273" w:type="dxa"/>
            <w:tcBorders>
              <w:top w:val="single" w:sz="6" w:space="0" w:color="000000"/>
              <w:left w:val="single" w:sz="6" w:space="0" w:color="000000"/>
              <w:bottom w:val="single" w:sz="6" w:space="0" w:color="000000"/>
              <w:right w:val="single" w:sz="6" w:space="0" w:color="000000"/>
            </w:tcBorders>
          </w:tcPr>
          <w:p w14:paraId="3196BE6F" w14:textId="77777777" w:rsidR="002D58E4" w:rsidRDefault="00F721D4">
            <w:pPr>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7F1467A3" w14:textId="77777777" w:rsidR="002D58E4" w:rsidRDefault="00F721D4">
            <w:pPr>
              <w:rPr>
                <w:sz w:val="20"/>
                <w:szCs w:val="20"/>
              </w:rPr>
            </w:pPr>
            <w:r>
              <w:rPr>
                <w:sz w:val="20"/>
                <w:szCs w:val="20"/>
              </w:rPr>
              <w:t xml:space="preserve">not serious </w:t>
            </w:r>
          </w:p>
        </w:tc>
        <w:tc>
          <w:tcPr>
            <w:tcW w:w="1186" w:type="dxa"/>
            <w:tcBorders>
              <w:top w:val="single" w:sz="6" w:space="0" w:color="000000"/>
              <w:left w:val="single" w:sz="6" w:space="0" w:color="000000"/>
              <w:bottom w:val="single" w:sz="6" w:space="0" w:color="000000"/>
              <w:right w:val="single" w:sz="6" w:space="0" w:color="000000"/>
            </w:tcBorders>
          </w:tcPr>
          <w:p w14:paraId="4CD8C4B6" w14:textId="77777777" w:rsidR="002D58E4" w:rsidRDefault="00F721D4">
            <w:pPr>
              <w:rPr>
                <w:sz w:val="20"/>
                <w:szCs w:val="20"/>
              </w:rPr>
            </w:pPr>
            <w:r>
              <w:rPr>
                <w:sz w:val="20"/>
                <w:szCs w:val="20"/>
              </w:rPr>
              <w:t xml:space="preserve">very serious </w:t>
            </w:r>
            <w:r>
              <w:rPr>
                <w:sz w:val="20"/>
                <w:szCs w:val="20"/>
                <w:vertAlign w:val="superscript"/>
              </w:rPr>
              <w:t>d</w:t>
            </w:r>
          </w:p>
        </w:tc>
        <w:tc>
          <w:tcPr>
            <w:tcW w:w="1010" w:type="dxa"/>
            <w:tcBorders>
              <w:top w:val="single" w:sz="6" w:space="0" w:color="000000"/>
              <w:left w:val="single" w:sz="6" w:space="0" w:color="000000"/>
              <w:bottom w:val="single" w:sz="6" w:space="0" w:color="000000"/>
              <w:right w:val="single" w:sz="6" w:space="0" w:color="000000"/>
            </w:tcBorders>
          </w:tcPr>
          <w:p w14:paraId="32FF548F" w14:textId="77777777" w:rsidR="002D58E4" w:rsidRDefault="00F721D4">
            <w:pPr>
              <w:rPr>
                <w:sz w:val="20"/>
                <w:szCs w:val="20"/>
              </w:rPr>
            </w:pPr>
            <w:r>
              <w:rPr>
                <w:sz w:val="20"/>
                <w:szCs w:val="20"/>
              </w:rPr>
              <w:t xml:space="preserve">none </w:t>
            </w:r>
          </w:p>
        </w:tc>
        <w:tc>
          <w:tcPr>
            <w:tcW w:w="1387" w:type="dxa"/>
            <w:tcBorders>
              <w:top w:val="single" w:sz="6" w:space="0" w:color="000000"/>
              <w:left w:val="single" w:sz="6" w:space="0" w:color="000000"/>
              <w:bottom w:val="single" w:sz="6" w:space="0" w:color="000000"/>
              <w:right w:val="single" w:sz="6" w:space="0" w:color="000000"/>
            </w:tcBorders>
          </w:tcPr>
          <w:p w14:paraId="085BAEA5" w14:textId="77777777" w:rsidR="002D58E4" w:rsidRDefault="00F721D4">
            <w:pPr>
              <w:jc w:val="center"/>
              <w:rPr>
                <w:sz w:val="20"/>
                <w:szCs w:val="20"/>
              </w:rPr>
            </w:pPr>
            <w:r>
              <w:rPr>
                <w:sz w:val="20"/>
                <w:szCs w:val="20"/>
              </w:rPr>
              <w:t xml:space="preserve">2/12 </w:t>
            </w:r>
          </w:p>
          <w:p w14:paraId="4047A85D" w14:textId="77777777" w:rsidR="002D58E4" w:rsidRDefault="00F721D4">
            <w:pPr>
              <w:jc w:val="center"/>
              <w:rPr>
                <w:sz w:val="20"/>
                <w:szCs w:val="20"/>
              </w:rPr>
            </w:pPr>
            <w:r>
              <w:rPr>
                <w:sz w:val="20"/>
                <w:szCs w:val="20"/>
              </w:rPr>
              <w:t xml:space="preserve">(16.7%) </w:t>
            </w:r>
          </w:p>
        </w:tc>
        <w:tc>
          <w:tcPr>
            <w:tcW w:w="1020" w:type="dxa"/>
            <w:tcBorders>
              <w:top w:val="single" w:sz="6" w:space="0" w:color="000000"/>
              <w:left w:val="single" w:sz="6" w:space="0" w:color="000000"/>
              <w:bottom w:val="single" w:sz="6" w:space="0" w:color="000000"/>
              <w:right w:val="single" w:sz="6" w:space="0" w:color="000000"/>
            </w:tcBorders>
          </w:tcPr>
          <w:p w14:paraId="1812C903" w14:textId="77777777" w:rsidR="002D58E4" w:rsidRDefault="00F721D4">
            <w:pPr>
              <w:jc w:val="center"/>
              <w:rPr>
                <w:sz w:val="20"/>
                <w:szCs w:val="20"/>
              </w:rPr>
            </w:pPr>
            <w:r>
              <w:rPr>
                <w:sz w:val="20"/>
                <w:szCs w:val="20"/>
              </w:rPr>
              <w:t>0/11</w:t>
            </w:r>
          </w:p>
          <w:p w14:paraId="23B627AC" w14:textId="77777777" w:rsidR="002D58E4" w:rsidRDefault="00F721D4">
            <w:pPr>
              <w:jc w:val="center"/>
              <w:rPr>
                <w:sz w:val="20"/>
                <w:szCs w:val="20"/>
              </w:rPr>
            </w:pPr>
            <w:r>
              <w:rPr>
                <w:sz w:val="20"/>
                <w:szCs w:val="20"/>
              </w:rPr>
              <w:t xml:space="preserve"> (0.0%) </w:t>
            </w:r>
          </w:p>
        </w:tc>
        <w:tc>
          <w:tcPr>
            <w:tcW w:w="1130" w:type="dxa"/>
            <w:tcBorders>
              <w:top w:val="single" w:sz="6" w:space="0" w:color="000000"/>
              <w:left w:val="single" w:sz="6" w:space="0" w:color="000000"/>
              <w:bottom w:val="single" w:sz="6" w:space="0" w:color="000000"/>
              <w:right w:val="single" w:sz="6" w:space="0" w:color="000000"/>
            </w:tcBorders>
          </w:tcPr>
          <w:p w14:paraId="1E1CB213" w14:textId="77777777" w:rsidR="002D58E4" w:rsidRDefault="00F721D4">
            <w:pPr>
              <w:jc w:val="center"/>
              <w:rPr>
                <w:sz w:val="20"/>
                <w:szCs w:val="20"/>
              </w:rPr>
            </w:pPr>
            <w:r>
              <w:rPr>
                <w:sz w:val="20"/>
                <w:szCs w:val="20"/>
              </w:rPr>
              <w:t xml:space="preserve">NA </w:t>
            </w:r>
            <w:r>
              <w:rPr>
                <w:sz w:val="20"/>
                <w:szCs w:val="20"/>
                <w:vertAlign w:val="superscript"/>
              </w:rPr>
              <w:t>e</w:t>
            </w:r>
            <w:r>
              <w:rPr>
                <w:sz w:val="20"/>
                <w:szCs w:val="20"/>
              </w:rPr>
              <w:t xml:space="preserve">  </w:t>
            </w:r>
          </w:p>
          <w:p w14:paraId="4DE84C68" w14:textId="77777777" w:rsidR="002D58E4" w:rsidRDefault="00F721D4">
            <w:pPr>
              <w:jc w:val="center"/>
              <w:rPr>
                <w:sz w:val="20"/>
                <w:szCs w:val="20"/>
              </w:rPr>
            </w:pPr>
            <w:r>
              <w:rPr>
                <w:sz w:val="20"/>
                <w:szCs w:val="20"/>
              </w:rPr>
              <w:t xml:space="preserve"> </w:t>
            </w:r>
          </w:p>
        </w:tc>
        <w:tc>
          <w:tcPr>
            <w:tcW w:w="2071" w:type="dxa"/>
            <w:gridSpan w:val="2"/>
            <w:tcBorders>
              <w:top w:val="single" w:sz="6" w:space="0" w:color="000000"/>
              <w:left w:val="single" w:sz="6" w:space="0" w:color="000000"/>
              <w:bottom w:val="single" w:sz="6" w:space="0" w:color="000000"/>
              <w:right w:val="single" w:sz="6" w:space="0" w:color="000000"/>
            </w:tcBorders>
          </w:tcPr>
          <w:p w14:paraId="63C812E3" w14:textId="77777777" w:rsidR="002D58E4" w:rsidRDefault="00F721D4">
            <w:pPr>
              <w:jc w:val="center"/>
              <w:rPr>
                <w:sz w:val="20"/>
                <w:szCs w:val="20"/>
              </w:rPr>
            </w:pPr>
            <w:r>
              <w:rPr>
                <w:sz w:val="20"/>
                <w:szCs w:val="20"/>
              </w:rPr>
              <w:t>167 more per 1,000</w:t>
            </w:r>
          </w:p>
          <w:p w14:paraId="0D8977E4" w14:textId="77777777" w:rsidR="002D58E4" w:rsidRDefault="002D58E4">
            <w:pPr>
              <w:jc w:val="center"/>
              <w:rPr>
                <w:sz w:val="20"/>
                <w:szCs w:val="20"/>
              </w:rPr>
            </w:pPr>
          </w:p>
        </w:tc>
        <w:tc>
          <w:tcPr>
            <w:tcW w:w="1055" w:type="dxa"/>
            <w:tcBorders>
              <w:top w:val="single" w:sz="6" w:space="0" w:color="000000"/>
              <w:left w:val="single" w:sz="6" w:space="0" w:color="000000"/>
              <w:bottom w:val="single" w:sz="6" w:space="0" w:color="000000"/>
              <w:right w:val="single" w:sz="6" w:space="0" w:color="000000"/>
            </w:tcBorders>
          </w:tcPr>
          <w:p w14:paraId="6DC92F1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120" w:type="dxa"/>
            <w:tcBorders>
              <w:top w:val="single" w:sz="6" w:space="0" w:color="000000"/>
              <w:left w:val="single" w:sz="6" w:space="0" w:color="000000"/>
              <w:bottom w:val="single" w:sz="6" w:space="0" w:color="000000"/>
              <w:right w:val="single" w:sz="6" w:space="0" w:color="000000"/>
            </w:tcBorders>
          </w:tcPr>
          <w:p w14:paraId="5A21115F" w14:textId="77777777" w:rsidR="002D58E4" w:rsidRDefault="00F721D4">
            <w:pPr>
              <w:rPr>
                <w:sz w:val="20"/>
                <w:szCs w:val="20"/>
              </w:rPr>
            </w:pPr>
            <w:r>
              <w:rPr>
                <w:sz w:val="20"/>
                <w:szCs w:val="20"/>
              </w:rPr>
              <w:t>CRITICAL</w:t>
            </w:r>
          </w:p>
          <w:p w14:paraId="41A45F60" w14:textId="77777777" w:rsidR="002D58E4" w:rsidRDefault="002D58E4">
            <w:pPr>
              <w:rPr>
                <w:sz w:val="20"/>
                <w:szCs w:val="20"/>
              </w:rPr>
            </w:pPr>
          </w:p>
        </w:tc>
      </w:tr>
    </w:tbl>
    <w:p w14:paraId="428B93A5" w14:textId="77777777" w:rsidR="002D58E4" w:rsidRDefault="00F721D4" w:rsidP="003D1C11">
      <w:pPr>
        <w:pBdr>
          <w:top w:val="nil"/>
          <w:left w:val="nil"/>
          <w:bottom w:val="nil"/>
          <w:right w:val="nil"/>
          <w:between w:val="nil"/>
        </w:pBdr>
        <w:spacing w:before="100" w:after="100" w:line="240" w:lineRule="auto"/>
        <w:ind w:right="272"/>
        <w:rPr>
          <w:color w:val="000000"/>
          <w:sz w:val="18"/>
          <w:szCs w:val="18"/>
        </w:rPr>
      </w:pPr>
      <w:r>
        <w:rPr>
          <w:color w:val="000000"/>
          <w:sz w:val="18"/>
          <w:szCs w:val="18"/>
        </w:rPr>
        <w:t>*Improvement of Neurologic Lyme Symptoms were defined as either “neurologic symptoms improve or subside” in the Pfister study, and as “complete clinical recovery = lack of neurological signs and symptoms” in the Müllegger study.</w:t>
      </w:r>
    </w:p>
    <w:p w14:paraId="7FAC0830"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7F813D83" w14:textId="77777777" w:rsidR="007F0CB1" w:rsidRDefault="007F0CB1" w:rsidP="007F0CB1">
      <w:pPr>
        <w:spacing w:before="280" w:after="0"/>
        <w:rPr>
          <w:b/>
          <w:color w:val="000000"/>
          <w:sz w:val="24"/>
          <w:szCs w:val="24"/>
        </w:rPr>
      </w:pPr>
      <w:r>
        <w:rPr>
          <w:b/>
          <w:color w:val="000000"/>
          <w:sz w:val="24"/>
          <w:szCs w:val="24"/>
        </w:rPr>
        <w:t>Explanations</w:t>
      </w:r>
    </w:p>
    <w:p w14:paraId="05C3252F" w14:textId="77777777" w:rsidR="002D58E4" w:rsidRDefault="00F721D4">
      <w:pPr>
        <w:spacing w:after="0" w:line="240" w:lineRule="auto"/>
        <w:rPr>
          <w:color w:val="000000"/>
          <w:sz w:val="18"/>
          <w:szCs w:val="18"/>
        </w:rPr>
      </w:pPr>
      <w:r>
        <w:rPr>
          <w:color w:val="000000"/>
          <w:sz w:val="18"/>
          <w:szCs w:val="18"/>
        </w:rPr>
        <w:t xml:space="preserve">a. Both studies received a high risk of bias due to inadequate or compromised blinding. </w:t>
      </w:r>
    </w:p>
    <w:p w14:paraId="2A762669" w14:textId="1C21C6C0" w:rsidR="002D58E4" w:rsidRDefault="00F721D4">
      <w:pPr>
        <w:spacing w:after="0" w:line="240" w:lineRule="auto"/>
        <w:rPr>
          <w:color w:val="000000"/>
          <w:sz w:val="18"/>
          <w:szCs w:val="18"/>
        </w:rPr>
      </w:pPr>
      <w:r>
        <w:rPr>
          <w:color w:val="000000"/>
          <w:sz w:val="18"/>
          <w:szCs w:val="18"/>
        </w:rPr>
        <w:t>b. Surrogate for improvement of neurological disease</w:t>
      </w:r>
      <w:r w:rsidR="007F0CB1">
        <w:rPr>
          <w:color w:val="000000"/>
          <w:sz w:val="18"/>
          <w:szCs w:val="18"/>
        </w:rPr>
        <w:t>.</w:t>
      </w:r>
    </w:p>
    <w:p w14:paraId="11AC55AD" w14:textId="56D2667A" w:rsidR="002D58E4" w:rsidRDefault="00F721D4">
      <w:pPr>
        <w:spacing w:after="0" w:line="240" w:lineRule="auto"/>
        <w:rPr>
          <w:color w:val="000000"/>
          <w:sz w:val="18"/>
          <w:szCs w:val="18"/>
        </w:rPr>
      </w:pPr>
      <w:r>
        <w:rPr>
          <w:color w:val="000000"/>
          <w:sz w:val="18"/>
          <w:szCs w:val="18"/>
        </w:rPr>
        <w:t>c. 95% CI is wide crossing the null value</w:t>
      </w:r>
      <w:r w:rsidR="007F0CB1">
        <w:rPr>
          <w:color w:val="000000"/>
          <w:sz w:val="18"/>
          <w:szCs w:val="18"/>
        </w:rPr>
        <w:t>.</w:t>
      </w:r>
    </w:p>
    <w:p w14:paraId="1B5F84EC" w14:textId="77777777" w:rsidR="002D58E4" w:rsidRDefault="00F721D4">
      <w:pPr>
        <w:spacing w:after="0"/>
        <w:rPr>
          <w:color w:val="000000"/>
          <w:sz w:val="18"/>
          <w:szCs w:val="18"/>
        </w:rPr>
      </w:pPr>
      <w:r>
        <w:rPr>
          <w:color w:val="000000"/>
          <w:sz w:val="18"/>
          <w:szCs w:val="18"/>
        </w:rPr>
        <w:t>d. Low event rate and small sample size (not meeting the OIS criteria), 95% CI is wide and crossing the null value.</w:t>
      </w:r>
    </w:p>
    <w:p w14:paraId="3A7B189E" w14:textId="77777777" w:rsidR="002D58E4" w:rsidRDefault="00F721D4">
      <w:pPr>
        <w:spacing w:after="0"/>
        <w:rPr>
          <w:color w:val="000000"/>
          <w:sz w:val="18"/>
          <w:szCs w:val="18"/>
        </w:rPr>
      </w:pPr>
      <w:r>
        <w:rPr>
          <w:color w:val="000000"/>
          <w:sz w:val="18"/>
          <w:szCs w:val="18"/>
        </w:rPr>
        <w:t xml:space="preserve">e. One or both arms has zero event; unable to estimate relative risk. </w:t>
      </w:r>
    </w:p>
    <w:p w14:paraId="1F6C38CC" w14:textId="77777777" w:rsidR="002D58E4" w:rsidRDefault="002D58E4">
      <w:pPr>
        <w:spacing w:after="0" w:line="240" w:lineRule="auto"/>
        <w:rPr>
          <w:color w:val="000000"/>
          <w:sz w:val="18"/>
          <w:szCs w:val="18"/>
        </w:rPr>
      </w:pPr>
    </w:p>
    <w:p w14:paraId="15CBA3F5" w14:textId="77777777" w:rsidR="002D58E4" w:rsidRDefault="00F721D4">
      <w:pPr>
        <w:spacing w:after="160" w:line="259" w:lineRule="auto"/>
        <w:rPr>
          <w:color w:val="000000"/>
          <w:sz w:val="18"/>
          <w:szCs w:val="18"/>
        </w:rPr>
      </w:pPr>
      <w:r>
        <w:br w:type="page"/>
      </w:r>
    </w:p>
    <w:p w14:paraId="405DAA2C" w14:textId="77777777" w:rsidR="002D58E4" w:rsidRDefault="00F721D4">
      <w:pPr>
        <w:rPr>
          <w:b/>
          <w:color w:val="000000"/>
          <w:u w:val="single"/>
        </w:rPr>
      </w:pPr>
      <w:r>
        <w:rPr>
          <w:b/>
          <w:color w:val="000000"/>
          <w:u w:val="single"/>
        </w:rPr>
        <w:t>IV CEFTRIAXONE vs. IV CEFOTAXIME</w:t>
      </w:r>
    </w:p>
    <w:p w14:paraId="64562E5A" w14:textId="77777777" w:rsidR="002D58E4" w:rsidRDefault="00F721D4">
      <w:pPr>
        <w:spacing w:after="0"/>
        <w:rPr>
          <w:b/>
        </w:rPr>
      </w:pPr>
      <w:r>
        <w:rPr>
          <w:b/>
        </w:rPr>
        <w:t>In patients with Lyme neuroborreliosis, should IV ceftriaxone be used over IV cefotaxime?</w:t>
      </w:r>
    </w:p>
    <w:p w14:paraId="593D20C4" w14:textId="77777777" w:rsidR="002D58E4" w:rsidRDefault="00F721D4">
      <w:pPr>
        <w:spacing w:after="0"/>
      </w:pPr>
      <w:r>
        <w:t>P: In patients with Lyme neuroborreliosis</w:t>
      </w:r>
    </w:p>
    <w:p w14:paraId="191ED287" w14:textId="77777777" w:rsidR="002D58E4" w:rsidRDefault="00F721D4">
      <w:pPr>
        <w:spacing w:after="0"/>
      </w:pPr>
      <w:r>
        <w:t>I: IV ceftriaxone</w:t>
      </w:r>
    </w:p>
    <w:p w14:paraId="4E7F37EB" w14:textId="77777777" w:rsidR="002D58E4" w:rsidRDefault="00F721D4">
      <w:pPr>
        <w:spacing w:after="0"/>
      </w:pPr>
      <w:r>
        <w:t>C: IV cefotaxime</w:t>
      </w:r>
    </w:p>
    <w:p w14:paraId="01911907" w14:textId="77777777" w:rsidR="002D58E4" w:rsidRDefault="002D58E4">
      <w:pPr>
        <w:spacing w:after="0"/>
      </w:pPr>
    </w:p>
    <w:p w14:paraId="3679CF2D" w14:textId="77777777" w:rsidR="002D58E4" w:rsidRPr="002914A2" w:rsidRDefault="00F721D4">
      <w:pPr>
        <w:rPr>
          <w:color w:val="000000"/>
          <w:sz w:val="18"/>
          <w:szCs w:val="18"/>
          <w:lang w:val="fr-CA"/>
        </w:rPr>
      </w:pPr>
      <w:r w:rsidRPr="002914A2">
        <w:rPr>
          <w:b/>
          <w:color w:val="000000"/>
          <w:sz w:val="18"/>
          <w:szCs w:val="18"/>
          <w:lang w:val="fr-CA"/>
        </w:rPr>
        <w:t>Bibliography</w:t>
      </w:r>
      <w:r w:rsidRPr="002914A2">
        <w:rPr>
          <w:color w:val="000000"/>
          <w:sz w:val="18"/>
          <w:szCs w:val="18"/>
          <w:lang w:val="fr-CA"/>
        </w:rPr>
        <w:t>: 1. Pfister, et al.  J Infect Dis. 1991 Feb; 163(2): 311-8.</w:t>
      </w:r>
    </w:p>
    <w:tbl>
      <w:tblPr>
        <w:tblStyle w:val="aff3"/>
        <w:tblW w:w="14987" w:type="dxa"/>
        <w:tblInd w:w="-29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5"/>
        <w:gridCol w:w="691"/>
        <w:gridCol w:w="851"/>
        <w:gridCol w:w="1145"/>
        <w:gridCol w:w="1124"/>
        <w:gridCol w:w="1135"/>
        <w:gridCol w:w="822"/>
        <w:gridCol w:w="1133"/>
        <w:gridCol w:w="1120"/>
        <w:gridCol w:w="1273"/>
        <w:gridCol w:w="2554"/>
        <w:gridCol w:w="1231"/>
        <w:gridCol w:w="1183"/>
      </w:tblGrid>
      <w:tr w:rsidR="004D1B29" w14:paraId="067A7B09" w14:textId="77777777" w:rsidTr="004A416C">
        <w:tc>
          <w:tcPr>
            <w:tcW w:w="6493"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7A0DBC93" w14:textId="77777777" w:rsidR="004D1B29" w:rsidRDefault="004D1B29">
            <w:pPr>
              <w:jc w:val="center"/>
              <w:rPr>
                <w:b/>
                <w:sz w:val="20"/>
                <w:szCs w:val="20"/>
              </w:rPr>
            </w:pPr>
            <w:r>
              <w:rPr>
                <w:b/>
                <w:sz w:val="20"/>
                <w:szCs w:val="20"/>
              </w:rPr>
              <w:t>Certainty assessment</w:t>
            </w:r>
          </w:p>
        </w:tc>
        <w:tc>
          <w:tcPr>
            <w:tcW w:w="225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C0846CA" w14:textId="77777777" w:rsidR="004D1B29" w:rsidRDefault="004D1B29">
            <w:pPr>
              <w:jc w:val="center"/>
              <w:rPr>
                <w:b/>
                <w:sz w:val="20"/>
                <w:szCs w:val="20"/>
              </w:rPr>
            </w:pPr>
            <w:r>
              <w:rPr>
                <w:b/>
                <w:sz w:val="20"/>
                <w:szCs w:val="20"/>
              </w:rPr>
              <w:t>№ of events/№ of patients</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490A918" w14:textId="77777777" w:rsidR="004D1B29" w:rsidRDefault="004D1B29">
            <w:pPr>
              <w:jc w:val="center"/>
              <w:rPr>
                <w:b/>
                <w:sz w:val="20"/>
                <w:szCs w:val="20"/>
              </w:rPr>
            </w:pPr>
            <w:r>
              <w:rPr>
                <w:b/>
                <w:sz w:val="20"/>
                <w:szCs w:val="20"/>
              </w:rPr>
              <w:t>Effect</w:t>
            </w:r>
          </w:p>
        </w:tc>
        <w:tc>
          <w:tcPr>
            <w:tcW w:w="1231" w:type="dxa"/>
            <w:vMerge w:val="restart"/>
            <w:tcBorders>
              <w:top w:val="single" w:sz="6" w:space="0" w:color="000000"/>
              <w:left w:val="single" w:sz="6" w:space="0" w:color="000000"/>
              <w:right w:val="single" w:sz="6" w:space="0" w:color="000000"/>
            </w:tcBorders>
            <w:shd w:val="clear" w:color="auto" w:fill="D9D9D9"/>
            <w:vAlign w:val="center"/>
          </w:tcPr>
          <w:p w14:paraId="1CB3E559" w14:textId="77777777" w:rsidR="004D1B29" w:rsidRDefault="004D1B29">
            <w:pPr>
              <w:jc w:val="center"/>
              <w:rPr>
                <w:b/>
                <w:sz w:val="20"/>
                <w:szCs w:val="20"/>
              </w:rPr>
            </w:pPr>
            <w:r>
              <w:rPr>
                <w:b/>
                <w:sz w:val="20"/>
                <w:szCs w:val="20"/>
              </w:rPr>
              <w:t>Certainty</w:t>
            </w:r>
          </w:p>
        </w:tc>
        <w:tc>
          <w:tcPr>
            <w:tcW w:w="1183" w:type="dxa"/>
            <w:vMerge w:val="restart"/>
            <w:tcBorders>
              <w:top w:val="single" w:sz="6" w:space="0" w:color="000000"/>
              <w:left w:val="single" w:sz="6" w:space="0" w:color="000000"/>
              <w:right w:val="single" w:sz="6" w:space="0" w:color="000000"/>
            </w:tcBorders>
            <w:shd w:val="clear" w:color="auto" w:fill="D9D9D9"/>
            <w:vAlign w:val="center"/>
          </w:tcPr>
          <w:p w14:paraId="3C7242D3" w14:textId="77777777" w:rsidR="004D1B29" w:rsidRDefault="004D1B29">
            <w:pPr>
              <w:jc w:val="center"/>
              <w:rPr>
                <w:b/>
                <w:sz w:val="20"/>
                <w:szCs w:val="20"/>
              </w:rPr>
            </w:pPr>
            <w:r>
              <w:rPr>
                <w:b/>
                <w:sz w:val="20"/>
                <w:szCs w:val="20"/>
              </w:rPr>
              <w:t>Importance</w:t>
            </w:r>
          </w:p>
        </w:tc>
      </w:tr>
      <w:tr w:rsidR="004D1B29" w14:paraId="6BA65871" w14:textId="77777777" w:rsidTr="004A416C">
        <w:tc>
          <w:tcPr>
            <w:tcW w:w="7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3CECEB4" w14:textId="77777777" w:rsidR="004D1B29" w:rsidRDefault="004D1B29">
            <w:pPr>
              <w:jc w:val="center"/>
              <w:rPr>
                <w:b/>
                <w:sz w:val="20"/>
                <w:szCs w:val="20"/>
              </w:rPr>
            </w:pPr>
            <w:r>
              <w:rPr>
                <w:b/>
                <w:sz w:val="20"/>
                <w:szCs w:val="20"/>
              </w:rPr>
              <w:t>№ of studies</w:t>
            </w:r>
          </w:p>
        </w:tc>
        <w:tc>
          <w:tcPr>
            <w:tcW w:w="69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DC9F57" w14:textId="77777777" w:rsidR="004D1B29" w:rsidRDefault="004D1B29">
            <w:pPr>
              <w:jc w:val="center"/>
              <w:rPr>
                <w:b/>
                <w:sz w:val="20"/>
                <w:szCs w:val="20"/>
              </w:rPr>
            </w:pPr>
            <w:r>
              <w:rPr>
                <w:b/>
                <w:sz w:val="20"/>
                <w:szCs w:val="20"/>
              </w:rPr>
              <w:t>Study design</w:t>
            </w:r>
          </w:p>
        </w:tc>
        <w:tc>
          <w:tcPr>
            <w:tcW w:w="8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DD99F2D" w14:textId="77777777" w:rsidR="004D1B29" w:rsidRDefault="004D1B29">
            <w:pPr>
              <w:jc w:val="center"/>
              <w:rPr>
                <w:b/>
                <w:sz w:val="20"/>
                <w:szCs w:val="20"/>
              </w:rPr>
            </w:pPr>
            <w:r>
              <w:rPr>
                <w:b/>
                <w:sz w:val="20"/>
                <w:szCs w:val="20"/>
              </w:rPr>
              <w:t>Risk of bias</w:t>
            </w:r>
          </w:p>
        </w:tc>
        <w:tc>
          <w:tcPr>
            <w:tcW w:w="114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BC61A2" w14:textId="77777777" w:rsidR="004D1B29" w:rsidRDefault="004D1B29">
            <w:pPr>
              <w:jc w:val="center"/>
              <w:rPr>
                <w:b/>
                <w:sz w:val="20"/>
                <w:szCs w:val="20"/>
              </w:rPr>
            </w:pPr>
            <w:r>
              <w:rPr>
                <w:b/>
                <w:sz w:val="20"/>
                <w:szCs w:val="20"/>
              </w:rPr>
              <w:t>Inconsistency</w:t>
            </w:r>
          </w:p>
        </w:tc>
        <w:tc>
          <w:tcPr>
            <w:tcW w:w="112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FA46FC" w14:textId="77777777" w:rsidR="004D1B29" w:rsidRDefault="004D1B29">
            <w:pPr>
              <w:jc w:val="center"/>
              <w:rPr>
                <w:b/>
                <w:sz w:val="20"/>
                <w:szCs w:val="20"/>
              </w:rPr>
            </w:pPr>
            <w:r>
              <w:rPr>
                <w:b/>
                <w:sz w:val="20"/>
                <w:szCs w:val="20"/>
              </w:rPr>
              <w:t>Indirectness</w:t>
            </w:r>
          </w:p>
        </w:tc>
        <w:tc>
          <w:tcPr>
            <w:tcW w:w="11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D822828" w14:textId="77777777" w:rsidR="004D1B29" w:rsidRDefault="004D1B29">
            <w:pPr>
              <w:jc w:val="center"/>
              <w:rPr>
                <w:b/>
                <w:sz w:val="20"/>
                <w:szCs w:val="20"/>
              </w:rPr>
            </w:pPr>
            <w:r>
              <w:rPr>
                <w:b/>
                <w:sz w:val="20"/>
                <w:szCs w:val="20"/>
              </w:rPr>
              <w:t>Imprecision</w:t>
            </w:r>
          </w:p>
        </w:tc>
        <w:tc>
          <w:tcPr>
            <w:tcW w:w="81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4B8072" w14:textId="77777777" w:rsidR="004D1B29" w:rsidRDefault="004D1B29">
            <w:pPr>
              <w:jc w:val="center"/>
              <w:rPr>
                <w:b/>
                <w:sz w:val="20"/>
                <w:szCs w:val="20"/>
              </w:rPr>
            </w:pPr>
            <w:r>
              <w:rPr>
                <w:b/>
                <w:sz w:val="20"/>
                <w:szCs w:val="20"/>
              </w:rPr>
              <w:t>Other considerations</w:t>
            </w:r>
          </w:p>
        </w:tc>
        <w:tc>
          <w:tcPr>
            <w:tcW w:w="113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C8B36E8" w14:textId="77777777" w:rsidR="004D1B29" w:rsidRDefault="004D1B29">
            <w:pPr>
              <w:jc w:val="center"/>
              <w:rPr>
                <w:b/>
                <w:sz w:val="20"/>
                <w:szCs w:val="20"/>
              </w:rPr>
            </w:pPr>
            <w:r>
              <w:rPr>
                <w:b/>
                <w:sz w:val="20"/>
                <w:szCs w:val="20"/>
              </w:rPr>
              <w:t>IV Ceftriaxone</w:t>
            </w:r>
          </w:p>
        </w:tc>
        <w:tc>
          <w:tcPr>
            <w:tcW w:w="11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C6438A" w14:textId="77777777" w:rsidR="004D1B29" w:rsidRDefault="004D1B29">
            <w:pPr>
              <w:jc w:val="center"/>
              <w:rPr>
                <w:b/>
                <w:sz w:val="20"/>
                <w:szCs w:val="20"/>
              </w:rPr>
            </w:pPr>
            <w:r>
              <w:rPr>
                <w:b/>
                <w:sz w:val="20"/>
                <w:szCs w:val="20"/>
              </w:rPr>
              <w:t xml:space="preserve">IV Cefotaxime </w:t>
            </w:r>
          </w:p>
        </w:tc>
        <w:tc>
          <w:tcPr>
            <w:tcW w:w="127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819D622" w14:textId="77777777" w:rsidR="004D1B29" w:rsidRDefault="004D1B29">
            <w:pPr>
              <w:jc w:val="center"/>
              <w:rPr>
                <w:b/>
                <w:sz w:val="20"/>
                <w:szCs w:val="20"/>
              </w:rPr>
            </w:pPr>
            <w:r>
              <w:rPr>
                <w:b/>
                <w:sz w:val="20"/>
                <w:szCs w:val="20"/>
              </w:rPr>
              <w:t>Relative</w:t>
            </w:r>
            <w:r>
              <w:rPr>
                <w:b/>
                <w:sz w:val="20"/>
                <w:szCs w:val="20"/>
              </w:rPr>
              <w:br/>
              <w:t>(95% CI)</w:t>
            </w:r>
          </w:p>
        </w:tc>
        <w:tc>
          <w:tcPr>
            <w:tcW w:w="255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389765" w14:textId="77777777" w:rsidR="004D1B29" w:rsidRDefault="004D1B29">
            <w:pPr>
              <w:jc w:val="center"/>
              <w:rPr>
                <w:b/>
                <w:sz w:val="20"/>
                <w:szCs w:val="20"/>
              </w:rPr>
            </w:pPr>
            <w:r>
              <w:rPr>
                <w:b/>
                <w:sz w:val="20"/>
                <w:szCs w:val="20"/>
              </w:rPr>
              <w:t>Absolute</w:t>
            </w:r>
            <w:r>
              <w:rPr>
                <w:b/>
                <w:sz w:val="20"/>
                <w:szCs w:val="20"/>
              </w:rPr>
              <w:br/>
              <w:t>(95% CI)</w:t>
            </w:r>
          </w:p>
        </w:tc>
        <w:tc>
          <w:tcPr>
            <w:tcW w:w="1231" w:type="dxa"/>
            <w:vMerge/>
            <w:tcBorders>
              <w:left w:val="single" w:sz="6" w:space="0" w:color="000000"/>
              <w:bottom w:val="single" w:sz="6" w:space="0" w:color="000000"/>
              <w:right w:val="single" w:sz="6" w:space="0" w:color="000000"/>
            </w:tcBorders>
            <w:shd w:val="clear" w:color="auto" w:fill="D9D9D9"/>
            <w:vAlign w:val="center"/>
          </w:tcPr>
          <w:p w14:paraId="5014A447" w14:textId="77777777" w:rsidR="004D1B29" w:rsidRDefault="004D1B29">
            <w:pPr>
              <w:rPr>
                <w:b/>
                <w:sz w:val="20"/>
                <w:szCs w:val="20"/>
              </w:rPr>
            </w:pPr>
          </w:p>
        </w:tc>
        <w:tc>
          <w:tcPr>
            <w:tcW w:w="1183" w:type="dxa"/>
            <w:vMerge/>
            <w:tcBorders>
              <w:left w:val="single" w:sz="6" w:space="0" w:color="000000"/>
              <w:bottom w:val="single" w:sz="6" w:space="0" w:color="000000"/>
              <w:right w:val="single" w:sz="6" w:space="0" w:color="000000"/>
            </w:tcBorders>
            <w:shd w:val="clear" w:color="auto" w:fill="D9D9D9"/>
            <w:vAlign w:val="center"/>
          </w:tcPr>
          <w:p w14:paraId="42EF268A" w14:textId="77777777" w:rsidR="004D1B29" w:rsidRDefault="004D1B29">
            <w:pPr>
              <w:rPr>
                <w:b/>
                <w:sz w:val="20"/>
                <w:szCs w:val="20"/>
              </w:rPr>
            </w:pPr>
          </w:p>
        </w:tc>
      </w:tr>
      <w:tr w:rsidR="002D58E4" w14:paraId="61C188D8" w14:textId="77777777" w:rsidTr="004A416C">
        <w:tc>
          <w:tcPr>
            <w:tcW w:w="149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79BDEDC" w14:textId="77777777" w:rsidR="002D58E4" w:rsidRDefault="00F721D4">
            <w:pPr>
              <w:rPr>
                <w:i/>
                <w:sz w:val="20"/>
                <w:szCs w:val="20"/>
              </w:rPr>
            </w:pPr>
            <w:r>
              <w:rPr>
                <w:b/>
                <w:sz w:val="20"/>
                <w:szCs w:val="20"/>
              </w:rPr>
              <w:t xml:space="preserve">Improvement of Neurologic Lyme Symptoms </w:t>
            </w:r>
            <w:r>
              <w:rPr>
                <w:sz w:val="20"/>
                <w:szCs w:val="20"/>
              </w:rPr>
              <w:t>(Follow-up at a mean time of 7.4 months f</w:t>
            </w:r>
            <w:r>
              <w:t xml:space="preserve">or ceftriaxone and </w:t>
            </w:r>
            <w:r>
              <w:rPr>
                <w:sz w:val="20"/>
                <w:szCs w:val="20"/>
              </w:rPr>
              <w:t>8.6 months for cefotaxime)</w:t>
            </w:r>
          </w:p>
        </w:tc>
      </w:tr>
      <w:tr w:rsidR="002D58E4" w14:paraId="0B68A764" w14:textId="77777777" w:rsidTr="004A416C">
        <w:tc>
          <w:tcPr>
            <w:tcW w:w="725" w:type="dxa"/>
            <w:tcBorders>
              <w:top w:val="single" w:sz="6" w:space="0" w:color="000000"/>
              <w:left w:val="single" w:sz="6" w:space="0" w:color="000000"/>
              <w:bottom w:val="single" w:sz="6" w:space="0" w:color="000000"/>
              <w:right w:val="single" w:sz="6" w:space="0" w:color="000000"/>
            </w:tcBorders>
          </w:tcPr>
          <w:p w14:paraId="58ABA806"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4C59DB0D"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2E3558A4" w14:textId="77777777" w:rsidR="002D58E4" w:rsidRDefault="00F721D4">
            <w:pPr>
              <w:rPr>
                <w:sz w:val="20"/>
                <w:szCs w:val="20"/>
              </w:rPr>
            </w:pPr>
            <w:r>
              <w:rPr>
                <w:sz w:val="20"/>
                <w:szCs w:val="20"/>
              </w:rPr>
              <w:t xml:space="preserve">serious </w:t>
            </w:r>
            <w:r>
              <w:rPr>
                <w:sz w:val="20"/>
                <w:szCs w:val="20"/>
                <w:vertAlign w:val="superscript"/>
              </w:rPr>
              <w:t>a</w:t>
            </w:r>
          </w:p>
        </w:tc>
        <w:tc>
          <w:tcPr>
            <w:tcW w:w="1145" w:type="dxa"/>
            <w:tcBorders>
              <w:top w:val="single" w:sz="6" w:space="0" w:color="000000"/>
              <w:left w:val="single" w:sz="6" w:space="0" w:color="000000"/>
              <w:bottom w:val="single" w:sz="6" w:space="0" w:color="000000"/>
              <w:right w:val="single" w:sz="6" w:space="0" w:color="000000"/>
            </w:tcBorders>
          </w:tcPr>
          <w:p w14:paraId="4F965A07" w14:textId="77777777" w:rsidR="002D58E4" w:rsidRDefault="00F721D4">
            <w:pPr>
              <w:rPr>
                <w:sz w:val="20"/>
                <w:szCs w:val="20"/>
              </w:rPr>
            </w:pPr>
            <w:r>
              <w:rPr>
                <w:sz w:val="20"/>
                <w:szCs w:val="20"/>
              </w:rPr>
              <w:t>not serious</w:t>
            </w:r>
          </w:p>
        </w:tc>
        <w:tc>
          <w:tcPr>
            <w:tcW w:w="1124" w:type="dxa"/>
            <w:tcBorders>
              <w:top w:val="single" w:sz="6" w:space="0" w:color="000000"/>
              <w:left w:val="single" w:sz="6" w:space="0" w:color="000000"/>
              <w:bottom w:val="single" w:sz="6" w:space="0" w:color="000000"/>
              <w:right w:val="single" w:sz="6" w:space="0" w:color="000000"/>
            </w:tcBorders>
          </w:tcPr>
          <w:p w14:paraId="56089F33" w14:textId="77777777" w:rsidR="002D58E4" w:rsidRDefault="00F721D4">
            <w:pPr>
              <w:rPr>
                <w:sz w:val="20"/>
                <w:szCs w:val="20"/>
              </w:rPr>
            </w:pPr>
            <w:r>
              <w:rPr>
                <w:sz w:val="20"/>
                <w:szCs w:val="20"/>
              </w:rPr>
              <w:t xml:space="preserve">not serious </w:t>
            </w:r>
          </w:p>
        </w:tc>
        <w:tc>
          <w:tcPr>
            <w:tcW w:w="1135" w:type="dxa"/>
            <w:tcBorders>
              <w:top w:val="single" w:sz="6" w:space="0" w:color="000000"/>
              <w:left w:val="single" w:sz="6" w:space="0" w:color="000000"/>
              <w:bottom w:val="single" w:sz="6" w:space="0" w:color="000000"/>
              <w:right w:val="single" w:sz="6" w:space="0" w:color="000000"/>
            </w:tcBorders>
          </w:tcPr>
          <w:p w14:paraId="23D04D82" w14:textId="77777777" w:rsidR="002D58E4" w:rsidRDefault="00F721D4">
            <w:pPr>
              <w:rPr>
                <w:sz w:val="20"/>
                <w:szCs w:val="20"/>
              </w:rPr>
            </w:pPr>
            <w:r>
              <w:rPr>
                <w:sz w:val="20"/>
                <w:szCs w:val="20"/>
              </w:rPr>
              <w:t xml:space="preserve">serious </w:t>
            </w:r>
            <w:r>
              <w:rPr>
                <w:sz w:val="20"/>
                <w:szCs w:val="20"/>
                <w:vertAlign w:val="superscript"/>
              </w:rPr>
              <w:t>c</w:t>
            </w:r>
          </w:p>
        </w:tc>
        <w:tc>
          <w:tcPr>
            <w:tcW w:w="819" w:type="dxa"/>
            <w:tcBorders>
              <w:top w:val="single" w:sz="6" w:space="0" w:color="000000"/>
              <w:left w:val="single" w:sz="6" w:space="0" w:color="000000"/>
              <w:bottom w:val="single" w:sz="6" w:space="0" w:color="000000"/>
              <w:right w:val="single" w:sz="6" w:space="0" w:color="000000"/>
            </w:tcBorders>
          </w:tcPr>
          <w:p w14:paraId="093A2FE0" w14:textId="77777777" w:rsidR="002D58E4" w:rsidRDefault="00F721D4">
            <w:pPr>
              <w:rPr>
                <w:sz w:val="20"/>
                <w:szCs w:val="20"/>
              </w:rPr>
            </w:pPr>
            <w:r>
              <w:rPr>
                <w:sz w:val="20"/>
                <w:szCs w:val="20"/>
              </w:rPr>
              <w:t xml:space="preserve">none </w:t>
            </w:r>
          </w:p>
        </w:tc>
        <w:tc>
          <w:tcPr>
            <w:tcW w:w="1133" w:type="dxa"/>
            <w:tcBorders>
              <w:top w:val="single" w:sz="6" w:space="0" w:color="000000"/>
              <w:left w:val="single" w:sz="6" w:space="0" w:color="000000"/>
              <w:bottom w:val="single" w:sz="6" w:space="0" w:color="000000"/>
              <w:right w:val="single" w:sz="6" w:space="0" w:color="000000"/>
            </w:tcBorders>
          </w:tcPr>
          <w:p w14:paraId="184B47F8" w14:textId="77777777" w:rsidR="002D58E4" w:rsidRDefault="00F721D4">
            <w:pPr>
              <w:jc w:val="center"/>
              <w:rPr>
                <w:sz w:val="20"/>
                <w:szCs w:val="20"/>
              </w:rPr>
            </w:pPr>
            <w:r>
              <w:rPr>
                <w:sz w:val="20"/>
                <w:szCs w:val="20"/>
              </w:rPr>
              <w:t xml:space="preserve">8/12 </w:t>
            </w:r>
          </w:p>
          <w:p w14:paraId="1B14B349" w14:textId="77777777" w:rsidR="002D58E4" w:rsidRDefault="00F721D4">
            <w:pPr>
              <w:jc w:val="center"/>
              <w:rPr>
                <w:sz w:val="20"/>
                <w:szCs w:val="20"/>
              </w:rPr>
            </w:pPr>
            <w:r>
              <w:rPr>
                <w:sz w:val="20"/>
                <w:szCs w:val="20"/>
              </w:rPr>
              <w:t xml:space="preserve">(66.7%) </w:t>
            </w:r>
          </w:p>
        </w:tc>
        <w:tc>
          <w:tcPr>
            <w:tcW w:w="1120" w:type="dxa"/>
            <w:tcBorders>
              <w:top w:val="single" w:sz="6" w:space="0" w:color="000000"/>
              <w:left w:val="single" w:sz="6" w:space="0" w:color="000000"/>
              <w:bottom w:val="single" w:sz="6" w:space="0" w:color="000000"/>
              <w:right w:val="single" w:sz="6" w:space="0" w:color="000000"/>
            </w:tcBorders>
          </w:tcPr>
          <w:p w14:paraId="042EC839" w14:textId="77777777" w:rsidR="002D58E4" w:rsidRDefault="00F721D4">
            <w:pPr>
              <w:jc w:val="center"/>
              <w:rPr>
                <w:sz w:val="20"/>
                <w:szCs w:val="20"/>
              </w:rPr>
            </w:pPr>
            <w:r>
              <w:rPr>
                <w:sz w:val="20"/>
                <w:szCs w:val="20"/>
              </w:rPr>
              <w:t xml:space="preserve">9/15 </w:t>
            </w:r>
          </w:p>
          <w:p w14:paraId="11C3D7E0" w14:textId="77777777" w:rsidR="002D58E4" w:rsidRDefault="00F721D4">
            <w:pPr>
              <w:jc w:val="center"/>
              <w:rPr>
                <w:sz w:val="20"/>
                <w:szCs w:val="20"/>
              </w:rPr>
            </w:pPr>
            <w:r>
              <w:rPr>
                <w:sz w:val="20"/>
                <w:szCs w:val="20"/>
              </w:rPr>
              <w:t xml:space="preserve">(60.0%) </w:t>
            </w:r>
          </w:p>
        </w:tc>
        <w:tc>
          <w:tcPr>
            <w:tcW w:w="1273" w:type="dxa"/>
            <w:tcBorders>
              <w:top w:val="single" w:sz="6" w:space="0" w:color="000000"/>
              <w:left w:val="single" w:sz="6" w:space="0" w:color="000000"/>
              <w:bottom w:val="single" w:sz="6" w:space="0" w:color="000000"/>
              <w:right w:val="single" w:sz="6" w:space="0" w:color="000000"/>
            </w:tcBorders>
          </w:tcPr>
          <w:p w14:paraId="213D6373" w14:textId="77777777" w:rsidR="002D58E4" w:rsidRDefault="00F721D4">
            <w:pPr>
              <w:jc w:val="center"/>
              <w:rPr>
                <w:sz w:val="20"/>
                <w:szCs w:val="20"/>
              </w:rPr>
            </w:pPr>
            <w:r>
              <w:rPr>
                <w:sz w:val="20"/>
                <w:szCs w:val="20"/>
              </w:rPr>
              <w:t>RR 1.11</w:t>
            </w:r>
            <w:r>
              <w:rPr>
                <w:sz w:val="20"/>
                <w:szCs w:val="20"/>
              </w:rPr>
              <w:br/>
              <w:t xml:space="preserve">(0.63 to 1.97) </w:t>
            </w:r>
          </w:p>
        </w:tc>
        <w:tc>
          <w:tcPr>
            <w:tcW w:w="2554" w:type="dxa"/>
            <w:tcBorders>
              <w:top w:val="single" w:sz="6" w:space="0" w:color="000000"/>
              <w:left w:val="single" w:sz="6" w:space="0" w:color="000000"/>
              <w:bottom w:val="single" w:sz="6" w:space="0" w:color="000000"/>
              <w:right w:val="single" w:sz="6" w:space="0" w:color="000000"/>
            </w:tcBorders>
          </w:tcPr>
          <w:p w14:paraId="4B1CF9A9" w14:textId="77777777" w:rsidR="002D58E4" w:rsidRDefault="00F721D4">
            <w:pPr>
              <w:jc w:val="center"/>
              <w:rPr>
                <w:sz w:val="20"/>
                <w:szCs w:val="20"/>
              </w:rPr>
            </w:pPr>
            <w:r>
              <w:rPr>
                <w:sz w:val="20"/>
                <w:szCs w:val="20"/>
              </w:rPr>
              <w:t>66 more per 1,000</w:t>
            </w:r>
            <w:r>
              <w:rPr>
                <w:sz w:val="20"/>
                <w:szCs w:val="20"/>
              </w:rPr>
              <w:br/>
              <w:t xml:space="preserve">(from 222 fewer to 582 more) </w:t>
            </w:r>
          </w:p>
        </w:tc>
        <w:tc>
          <w:tcPr>
            <w:tcW w:w="1231" w:type="dxa"/>
            <w:tcBorders>
              <w:top w:val="single" w:sz="6" w:space="0" w:color="000000"/>
              <w:left w:val="single" w:sz="6" w:space="0" w:color="000000"/>
              <w:bottom w:val="single" w:sz="6" w:space="0" w:color="000000"/>
              <w:right w:val="single" w:sz="6" w:space="0" w:color="000000"/>
            </w:tcBorders>
          </w:tcPr>
          <w:p w14:paraId="31A29BC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83" w:type="dxa"/>
            <w:tcBorders>
              <w:top w:val="single" w:sz="6" w:space="0" w:color="000000"/>
              <w:left w:val="single" w:sz="6" w:space="0" w:color="000000"/>
              <w:bottom w:val="single" w:sz="6" w:space="0" w:color="000000"/>
              <w:right w:val="single" w:sz="6" w:space="0" w:color="000000"/>
            </w:tcBorders>
          </w:tcPr>
          <w:p w14:paraId="463F7497" w14:textId="77777777" w:rsidR="002D58E4" w:rsidRDefault="00F721D4">
            <w:pPr>
              <w:rPr>
                <w:sz w:val="20"/>
                <w:szCs w:val="20"/>
              </w:rPr>
            </w:pPr>
            <w:r>
              <w:rPr>
                <w:sz w:val="20"/>
                <w:szCs w:val="20"/>
              </w:rPr>
              <w:t>CRITICAL</w:t>
            </w:r>
          </w:p>
        </w:tc>
      </w:tr>
      <w:tr w:rsidR="002D58E4" w14:paraId="60D88BF2" w14:textId="77777777" w:rsidTr="004A416C">
        <w:tc>
          <w:tcPr>
            <w:tcW w:w="149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8EA5555" w14:textId="77777777" w:rsidR="002D58E4" w:rsidRDefault="00F721D4">
            <w:pPr>
              <w:rPr>
                <w:b/>
                <w:sz w:val="20"/>
                <w:szCs w:val="20"/>
              </w:rPr>
            </w:pPr>
            <w:r>
              <w:rPr>
                <w:b/>
                <w:sz w:val="20"/>
                <w:szCs w:val="20"/>
              </w:rPr>
              <w:t xml:space="preserve">Improvement of Cerebrospinal Fluid Pleocytosis </w:t>
            </w:r>
            <w:r>
              <w:rPr>
                <w:sz w:val="20"/>
                <w:szCs w:val="20"/>
              </w:rPr>
              <w:t>(Follow-up at a mean time of 7.4 months f</w:t>
            </w:r>
            <w:r>
              <w:t xml:space="preserve">or ceftriaxone and </w:t>
            </w:r>
            <w:r>
              <w:rPr>
                <w:sz w:val="20"/>
                <w:szCs w:val="20"/>
              </w:rPr>
              <w:t>8.6 months for cefotaxime)</w:t>
            </w:r>
          </w:p>
        </w:tc>
      </w:tr>
      <w:tr w:rsidR="002D58E4" w14:paraId="62C7D956" w14:textId="77777777" w:rsidTr="004A416C">
        <w:tc>
          <w:tcPr>
            <w:tcW w:w="725" w:type="dxa"/>
            <w:tcBorders>
              <w:top w:val="single" w:sz="6" w:space="0" w:color="000000"/>
              <w:left w:val="single" w:sz="6" w:space="0" w:color="000000"/>
              <w:bottom w:val="single" w:sz="6" w:space="0" w:color="000000"/>
              <w:right w:val="single" w:sz="6" w:space="0" w:color="000000"/>
            </w:tcBorders>
          </w:tcPr>
          <w:p w14:paraId="6E7DBC98"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68B912D2"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1F13E905" w14:textId="77777777" w:rsidR="002D58E4" w:rsidRDefault="00F721D4">
            <w:pPr>
              <w:rPr>
                <w:sz w:val="20"/>
                <w:szCs w:val="20"/>
              </w:rPr>
            </w:pPr>
            <w:r>
              <w:rPr>
                <w:sz w:val="20"/>
                <w:szCs w:val="20"/>
              </w:rPr>
              <w:t xml:space="preserve">not serious </w:t>
            </w:r>
          </w:p>
        </w:tc>
        <w:tc>
          <w:tcPr>
            <w:tcW w:w="1145" w:type="dxa"/>
            <w:tcBorders>
              <w:top w:val="single" w:sz="6" w:space="0" w:color="000000"/>
              <w:left w:val="single" w:sz="6" w:space="0" w:color="000000"/>
              <w:bottom w:val="single" w:sz="6" w:space="0" w:color="000000"/>
              <w:right w:val="single" w:sz="6" w:space="0" w:color="000000"/>
            </w:tcBorders>
          </w:tcPr>
          <w:p w14:paraId="59DF196A" w14:textId="77777777" w:rsidR="002D58E4" w:rsidRDefault="00F721D4">
            <w:pPr>
              <w:rPr>
                <w:sz w:val="20"/>
                <w:szCs w:val="20"/>
              </w:rPr>
            </w:pPr>
            <w:r>
              <w:rPr>
                <w:sz w:val="20"/>
                <w:szCs w:val="20"/>
              </w:rPr>
              <w:t>not serious</w:t>
            </w:r>
          </w:p>
        </w:tc>
        <w:tc>
          <w:tcPr>
            <w:tcW w:w="1124" w:type="dxa"/>
            <w:tcBorders>
              <w:top w:val="single" w:sz="6" w:space="0" w:color="000000"/>
              <w:left w:val="single" w:sz="6" w:space="0" w:color="000000"/>
              <w:bottom w:val="single" w:sz="6" w:space="0" w:color="000000"/>
              <w:right w:val="single" w:sz="6" w:space="0" w:color="000000"/>
            </w:tcBorders>
          </w:tcPr>
          <w:p w14:paraId="5EDEE4FA" w14:textId="77777777" w:rsidR="002D58E4" w:rsidRDefault="00F721D4">
            <w:pPr>
              <w:rPr>
                <w:sz w:val="20"/>
                <w:szCs w:val="20"/>
              </w:rPr>
            </w:pPr>
            <w:r>
              <w:rPr>
                <w:sz w:val="20"/>
                <w:szCs w:val="20"/>
              </w:rPr>
              <w:t xml:space="preserve">serious </w:t>
            </w:r>
            <w:r>
              <w:rPr>
                <w:sz w:val="20"/>
                <w:szCs w:val="20"/>
                <w:vertAlign w:val="superscript"/>
              </w:rPr>
              <w:t>b</w:t>
            </w:r>
          </w:p>
        </w:tc>
        <w:tc>
          <w:tcPr>
            <w:tcW w:w="1135" w:type="dxa"/>
            <w:tcBorders>
              <w:top w:val="single" w:sz="6" w:space="0" w:color="000000"/>
              <w:left w:val="single" w:sz="6" w:space="0" w:color="000000"/>
              <w:bottom w:val="single" w:sz="6" w:space="0" w:color="000000"/>
              <w:right w:val="single" w:sz="6" w:space="0" w:color="000000"/>
            </w:tcBorders>
          </w:tcPr>
          <w:p w14:paraId="2803331F" w14:textId="77777777" w:rsidR="002D58E4" w:rsidRDefault="00F721D4">
            <w:pPr>
              <w:rPr>
                <w:sz w:val="20"/>
                <w:szCs w:val="20"/>
              </w:rPr>
            </w:pPr>
            <w:r>
              <w:rPr>
                <w:sz w:val="20"/>
                <w:szCs w:val="20"/>
              </w:rPr>
              <w:t xml:space="preserve">serious </w:t>
            </w:r>
            <w:r>
              <w:rPr>
                <w:sz w:val="20"/>
                <w:szCs w:val="20"/>
                <w:vertAlign w:val="superscript"/>
              </w:rPr>
              <w:t>c</w:t>
            </w:r>
          </w:p>
        </w:tc>
        <w:tc>
          <w:tcPr>
            <w:tcW w:w="819" w:type="dxa"/>
            <w:tcBorders>
              <w:top w:val="single" w:sz="6" w:space="0" w:color="000000"/>
              <w:left w:val="single" w:sz="6" w:space="0" w:color="000000"/>
              <w:bottom w:val="single" w:sz="6" w:space="0" w:color="000000"/>
              <w:right w:val="single" w:sz="6" w:space="0" w:color="000000"/>
            </w:tcBorders>
          </w:tcPr>
          <w:p w14:paraId="1DCD001C" w14:textId="77777777" w:rsidR="002D58E4" w:rsidRDefault="00F721D4">
            <w:pPr>
              <w:rPr>
                <w:sz w:val="20"/>
                <w:szCs w:val="20"/>
              </w:rPr>
            </w:pPr>
            <w:r>
              <w:rPr>
                <w:sz w:val="20"/>
                <w:szCs w:val="20"/>
              </w:rPr>
              <w:t xml:space="preserve">none </w:t>
            </w:r>
          </w:p>
        </w:tc>
        <w:tc>
          <w:tcPr>
            <w:tcW w:w="1133" w:type="dxa"/>
            <w:tcBorders>
              <w:top w:val="single" w:sz="6" w:space="0" w:color="000000"/>
              <w:left w:val="single" w:sz="6" w:space="0" w:color="000000"/>
              <w:bottom w:val="single" w:sz="6" w:space="0" w:color="000000"/>
              <w:right w:val="single" w:sz="6" w:space="0" w:color="000000"/>
            </w:tcBorders>
          </w:tcPr>
          <w:p w14:paraId="5C89EF76" w14:textId="77777777" w:rsidR="002D58E4" w:rsidRDefault="00F721D4">
            <w:pPr>
              <w:jc w:val="center"/>
              <w:rPr>
                <w:sz w:val="20"/>
                <w:szCs w:val="20"/>
              </w:rPr>
            </w:pPr>
            <w:r>
              <w:rPr>
                <w:sz w:val="20"/>
                <w:szCs w:val="20"/>
              </w:rPr>
              <w:t xml:space="preserve">12/12 </w:t>
            </w:r>
          </w:p>
          <w:p w14:paraId="32B47209" w14:textId="77777777" w:rsidR="002D58E4" w:rsidRDefault="00F721D4">
            <w:pPr>
              <w:jc w:val="center"/>
              <w:rPr>
                <w:sz w:val="20"/>
                <w:szCs w:val="20"/>
              </w:rPr>
            </w:pPr>
            <w:r>
              <w:rPr>
                <w:sz w:val="20"/>
                <w:szCs w:val="20"/>
              </w:rPr>
              <w:t xml:space="preserve">(100.0%) </w:t>
            </w:r>
          </w:p>
        </w:tc>
        <w:tc>
          <w:tcPr>
            <w:tcW w:w="1120" w:type="dxa"/>
            <w:tcBorders>
              <w:top w:val="single" w:sz="6" w:space="0" w:color="000000"/>
              <w:left w:val="single" w:sz="6" w:space="0" w:color="000000"/>
              <w:bottom w:val="single" w:sz="6" w:space="0" w:color="000000"/>
              <w:right w:val="single" w:sz="6" w:space="0" w:color="000000"/>
            </w:tcBorders>
          </w:tcPr>
          <w:p w14:paraId="4F8799E3" w14:textId="77777777" w:rsidR="002D58E4" w:rsidRDefault="00F721D4">
            <w:pPr>
              <w:jc w:val="center"/>
              <w:rPr>
                <w:sz w:val="20"/>
                <w:szCs w:val="20"/>
              </w:rPr>
            </w:pPr>
            <w:r>
              <w:rPr>
                <w:sz w:val="20"/>
                <w:szCs w:val="20"/>
              </w:rPr>
              <w:t xml:space="preserve">13/15 </w:t>
            </w:r>
          </w:p>
          <w:p w14:paraId="20277268" w14:textId="77777777" w:rsidR="002D58E4" w:rsidRDefault="00F721D4">
            <w:pPr>
              <w:jc w:val="center"/>
              <w:rPr>
                <w:sz w:val="20"/>
                <w:szCs w:val="20"/>
              </w:rPr>
            </w:pPr>
            <w:r>
              <w:rPr>
                <w:sz w:val="20"/>
                <w:szCs w:val="20"/>
              </w:rPr>
              <w:t xml:space="preserve">(86.7%) </w:t>
            </w:r>
          </w:p>
        </w:tc>
        <w:tc>
          <w:tcPr>
            <w:tcW w:w="1273" w:type="dxa"/>
            <w:tcBorders>
              <w:top w:val="single" w:sz="6" w:space="0" w:color="000000"/>
              <w:left w:val="single" w:sz="6" w:space="0" w:color="000000"/>
              <w:bottom w:val="single" w:sz="6" w:space="0" w:color="000000"/>
              <w:right w:val="single" w:sz="6" w:space="0" w:color="000000"/>
            </w:tcBorders>
          </w:tcPr>
          <w:p w14:paraId="245CCA90" w14:textId="77777777" w:rsidR="002D58E4" w:rsidRDefault="00F721D4">
            <w:pPr>
              <w:jc w:val="center"/>
              <w:rPr>
                <w:sz w:val="20"/>
                <w:szCs w:val="20"/>
              </w:rPr>
            </w:pPr>
            <w:r>
              <w:rPr>
                <w:sz w:val="20"/>
                <w:szCs w:val="20"/>
              </w:rPr>
              <w:t>RR 1.14</w:t>
            </w:r>
            <w:r>
              <w:rPr>
                <w:sz w:val="20"/>
                <w:szCs w:val="20"/>
              </w:rPr>
              <w:br/>
              <w:t xml:space="preserve">(0.90 to 1.44) </w:t>
            </w:r>
          </w:p>
        </w:tc>
        <w:tc>
          <w:tcPr>
            <w:tcW w:w="2554" w:type="dxa"/>
            <w:tcBorders>
              <w:top w:val="single" w:sz="6" w:space="0" w:color="000000"/>
              <w:left w:val="single" w:sz="6" w:space="0" w:color="000000"/>
              <w:bottom w:val="single" w:sz="6" w:space="0" w:color="000000"/>
              <w:right w:val="single" w:sz="6" w:space="0" w:color="000000"/>
            </w:tcBorders>
          </w:tcPr>
          <w:p w14:paraId="16D3B46E" w14:textId="77777777" w:rsidR="002D58E4" w:rsidRDefault="00F721D4">
            <w:pPr>
              <w:jc w:val="center"/>
              <w:rPr>
                <w:sz w:val="20"/>
                <w:szCs w:val="20"/>
              </w:rPr>
            </w:pPr>
            <w:r>
              <w:rPr>
                <w:sz w:val="20"/>
                <w:szCs w:val="20"/>
              </w:rPr>
              <w:t>121 more per 1,000</w:t>
            </w:r>
            <w:r>
              <w:rPr>
                <w:sz w:val="20"/>
                <w:szCs w:val="20"/>
              </w:rPr>
              <w:br/>
              <w:t xml:space="preserve">(from 87 fewer to 381 more) </w:t>
            </w:r>
          </w:p>
        </w:tc>
        <w:tc>
          <w:tcPr>
            <w:tcW w:w="1231" w:type="dxa"/>
            <w:tcBorders>
              <w:top w:val="single" w:sz="6" w:space="0" w:color="000000"/>
              <w:left w:val="single" w:sz="6" w:space="0" w:color="000000"/>
              <w:bottom w:val="single" w:sz="6" w:space="0" w:color="000000"/>
              <w:right w:val="single" w:sz="6" w:space="0" w:color="000000"/>
            </w:tcBorders>
          </w:tcPr>
          <w:p w14:paraId="52BDA9B1"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83" w:type="dxa"/>
            <w:tcBorders>
              <w:top w:val="single" w:sz="6" w:space="0" w:color="000000"/>
              <w:left w:val="single" w:sz="6" w:space="0" w:color="000000"/>
              <w:bottom w:val="single" w:sz="6" w:space="0" w:color="000000"/>
              <w:right w:val="single" w:sz="6" w:space="0" w:color="000000"/>
            </w:tcBorders>
          </w:tcPr>
          <w:p w14:paraId="5123BAF3" w14:textId="77777777" w:rsidR="002D58E4" w:rsidRDefault="00F721D4">
            <w:pPr>
              <w:rPr>
                <w:sz w:val="20"/>
                <w:szCs w:val="20"/>
              </w:rPr>
            </w:pPr>
            <w:r>
              <w:rPr>
                <w:sz w:val="20"/>
                <w:szCs w:val="20"/>
              </w:rPr>
              <w:t xml:space="preserve">IMPORTANT </w:t>
            </w:r>
          </w:p>
        </w:tc>
      </w:tr>
      <w:tr w:rsidR="002D58E4" w14:paraId="4A0599BA" w14:textId="77777777" w:rsidTr="004A416C">
        <w:tc>
          <w:tcPr>
            <w:tcW w:w="149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7E9A903" w14:textId="77777777" w:rsidR="002D58E4" w:rsidRDefault="00F721D4">
            <w:pPr>
              <w:rPr>
                <w:b/>
                <w:sz w:val="20"/>
                <w:szCs w:val="20"/>
              </w:rPr>
            </w:pPr>
            <w:r>
              <w:rPr>
                <w:b/>
                <w:sz w:val="20"/>
                <w:szCs w:val="20"/>
              </w:rPr>
              <w:t xml:space="preserve">Treatment-Related Adverse Events </w:t>
            </w:r>
          </w:p>
        </w:tc>
      </w:tr>
      <w:tr w:rsidR="002D58E4" w14:paraId="62D52011" w14:textId="77777777" w:rsidTr="004A416C">
        <w:tc>
          <w:tcPr>
            <w:tcW w:w="725" w:type="dxa"/>
            <w:tcBorders>
              <w:top w:val="single" w:sz="6" w:space="0" w:color="000000"/>
              <w:left w:val="single" w:sz="6" w:space="0" w:color="000000"/>
              <w:bottom w:val="single" w:sz="6" w:space="0" w:color="000000"/>
              <w:right w:val="single" w:sz="6" w:space="0" w:color="000000"/>
            </w:tcBorders>
          </w:tcPr>
          <w:p w14:paraId="53E752E7"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6C645C0E" w14:textId="77777777" w:rsidR="002D58E4" w:rsidRDefault="00F721D4">
            <w:pPr>
              <w:rPr>
                <w:sz w:val="20"/>
                <w:szCs w:val="20"/>
              </w:rPr>
            </w:pPr>
            <w:r>
              <w:rPr>
                <w:sz w:val="20"/>
                <w:szCs w:val="20"/>
              </w:rPr>
              <w:t xml:space="preserve">RCT </w:t>
            </w:r>
            <w:r>
              <w:rPr>
                <w:sz w:val="20"/>
                <w:szCs w:val="20"/>
                <w:vertAlign w:val="superscript"/>
              </w:rPr>
              <w:t>1</w:t>
            </w:r>
          </w:p>
        </w:tc>
        <w:tc>
          <w:tcPr>
            <w:tcW w:w="851" w:type="dxa"/>
            <w:tcBorders>
              <w:top w:val="single" w:sz="6" w:space="0" w:color="000000"/>
              <w:left w:val="single" w:sz="6" w:space="0" w:color="000000"/>
              <w:bottom w:val="single" w:sz="6" w:space="0" w:color="000000"/>
              <w:right w:val="single" w:sz="6" w:space="0" w:color="000000"/>
            </w:tcBorders>
          </w:tcPr>
          <w:p w14:paraId="612C73C1" w14:textId="77777777" w:rsidR="002D58E4" w:rsidRDefault="00F721D4">
            <w:pPr>
              <w:rPr>
                <w:sz w:val="20"/>
                <w:szCs w:val="20"/>
              </w:rPr>
            </w:pPr>
            <w:r>
              <w:rPr>
                <w:sz w:val="20"/>
                <w:szCs w:val="20"/>
              </w:rPr>
              <w:t xml:space="preserve">serious </w:t>
            </w:r>
            <w:r>
              <w:rPr>
                <w:sz w:val="20"/>
                <w:szCs w:val="20"/>
                <w:vertAlign w:val="superscript"/>
              </w:rPr>
              <w:t>a</w:t>
            </w:r>
          </w:p>
        </w:tc>
        <w:tc>
          <w:tcPr>
            <w:tcW w:w="1145" w:type="dxa"/>
            <w:tcBorders>
              <w:top w:val="single" w:sz="6" w:space="0" w:color="000000"/>
              <w:left w:val="single" w:sz="6" w:space="0" w:color="000000"/>
              <w:bottom w:val="single" w:sz="6" w:space="0" w:color="000000"/>
              <w:right w:val="single" w:sz="6" w:space="0" w:color="000000"/>
            </w:tcBorders>
          </w:tcPr>
          <w:p w14:paraId="016197E5" w14:textId="77777777" w:rsidR="002D58E4" w:rsidRDefault="00F721D4">
            <w:pPr>
              <w:rPr>
                <w:sz w:val="20"/>
                <w:szCs w:val="20"/>
              </w:rPr>
            </w:pPr>
            <w:r>
              <w:rPr>
                <w:sz w:val="20"/>
                <w:szCs w:val="20"/>
              </w:rPr>
              <w:t>not serious</w:t>
            </w:r>
          </w:p>
        </w:tc>
        <w:tc>
          <w:tcPr>
            <w:tcW w:w="1124" w:type="dxa"/>
            <w:tcBorders>
              <w:top w:val="single" w:sz="6" w:space="0" w:color="000000"/>
              <w:left w:val="single" w:sz="6" w:space="0" w:color="000000"/>
              <w:bottom w:val="single" w:sz="6" w:space="0" w:color="000000"/>
              <w:right w:val="single" w:sz="6" w:space="0" w:color="000000"/>
            </w:tcBorders>
          </w:tcPr>
          <w:p w14:paraId="180CEB6F" w14:textId="77777777" w:rsidR="002D58E4" w:rsidRDefault="00F721D4">
            <w:pPr>
              <w:rPr>
                <w:sz w:val="20"/>
                <w:szCs w:val="20"/>
              </w:rPr>
            </w:pPr>
            <w:r>
              <w:rPr>
                <w:sz w:val="20"/>
                <w:szCs w:val="20"/>
              </w:rPr>
              <w:t xml:space="preserve">not serious </w:t>
            </w:r>
          </w:p>
        </w:tc>
        <w:tc>
          <w:tcPr>
            <w:tcW w:w="1135" w:type="dxa"/>
            <w:tcBorders>
              <w:top w:val="single" w:sz="6" w:space="0" w:color="000000"/>
              <w:left w:val="single" w:sz="6" w:space="0" w:color="000000"/>
              <w:bottom w:val="single" w:sz="6" w:space="0" w:color="000000"/>
              <w:right w:val="single" w:sz="6" w:space="0" w:color="000000"/>
            </w:tcBorders>
          </w:tcPr>
          <w:p w14:paraId="42B0C07D" w14:textId="77777777" w:rsidR="002D58E4" w:rsidRDefault="00F721D4">
            <w:pPr>
              <w:rPr>
                <w:sz w:val="20"/>
                <w:szCs w:val="20"/>
              </w:rPr>
            </w:pPr>
            <w:r>
              <w:rPr>
                <w:sz w:val="20"/>
                <w:szCs w:val="20"/>
              </w:rPr>
              <w:t xml:space="preserve">very serious </w:t>
            </w:r>
            <w:r>
              <w:rPr>
                <w:sz w:val="20"/>
                <w:szCs w:val="20"/>
                <w:vertAlign w:val="superscript"/>
              </w:rPr>
              <w:t>c</w:t>
            </w:r>
          </w:p>
        </w:tc>
        <w:tc>
          <w:tcPr>
            <w:tcW w:w="819" w:type="dxa"/>
            <w:tcBorders>
              <w:top w:val="single" w:sz="6" w:space="0" w:color="000000"/>
              <w:left w:val="single" w:sz="6" w:space="0" w:color="000000"/>
              <w:bottom w:val="single" w:sz="6" w:space="0" w:color="000000"/>
              <w:right w:val="single" w:sz="6" w:space="0" w:color="000000"/>
            </w:tcBorders>
          </w:tcPr>
          <w:p w14:paraId="11D56579" w14:textId="77777777" w:rsidR="002D58E4" w:rsidRDefault="00F721D4">
            <w:pPr>
              <w:rPr>
                <w:sz w:val="20"/>
                <w:szCs w:val="20"/>
              </w:rPr>
            </w:pPr>
            <w:r>
              <w:rPr>
                <w:sz w:val="20"/>
                <w:szCs w:val="20"/>
              </w:rPr>
              <w:t xml:space="preserve">none </w:t>
            </w:r>
          </w:p>
        </w:tc>
        <w:tc>
          <w:tcPr>
            <w:tcW w:w="1133" w:type="dxa"/>
            <w:tcBorders>
              <w:top w:val="single" w:sz="6" w:space="0" w:color="000000"/>
              <w:left w:val="single" w:sz="6" w:space="0" w:color="000000"/>
              <w:bottom w:val="single" w:sz="6" w:space="0" w:color="000000"/>
              <w:right w:val="single" w:sz="6" w:space="0" w:color="000000"/>
            </w:tcBorders>
          </w:tcPr>
          <w:p w14:paraId="42A29DE3" w14:textId="77777777" w:rsidR="002D58E4" w:rsidRDefault="00F721D4">
            <w:pPr>
              <w:jc w:val="center"/>
              <w:rPr>
                <w:sz w:val="20"/>
                <w:szCs w:val="20"/>
              </w:rPr>
            </w:pPr>
            <w:r>
              <w:rPr>
                <w:sz w:val="20"/>
                <w:szCs w:val="20"/>
              </w:rPr>
              <w:t xml:space="preserve">1/12 </w:t>
            </w:r>
          </w:p>
          <w:p w14:paraId="738FD984" w14:textId="77777777" w:rsidR="002D58E4" w:rsidRDefault="00F721D4">
            <w:pPr>
              <w:jc w:val="center"/>
              <w:rPr>
                <w:sz w:val="20"/>
                <w:szCs w:val="20"/>
              </w:rPr>
            </w:pPr>
            <w:r>
              <w:rPr>
                <w:sz w:val="20"/>
                <w:szCs w:val="20"/>
              </w:rPr>
              <w:t xml:space="preserve">(8.3%) </w:t>
            </w:r>
          </w:p>
        </w:tc>
        <w:tc>
          <w:tcPr>
            <w:tcW w:w="1120" w:type="dxa"/>
            <w:tcBorders>
              <w:top w:val="single" w:sz="6" w:space="0" w:color="000000"/>
              <w:left w:val="single" w:sz="6" w:space="0" w:color="000000"/>
              <w:bottom w:val="single" w:sz="6" w:space="0" w:color="000000"/>
              <w:right w:val="single" w:sz="6" w:space="0" w:color="000000"/>
            </w:tcBorders>
          </w:tcPr>
          <w:p w14:paraId="709884CD" w14:textId="77777777" w:rsidR="002D58E4" w:rsidRDefault="00F721D4">
            <w:pPr>
              <w:jc w:val="center"/>
              <w:rPr>
                <w:sz w:val="20"/>
                <w:szCs w:val="20"/>
              </w:rPr>
            </w:pPr>
            <w:r>
              <w:rPr>
                <w:sz w:val="20"/>
                <w:szCs w:val="20"/>
              </w:rPr>
              <w:t xml:space="preserve">3/15 </w:t>
            </w:r>
          </w:p>
          <w:p w14:paraId="262BA363" w14:textId="77777777" w:rsidR="002D58E4" w:rsidRDefault="00F721D4">
            <w:pPr>
              <w:jc w:val="center"/>
              <w:rPr>
                <w:sz w:val="20"/>
                <w:szCs w:val="20"/>
              </w:rPr>
            </w:pPr>
            <w:r>
              <w:rPr>
                <w:sz w:val="20"/>
                <w:szCs w:val="20"/>
              </w:rPr>
              <w:t xml:space="preserve">(20.0%) </w:t>
            </w:r>
          </w:p>
        </w:tc>
        <w:tc>
          <w:tcPr>
            <w:tcW w:w="1273" w:type="dxa"/>
            <w:tcBorders>
              <w:top w:val="single" w:sz="6" w:space="0" w:color="000000"/>
              <w:left w:val="single" w:sz="6" w:space="0" w:color="000000"/>
              <w:bottom w:val="single" w:sz="6" w:space="0" w:color="000000"/>
              <w:right w:val="single" w:sz="6" w:space="0" w:color="000000"/>
            </w:tcBorders>
          </w:tcPr>
          <w:p w14:paraId="7327CAA1" w14:textId="77777777" w:rsidR="002D58E4" w:rsidRDefault="00F721D4">
            <w:pPr>
              <w:jc w:val="center"/>
              <w:rPr>
                <w:sz w:val="20"/>
                <w:szCs w:val="20"/>
              </w:rPr>
            </w:pPr>
            <w:r>
              <w:rPr>
                <w:sz w:val="20"/>
                <w:szCs w:val="20"/>
              </w:rPr>
              <w:t>RR 0.42</w:t>
            </w:r>
            <w:r>
              <w:rPr>
                <w:sz w:val="20"/>
                <w:szCs w:val="20"/>
              </w:rPr>
              <w:br/>
              <w:t xml:space="preserve">(0.05 to 3.51) </w:t>
            </w:r>
          </w:p>
        </w:tc>
        <w:tc>
          <w:tcPr>
            <w:tcW w:w="2554" w:type="dxa"/>
            <w:tcBorders>
              <w:top w:val="single" w:sz="6" w:space="0" w:color="000000"/>
              <w:left w:val="single" w:sz="6" w:space="0" w:color="000000"/>
              <w:bottom w:val="single" w:sz="6" w:space="0" w:color="000000"/>
              <w:right w:val="single" w:sz="6" w:space="0" w:color="000000"/>
            </w:tcBorders>
          </w:tcPr>
          <w:p w14:paraId="58956F22" w14:textId="77777777" w:rsidR="002D58E4" w:rsidRDefault="00F721D4">
            <w:pPr>
              <w:jc w:val="center"/>
              <w:rPr>
                <w:sz w:val="20"/>
                <w:szCs w:val="20"/>
              </w:rPr>
            </w:pPr>
            <w:r>
              <w:rPr>
                <w:sz w:val="20"/>
                <w:szCs w:val="20"/>
              </w:rPr>
              <w:t>116 fewer per 1,000</w:t>
            </w:r>
            <w:r>
              <w:rPr>
                <w:sz w:val="20"/>
                <w:szCs w:val="20"/>
              </w:rPr>
              <w:br/>
              <w:t xml:space="preserve">(from 190 fewer to 502 more) </w:t>
            </w:r>
          </w:p>
        </w:tc>
        <w:tc>
          <w:tcPr>
            <w:tcW w:w="1231" w:type="dxa"/>
            <w:tcBorders>
              <w:top w:val="single" w:sz="6" w:space="0" w:color="000000"/>
              <w:left w:val="single" w:sz="6" w:space="0" w:color="000000"/>
              <w:bottom w:val="single" w:sz="6" w:space="0" w:color="000000"/>
              <w:right w:val="single" w:sz="6" w:space="0" w:color="000000"/>
            </w:tcBorders>
          </w:tcPr>
          <w:p w14:paraId="77D553E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83" w:type="dxa"/>
            <w:tcBorders>
              <w:top w:val="single" w:sz="6" w:space="0" w:color="000000"/>
              <w:left w:val="single" w:sz="6" w:space="0" w:color="000000"/>
              <w:bottom w:val="single" w:sz="6" w:space="0" w:color="000000"/>
              <w:right w:val="single" w:sz="6" w:space="0" w:color="000000"/>
            </w:tcBorders>
          </w:tcPr>
          <w:p w14:paraId="4DFFA120" w14:textId="77777777" w:rsidR="002D58E4" w:rsidRDefault="00F721D4">
            <w:pPr>
              <w:rPr>
                <w:sz w:val="20"/>
                <w:szCs w:val="20"/>
              </w:rPr>
            </w:pPr>
            <w:r>
              <w:rPr>
                <w:sz w:val="20"/>
                <w:szCs w:val="20"/>
              </w:rPr>
              <w:t>CRITICAL</w:t>
            </w:r>
          </w:p>
        </w:tc>
      </w:tr>
      <w:tr w:rsidR="002D58E4" w14:paraId="0A9A3ACF" w14:textId="77777777" w:rsidTr="004A416C">
        <w:tc>
          <w:tcPr>
            <w:tcW w:w="149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53C050B" w14:textId="77777777" w:rsidR="002D58E4" w:rsidRDefault="00F721D4">
            <w:pPr>
              <w:rPr>
                <w:b/>
                <w:sz w:val="20"/>
                <w:szCs w:val="20"/>
              </w:rPr>
            </w:pPr>
            <w:r>
              <w:rPr>
                <w:b/>
                <w:sz w:val="20"/>
                <w:szCs w:val="20"/>
              </w:rPr>
              <w:t xml:space="preserve">Withdrawals due to Adverse Events </w:t>
            </w:r>
          </w:p>
        </w:tc>
      </w:tr>
      <w:tr w:rsidR="002D58E4" w14:paraId="521D29AB" w14:textId="77777777" w:rsidTr="004A416C">
        <w:tc>
          <w:tcPr>
            <w:tcW w:w="725" w:type="dxa"/>
            <w:tcBorders>
              <w:top w:val="single" w:sz="6" w:space="0" w:color="000000"/>
              <w:left w:val="single" w:sz="6" w:space="0" w:color="000000"/>
              <w:bottom w:val="single" w:sz="6" w:space="0" w:color="000000"/>
              <w:right w:val="single" w:sz="6" w:space="0" w:color="000000"/>
            </w:tcBorders>
          </w:tcPr>
          <w:p w14:paraId="59CED96F"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6F78670A" w14:textId="77777777" w:rsidR="002D58E4" w:rsidRDefault="00F721D4">
            <w:pPr>
              <w:rPr>
                <w:sz w:val="20"/>
                <w:szCs w:val="20"/>
              </w:rPr>
            </w:pPr>
            <w:r>
              <w:rPr>
                <w:sz w:val="20"/>
                <w:szCs w:val="20"/>
              </w:rPr>
              <w:t>RCT</w:t>
            </w:r>
            <w:r>
              <w:rPr>
                <w:sz w:val="20"/>
                <w:szCs w:val="20"/>
                <w:vertAlign w:val="superscript"/>
              </w:rPr>
              <w:t xml:space="preserve"> 1 </w:t>
            </w:r>
          </w:p>
        </w:tc>
        <w:tc>
          <w:tcPr>
            <w:tcW w:w="851" w:type="dxa"/>
            <w:tcBorders>
              <w:top w:val="single" w:sz="6" w:space="0" w:color="000000"/>
              <w:left w:val="single" w:sz="6" w:space="0" w:color="000000"/>
              <w:bottom w:val="single" w:sz="6" w:space="0" w:color="000000"/>
              <w:right w:val="single" w:sz="6" w:space="0" w:color="000000"/>
            </w:tcBorders>
          </w:tcPr>
          <w:p w14:paraId="7915E42A" w14:textId="77777777" w:rsidR="002D58E4" w:rsidRDefault="00F721D4">
            <w:pPr>
              <w:rPr>
                <w:sz w:val="20"/>
                <w:szCs w:val="20"/>
              </w:rPr>
            </w:pPr>
            <w:r>
              <w:rPr>
                <w:sz w:val="20"/>
                <w:szCs w:val="20"/>
              </w:rPr>
              <w:t xml:space="preserve">serious </w:t>
            </w:r>
            <w:r>
              <w:rPr>
                <w:sz w:val="20"/>
                <w:szCs w:val="20"/>
                <w:vertAlign w:val="superscript"/>
              </w:rPr>
              <w:t>a</w:t>
            </w:r>
          </w:p>
        </w:tc>
        <w:tc>
          <w:tcPr>
            <w:tcW w:w="1145" w:type="dxa"/>
            <w:tcBorders>
              <w:top w:val="single" w:sz="6" w:space="0" w:color="000000"/>
              <w:left w:val="single" w:sz="6" w:space="0" w:color="000000"/>
              <w:bottom w:val="single" w:sz="6" w:space="0" w:color="000000"/>
              <w:right w:val="single" w:sz="6" w:space="0" w:color="000000"/>
            </w:tcBorders>
          </w:tcPr>
          <w:p w14:paraId="57DF1113" w14:textId="77777777" w:rsidR="002D58E4" w:rsidRDefault="00F721D4">
            <w:pPr>
              <w:rPr>
                <w:sz w:val="20"/>
                <w:szCs w:val="20"/>
              </w:rPr>
            </w:pPr>
            <w:r>
              <w:rPr>
                <w:sz w:val="20"/>
                <w:szCs w:val="20"/>
              </w:rPr>
              <w:t>not serious</w:t>
            </w:r>
          </w:p>
        </w:tc>
        <w:tc>
          <w:tcPr>
            <w:tcW w:w="1124" w:type="dxa"/>
            <w:tcBorders>
              <w:top w:val="single" w:sz="6" w:space="0" w:color="000000"/>
              <w:left w:val="single" w:sz="6" w:space="0" w:color="000000"/>
              <w:bottom w:val="single" w:sz="6" w:space="0" w:color="000000"/>
              <w:right w:val="single" w:sz="6" w:space="0" w:color="000000"/>
            </w:tcBorders>
          </w:tcPr>
          <w:p w14:paraId="239EDC72" w14:textId="77777777" w:rsidR="002D58E4" w:rsidRDefault="00F721D4">
            <w:pPr>
              <w:rPr>
                <w:sz w:val="20"/>
                <w:szCs w:val="20"/>
              </w:rPr>
            </w:pPr>
            <w:r>
              <w:rPr>
                <w:sz w:val="20"/>
                <w:szCs w:val="20"/>
              </w:rPr>
              <w:t xml:space="preserve">not serious </w:t>
            </w:r>
          </w:p>
        </w:tc>
        <w:tc>
          <w:tcPr>
            <w:tcW w:w="1135" w:type="dxa"/>
            <w:tcBorders>
              <w:top w:val="single" w:sz="6" w:space="0" w:color="000000"/>
              <w:left w:val="single" w:sz="6" w:space="0" w:color="000000"/>
              <w:bottom w:val="single" w:sz="6" w:space="0" w:color="000000"/>
              <w:right w:val="single" w:sz="6" w:space="0" w:color="000000"/>
            </w:tcBorders>
          </w:tcPr>
          <w:p w14:paraId="207BD363" w14:textId="77777777" w:rsidR="002D58E4" w:rsidRDefault="00F721D4">
            <w:pPr>
              <w:rPr>
                <w:sz w:val="20"/>
                <w:szCs w:val="20"/>
              </w:rPr>
            </w:pPr>
            <w:r>
              <w:rPr>
                <w:sz w:val="20"/>
                <w:szCs w:val="20"/>
              </w:rPr>
              <w:t xml:space="preserve">very serious </w:t>
            </w:r>
            <w:r>
              <w:rPr>
                <w:sz w:val="20"/>
                <w:szCs w:val="20"/>
                <w:vertAlign w:val="superscript"/>
              </w:rPr>
              <w:t>c</w:t>
            </w:r>
          </w:p>
        </w:tc>
        <w:tc>
          <w:tcPr>
            <w:tcW w:w="819" w:type="dxa"/>
            <w:tcBorders>
              <w:top w:val="single" w:sz="6" w:space="0" w:color="000000"/>
              <w:left w:val="single" w:sz="6" w:space="0" w:color="000000"/>
              <w:bottom w:val="single" w:sz="6" w:space="0" w:color="000000"/>
              <w:right w:val="single" w:sz="6" w:space="0" w:color="000000"/>
            </w:tcBorders>
          </w:tcPr>
          <w:p w14:paraId="49694BDD" w14:textId="77777777" w:rsidR="002D58E4" w:rsidRDefault="00F721D4">
            <w:pPr>
              <w:rPr>
                <w:sz w:val="20"/>
                <w:szCs w:val="20"/>
              </w:rPr>
            </w:pPr>
            <w:r>
              <w:rPr>
                <w:sz w:val="20"/>
                <w:szCs w:val="20"/>
              </w:rPr>
              <w:t xml:space="preserve">none </w:t>
            </w:r>
          </w:p>
        </w:tc>
        <w:tc>
          <w:tcPr>
            <w:tcW w:w="1133" w:type="dxa"/>
            <w:tcBorders>
              <w:top w:val="single" w:sz="6" w:space="0" w:color="000000"/>
              <w:left w:val="single" w:sz="6" w:space="0" w:color="000000"/>
              <w:bottom w:val="single" w:sz="6" w:space="0" w:color="000000"/>
              <w:right w:val="single" w:sz="6" w:space="0" w:color="000000"/>
            </w:tcBorders>
          </w:tcPr>
          <w:p w14:paraId="67904163" w14:textId="77777777" w:rsidR="002D58E4" w:rsidRDefault="00F721D4">
            <w:pPr>
              <w:jc w:val="center"/>
              <w:rPr>
                <w:sz w:val="20"/>
                <w:szCs w:val="20"/>
              </w:rPr>
            </w:pPr>
            <w:r>
              <w:rPr>
                <w:sz w:val="20"/>
                <w:szCs w:val="20"/>
              </w:rPr>
              <w:t xml:space="preserve">1/12 </w:t>
            </w:r>
          </w:p>
          <w:p w14:paraId="24296695" w14:textId="77777777" w:rsidR="002D58E4" w:rsidRDefault="00F721D4">
            <w:pPr>
              <w:jc w:val="center"/>
              <w:rPr>
                <w:sz w:val="20"/>
                <w:szCs w:val="20"/>
              </w:rPr>
            </w:pPr>
            <w:r>
              <w:rPr>
                <w:sz w:val="20"/>
                <w:szCs w:val="20"/>
              </w:rPr>
              <w:t xml:space="preserve">(8.3%) </w:t>
            </w:r>
          </w:p>
        </w:tc>
        <w:tc>
          <w:tcPr>
            <w:tcW w:w="1120" w:type="dxa"/>
            <w:tcBorders>
              <w:top w:val="single" w:sz="6" w:space="0" w:color="000000"/>
              <w:left w:val="single" w:sz="6" w:space="0" w:color="000000"/>
              <w:bottom w:val="single" w:sz="6" w:space="0" w:color="000000"/>
              <w:right w:val="single" w:sz="6" w:space="0" w:color="000000"/>
            </w:tcBorders>
          </w:tcPr>
          <w:p w14:paraId="63512005" w14:textId="77777777" w:rsidR="002D58E4" w:rsidRDefault="00F721D4">
            <w:pPr>
              <w:jc w:val="center"/>
              <w:rPr>
                <w:sz w:val="20"/>
                <w:szCs w:val="20"/>
              </w:rPr>
            </w:pPr>
            <w:r>
              <w:rPr>
                <w:sz w:val="20"/>
                <w:szCs w:val="20"/>
              </w:rPr>
              <w:t>1/15</w:t>
            </w:r>
          </w:p>
          <w:p w14:paraId="3A463B01" w14:textId="77777777" w:rsidR="002D58E4" w:rsidRDefault="00F721D4">
            <w:pPr>
              <w:jc w:val="center"/>
              <w:rPr>
                <w:sz w:val="20"/>
                <w:szCs w:val="20"/>
              </w:rPr>
            </w:pPr>
            <w:r>
              <w:rPr>
                <w:sz w:val="20"/>
                <w:szCs w:val="20"/>
              </w:rPr>
              <w:t xml:space="preserve"> (6.7%) </w:t>
            </w:r>
          </w:p>
        </w:tc>
        <w:tc>
          <w:tcPr>
            <w:tcW w:w="1273" w:type="dxa"/>
            <w:tcBorders>
              <w:top w:val="single" w:sz="6" w:space="0" w:color="000000"/>
              <w:left w:val="single" w:sz="6" w:space="0" w:color="000000"/>
              <w:bottom w:val="single" w:sz="6" w:space="0" w:color="000000"/>
              <w:right w:val="single" w:sz="6" w:space="0" w:color="000000"/>
            </w:tcBorders>
          </w:tcPr>
          <w:p w14:paraId="33527160" w14:textId="77777777" w:rsidR="002D58E4" w:rsidRDefault="00F721D4">
            <w:pPr>
              <w:jc w:val="center"/>
              <w:rPr>
                <w:sz w:val="20"/>
                <w:szCs w:val="20"/>
              </w:rPr>
            </w:pPr>
            <w:r>
              <w:rPr>
                <w:sz w:val="20"/>
                <w:szCs w:val="20"/>
              </w:rPr>
              <w:t>RR 1.25</w:t>
            </w:r>
            <w:r>
              <w:rPr>
                <w:sz w:val="20"/>
                <w:szCs w:val="20"/>
              </w:rPr>
              <w:br/>
              <w:t xml:space="preserve">(0.09 to 17.98) </w:t>
            </w:r>
          </w:p>
        </w:tc>
        <w:tc>
          <w:tcPr>
            <w:tcW w:w="2554" w:type="dxa"/>
            <w:tcBorders>
              <w:top w:val="single" w:sz="6" w:space="0" w:color="000000"/>
              <w:left w:val="single" w:sz="6" w:space="0" w:color="000000"/>
              <w:bottom w:val="single" w:sz="6" w:space="0" w:color="000000"/>
              <w:right w:val="single" w:sz="6" w:space="0" w:color="000000"/>
            </w:tcBorders>
          </w:tcPr>
          <w:p w14:paraId="7CD44BCF" w14:textId="77777777" w:rsidR="002D58E4" w:rsidRDefault="00F721D4">
            <w:pPr>
              <w:jc w:val="center"/>
              <w:rPr>
                <w:sz w:val="20"/>
                <w:szCs w:val="20"/>
              </w:rPr>
            </w:pPr>
            <w:r>
              <w:rPr>
                <w:sz w:val="20"/>
                <w:szCs w:val="20"/>
              </w:rPr>
              <w:t>17 more per 1,000</w:t>
            </w:r>
            <w:r>
              <w:rPr>
                <w:sz w:val="20"/>
                <w:szCs w:val="20"/>
              </w:rPr>
              <w:br/>
              <w:t xml:space="preserve">(from 61 fewer to 1,000 more) </w:t>
            </w:r>
          </w:p>
        </w:tc>
        <w:tc>
          <w:tcPr>
            <w:tcW w:w="1231" w:type="dxa"/>
            <w:tcBorders>
              <w:top w:val="single" w:sz="6" w:space="0" w:color="000000"/>
              <w:left w:val="single" w:sz="6" w:space="0" w:color="000000"/>
              <w:bottom w:val="single" w:sz="6" w:space="0" w:color="000000"/>
              <w:right w:val="single" w:sz="6" w:space="0" w:color="000000"/>
            </w:tcBorders>
          </w:tcPr>
          <w:p w14:paraId="776D3F8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83" w:type="dxa"/>
            <w:tcBorders>
              <w:top w:val="single" w:sz="6" w:space="0" w:color="000000"/>
              <w:left w:val="single" w:sz="6" w:space="0" w:color="000000"/>
              <w:bottom w:val="single" w:sz="6" w:space="0" w:color="000000"/>
              <w:right w:val="single" w:sz="6" w:space="0" w:color="000000"/>
            </w:tcBorders>
          </w:tcPr>
          <w:p w14:paraId="352B1DA6" w14:textId="77777777" w:rsidR="002D58E4" w:rsidRDefault="00F721D4">
            <w:pPr>
              <w:rPr>
                <w:sz w:val="20"/>
                <w:szCs w:val="20"/>
              </w:rPr>
            </w:pPr>
            <w:r>
              <w:rPr>
                <w:sz w:val="20"/>
                <w:szCs w:val="20"/>
              </w:rPr>
              <w:t>CRITICAL</w:t>
            </w:r>
          </w:p>
        </w:tc>
      </w:tr>
      <w:tr w:rsidR="002D58E4" w14:paraId="4576F319" w14:textId="77777777" w:rsidTr="004A416C">
        <w:tc>
          <w:tcPr>
            <w:tcW w:w="149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3D46016" w14:textId="77777777" w:rsidR="002D58E4" w:rsidRDefault="00F721D4">
            <w:pPr>
              <w:rPr>
                <w:b/>
                <w:sz w:val="20"/>
                <w:szCs w:val="20"/>
              </w:rPr>
            </w:pPr>
            <w:r>
              <w:rPr>
                <w:b/>
                <w:sz w:val="20"/>
                <w:szCs w:val="20"/>
              </w:rPr>
              <w:t>Gastrointestinal Adverse Events</w:t>
            </w:r>
          </w:p>
        </w:tc>
      </w:tr>
      <w:tr w:rsidR="002D58E4" w14:paraId="4DC61EB1" w14:textId="77777777" w:rsidTr="004A416C">
        <w:tc>
          <w:tcPr>
            <w:tcW w:w="725" w:type="dxa"/>
            <w:tcBorders>
              <w:top w:val="single" w:sz="6" w:space="0" w:color="000000"/>
              <w:left w:val="single" w:sz="6" w:space="0" w:color="000000"/>
              <w:bottom w:val="single" w:sz="6" w:space="0" w:color="000000"/>
              <w:right w:val="single" w:sz="6" w:space="0" w:color="000000"/>
            </w:tcBorders>
          </w:tcPr>
          <w:p w14:paraId="7F58EE61"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11BDF973" w14:textId="77777777" w:rsidR="002D58E4" w:rsidRDefault="00F721D4">
            <w:pPr>
              <w:rPr>
                <w:sz w:val="20"/>
                <w:szCs w:val="20"/>
              </w:rPr>
            </w:pPr>
            <w:r>
              <w:rPr>
                <w:sz w:val="20"/>
                <w:szCs w:val="20"/>
              </w:rPr>
              <w:t xml:space="preserve">RCT </w:t>
            </w:r>
            <w:r>
              <w:rPr>
                <w:sz w:val="20"/>
                <w:szCs w:val="20"/>
                <w:vertAlign w:val="superscript"/>
              </w:rPr>
              <w:t xml:space="preserve"> 1</w:t>
            </w:r>
          </w:p>
        </w:tc>
        <w:tc>
          <w:tcPr>
            <w:tcW w:w="851" w:type="dxa"/>
            <w:tcBorders>
              <w:top w:val="single" w:sz="6" w:space="0" w:color="000000"/>
              <w:left w:val="single" w:sz="6" w:space="0" w:color="000000"/>
              <w:bottom w:val="single" w:sz="6" w:space="0" w:color="000000"/>
              <w:right w:val="single" w:sz="6" w:space="0" w:color="000000"/>
            </w:tcBorders>
          </w:tcPr>
          <w:p w14:paraId="40176E25" w14:textId="77777777" w:rsidR="002D58E4" w:rsidRDefault="00F721D4">
            <w:pPr>
              <w:rPr>
                <w:sz w:val="20"/>
                <w:szCs w:val="20"/>
              </w:rPr>
            </w:pPr>
            <w:r>
              <w:rPr>
                <w:sz w:val="20"/>
                <w:szCs w:val="20"/>
              </w:rPr>
              <w:t xml:space="preserve">serious </w:t>
            </w:r>
            <w:r>
              <w:rPr>
                <w:sz w:val="20"/>
                <w:szCs w:val="20"/>
                <w:vertAlign w:val="superscript"/>
              </w:rPr>
              <w:t>a</w:t>
            </w:r>
          </w:p>
        </w:tc>
        <w:tc>
          <w:tcPr>
            <w:tcW w:w="1145" w:type="dxa"/>
            <w:tcBorders>
              <w:top w:val="single" w:sz="6" w:space="0" w:color="000000"/>
              <w:left w:val="single" w:sz="6" w:space="0" w:color="000000"/>
              <w:bottom w:val="single" w:sz="6" w:space="0" w:color="000000"/>
              <w:right w:val="single" w:sz="6" w:space="0" w:color="000000"/>
            </w:tcBorders>
          </w:tcPr>
          <w:p w14:paraId="5DE95236" w14:textId="77777777" w:rsidR="002D58E4" w:rsidRDefault="00F721D4">
            <w:pPr>
              <w:rPr>
                <w:sz w:val="20"/>
                <w:szCs w:val="20"/>
              </w:rPr>
            </w:pPr>
            <w:r>
              <w:rPr>
                <w:sz w:val="20"/>
                <w:szCs w:val="20"/>
              </w:rPr>
              <w:t>not serious</w:t>
            </w:r>
          </w:p>
        </w:tc>
        <w:tc>
          <w:tcPr>
            <w:tcW w:w="1124" w:type="dxa"/>
            <w:tcBorders>
              <w:top w:val="single" w:sz="6" w:space="0" w:color="000000"/>
              <w:left w:val="single" w:sz="6" w:space="0" w:color="000000"/>
              <w:bottom w:val="single" w:sz="6" w:space="0" w:color="000000"/>
              <w:right w:val="single" w:sz="6" w:space="0" w:color="000000"/>
            </w:tcBorders>
          </w:tcPr>
          <w:p w14:paraId="5B03DA7A" w14:textId="77777777" w:rsidR="002D58E4" w:rsidRDefault="00F721D4">
            <w:pPr>
              <w:rPr>
                <w:sz w:val="20"/>
                <w:szCs w:val="20"/>
              </w:rPr>
            </w:pPr>
            <w:r>
              <w:rPr>
                <w:sz w:val="20"/>
                <w:szCs w:val="20"/>
              </w:rPr>
              <w:t xml:space="preserve">not serious </w:t>
            </w:r>
          </w:p>
        </w:tc>
        <w:tc>
          <w:tcPr>
            <w:tcW w:w="1135" w:type="dxa"/>
            <w:tcBorders>
              <w:top w:val="single" w:sz="6" w:space="0" w:color="000000"/>
              <w:left w:val="single" w:sz="6" w:space="0" w:color="000000"/>
              <w:bottom w:val="single" w:sz="6" w:space="0" w:color="000000"/>
              <w:right w:val="single" w:sz="6" w:space="0" w:color="000000"/>
            </w:tcBorders>
          </w:tcPr>
          <w:p w14:paraId="3DE153A3" w14:textId="77777777" w:rsidR="002D58E4" w:rsidRDefault="00F721D4">
            <w:pPr>
              <w:rPr>
                <w:sz w:val="20"/>
                <w:szCs w:val="20"/>
              </w:rPr>
            </w:pPr>
            <w:r>
              <w:rPr>
                <w:sz w:val="20"/>
                <w:szCs w:val="20"/>
              </w:rPr>
              <w:t xml:space="preserve">very serious </w:t>
            </w:r>
            <w:r>
              <w:rPr>
                <w:sz w:val="20"/>
                <w:szCs w:val="20"/>
                <w:vertAlign w:val="superscript"/>
              </w:rPr>
              <w:t>c</w:t>
            </w:r>
          </w:p>
        </w:tc>
        <w:tc>
          <w:tcPr>
            <w:tcW w:w="819" w:type="dxa"/>
            <w:tcBorders>
              <w:top w:val="single" w:sz="6" w:space="0" w:color="000000"/>
              <w:left w:val="single" w:sz="6" w:space="0" w:color="000000"/>
              <w:bottom w:val="single" w:sz="6" w:space="0" w:color="000000"/>
              <w:right w:val="single" w:sz="6" w:space="0" w:color="000000"/>
            </w:tcBorders>
          </w:tcPr>
          <w:p w14:paraId="08525B7A" w14:textId="77777777" w:rsidR="002D58E4" w:rsidRDefault="00F721D4">
            <w:pPr>
              <w:rPr>
                <w:sz w:val="20"/>
                <w:szCs w:val="20"/>
              </w:rPr>
            </w:pPr>
            <w:r>
              <w:rPr>
                <w:sz w:val="20"/>
                <w:szCs w:val="20"/>
              </w:rPr>
              <w:t xml:space="preserve">none </w:t>
            </w:r>
          </w:p>
        </w:tc>
        <w:tc>
          <w:tcPr>
            <w:tcW w:w="1133" w:type="dxa"/>
            <w:tcBorders>
              <w:top w:val="single" w:sz="6" w:space="0" w:color="000000"/>
              <w:left w:val="single" w:sz="6" w:space="0" w:color="000000"/>
              <w:bottom w:val="single" w:sz="6" w:space="0" w:color="000000"/>
              <w:right w:val="single" w:sz="6" w:space="0" w:color="000000"/>
            </w:tcBorders>
          </w:tcPr>
          <w:p w14:paraId="5A8C00D4" w14:textId="77777777" w:rsidR="002D58E4" w:rsidRDefault="00F721D4">
            <w:pPr>
              <w:jc w:val="center"/>
              <w:rPr>
                <w:sz w:val="20"/>
                <w:szCs w:val="20"/>
              </w:rPr>
            </w:pPr>
            <w:r>
              <w:rPr>
                <w:sz w:val="20"/>
                <w:szCs w:val="20"/>
              </w:rPr>
              <w:t>1/12</w:t>
            </w:r>
          </w:p>
          <w:p w14:paraId="4808B6FB" w14:textId="77777777" w:rsidR="002D58E4" w:rsidRDefault="00F721D4">
            <w:pPr>
              <w:jc w:val="center"/>
              <w:rPr>
                <w:sz w:val="20"/>
                <w:szCs w:val="20"/>
              </w:rPr>
            </w:pPr>
            <w:r>
              <w:rPr>
                <w:sz w:val="20"/>
                <w:szCs w:val="20"/>
              </w:rPr>
              <w:t xml:space="preserve"> (8.3%) </w:t>
            </w:r>
          </w:p>
        </w:tc>
        <w:tc>
          <w:tcPr>
            <w:tcW w:w="1120" w:type="dxa"/>
            <w:tcBorders>
              <w:top w:val="single" w:sz="6" w:space="0" w:color="000000"/>
              <w:left w:val="single" w:sz="6" w:space="0" w:color="000000"/>
              <w:bottom w:val="single" w:sz="6" w:space="0" w:color="000000"/>
              <w:right w:val="single" w:sz="6" w:space="0" w:color="000000"/>
            </w:tcBorders>
          </w:tcPr>
          <w:p w14:paraId="11609F97" w14:textId="77777777" w:rsidR="002D58E4" w:rsidRDefault="00F721D4">
            <w:pPr>
              <w:jc w:val="center"/>
              <w:rPr>
                <w:sz w:val="20"/>
                <w:szCs w:val="20"/>
              </w:rPr>
            </w:pPr>
            <w:r>
              <w:rPr>
                <w:sz w:val="20"/>
                <w:szCs w:val="20"/>
              </w:rPr>
              <w:t xml:space="preserve">0/15 </w:t>
            </w:r>
          </w:p>
          <w:p w14:paraId="42D7269E" w14:textId="77777777" w:rsidR="002D58E4" w:rsidRDefault="00F721D4">
            <w:pPr>
              <w:jc w:val="center"/>
              <w:rPr>
                <w:sz w:val="20"/>
                <w:szCs w:val="20"/>
              </w:rPr>
            </w:pPr>
            <w:r>
              <w:rPr>
                <w:sz w:val="20"/>
                <w:szCs w:val="20"/>
              </w:rPr>
              <w:t xml:space="preserve">(0.0%) </w:t>
            </w:r>
          </w:p>
        </w:tc>
        <w:tc>
          <w:tcPr>
            <w:tcW w:w="1273" w:type="dxa"/>
            <w:tcBorders>
              <w:top w:val="single" w:sz="6" w:space="0" w:color="000000"/>
              <w:left w:val="single" w:sz="6" w:space="0" w:color="000000"/>
              <w:bottom w:val="single" w:sz="6" w:space="0" w:color="000000"/>
              <w:right w:val="single" w:sz="6" w:space="0" w:color="000000"/>
            </w:tcBorders>
          </w:tcPr>
          <w:p w14:paraId="52F14F2B"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p w14:paraId="0E770150" w14:textId="77777777" w:rsidR="002D58E4" w:rsidRDefault="002D58E4">
            <w:pPr>
              <w:jc w:val="center"/>
              <w:rPr>
                <w:sz w:val="20"/>
                <w:szCs w:val="20"/>
              </w:rPr>
            </w:pPr>
          </w:p>
        </w:tc>
        <w:tc>
          <w:tcPr>
            <w:tcW w:w="2554" w:type="dxa"/>
            <w:tcBorders>
              <w:top w:val="single" w:sz="6" w:space="0" w:color="000000"/>
              <w:left w:val="single" w:sz="6" w:space="0" w:color="000000"/>
              <w:bottom w:val="single" w:sz="6" w:space="0" w:color="000000"/>
              <w:right w:val="single" w:sz="6" w:space="0" w:color="000000"/>
            </w:tcBorders>
          </w:tcPr>
          <w:p w14:paraId="067A01A1" w14:textId="77777777" w:rsidR="002D58E4" w:rsidRDefault="00F721D4">
            <w:pPr>
              <w:jc w:val="center"/>
              <w:rPr>
                <w:sz w:val="20"/>
                <w:szCs w:val="20"/>
              </w:rPr>
            </w:pPr>
            <w:r>
              <w:rPr>
                <w:sz w:val="20"/>
                <w:szCs w:val="20"/>
              </w:rPr>
              <w:t>83</w:t>
            </w:r>
            <w:r>
              <w:t xml:space="preserve"> more per 1,000</w:t>
            </w:r>
          </w:p>
          <w:p w14:paraId="119D2D5F" w14:textId="77777777" w:rsidR="002D58E4" w:rsidRDefault="002D58E4">
            <w:pPr>
              <w:jc w:val="center"/>
              <w:rPr>
                <w:sz w:val="20"/>
                <w:szCs w:val="20"/>
              </w:rPr>
            </w:pPr>
          </w:p>
        </w:tc>
        <w:tc>
          <w:tcPr>
            <w:tcW w:w="1231" w:type="dxa"/>
            <w:tcBorders>
              <w:top w:val="single" w:sz="6" w:space="0" w:color="000000"/>
              <w:left w:val="single" w:sz="6" w:space="0" w:color="000000"/>
              <w:bottom w:val="single" w:sz="6" w:space="0" w:color="000000"/>
              <w:right w:val="single" w:sz="6" w:space="0" w:color="000000"/>
            </w:tcBorders>
          </w:tcPr>
          <w:p w14:paraId="55E24B9C"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83" w:type="dxa"/>
            <w:tcBorders>
              <w:top w:val="single" w:sz="6" w:space="0" w:color="000000"/>
              <w:left w:val="single" w:sz="6" w:space="0" w:color="000000"/>
              <w:bottom w:val="single" w:sz="6" w:space="0" w:color="000000"/>
              <w:right w:val="single" w:sz="6" w:space="0" w:color="000000"/>
            </w:tcBorders>
          </w:tcPr>
          <w:p w14:paraId="657B7F0E" w14:textId="77777777" w:rsidR="002D58E4" w:rsidRDefault="00F721D4">
            <w:pPr>
              <w:rPr>
                <w:sz w:val="20"/>
                <w:szCs w:val="20"/>
              </w:rPr>
            </w:pPr>
            <w:r>
              <w:rPr>
                <w:sz w:val="20"/>
                <w:szCs w:val="20"/>
              </w:rPr>
              <w:t>CRITICAL</w:t>
            </w:r>
          </w:p>
        </w:tc>
      </w:tr>
      <w:tr w:rsidR="002D58E4" w14:paraId="078D222B" w14:textId="77777777" w:rsidTr="004A416C">
        <w:tc>
          <w:tcPr>
            <w:tcW w:w="14987"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49447A3" w14:textId="77777777" w:rsidR="002D58E4" w:rsidRDefault="00F721D4">
            <w:pPr>
              <w:rPr>
                <w:b/>
                <w:sz w:val="20"/>
                <w:szCs w:val="20"/>
              </w:rPr>
            </w:pPr>
            <w:r>
              <w:rPr>
                <w:b/>
                <w:sz w:val="20"/>
                <w:szCs w:val="20"/>
              </w:rPr>
              <w:t xml:space="preserve">Allergic Reaction </w:t>
            </w:r>
          </w:p>
        </w:tc>
      </w:tr>
      <w:tr w:rsidR="002D58E4" w14:paraId="50CE5F8E" w14:textId="77777777" w:rsidTr="004A416C">
        <w:tc>
          <w:tcPr>
            <w:tcW w:w="725" w:type="dxa"/>
            <w:tcBorders>
              <w:top w:val="single" w:sz="6" w:space="0" w:color="000000"/>
              <w:left w:val="single" w:sz="6" w:space="0" w:color="000000"/>
              <w:bottom w:val="single" w:sz="6" w:space="0" w:color="000000"/>
              <w:right w:val="single" w:sz="6" w:space="0" w:color="000000"/>
            </w:tcBorders>
          </w:tcPr>
          <w:p w14:paraId="4C6478F4"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4580FE5C" w14:textId="77777777" w:rsidR="002D58E4" w:rsidRDefault="00F721D4">
            <w:pPr>
              <w:rPr>
                <w:sz w:val="20"/>
                <w:szCs w:val="20"/>
              </w:rPr>
            </w:pPr>
            <w:r>
              <w:rPr>
                <w:sz w:val="20"/>
                <w:szCs w:val="20"/>
              </w:rPr>
              <w:t xml:space="preserve">RCT </w:t>
            </w:r>
            <w:r>
              <w:rPr>
                <w:sz w:val="20"/>
                <w:szCs w:val="20"/>
                <w:vertAlign w:val="superscript"/>
              </w:rPr>
              <w:t xml:space="preserve">1 </w:t>
            </w:r>
          </w:p>
        </w:tc>
        <w:tc>
          <w:tcPr>
            <w:tcW w:w="851" w:type="dxa"/>
            <w:tcBorders>
              <w:top w:val="single" w:sz="6" w:space="0" w:color="000000"/>
              <w:left w:val="single" w:sz="6" w:space="0" w:color="000000"/>
              <w:bottom w:val="single" w:sz="6" w:space="0" w:color="000000"/>
              <w:right w:val="single" w:sz="6" w:space="0" w:color="000000"/>
            </w:tcBorders>
          </w:tcPr>
          <w:p w14:paraId="00AAE179" w14:textId="77777777" w:rsidR="002D58E4" w:rsidRDefault="00F721D4">
            <w:pPr>
              <w:rPr>
                <w:sz w:val="20"/>
                <w:szCs w:val="20"/>
              </w:rPr>
            </w:pPr>
            <w:r>
              <w:rPr>
                <w:sz w:val="20"/>
                <w:szCs w:val="20"/>
              </w:rPr>
              <w:t xml:space="preserve">serious </w:t>
            </w:r>
            <w:r>
              <w:rPr>
                <w:sz w:val="20"/>
                <w:szCs w:val="20"/>
                <w:vertAlign w:val="superscript"/>
              </w:rPr>
              <w:t>a</w:t>
            </w:r>
          </w:p>
        </w:tc>
        <w:tc>
          <w:tcPr>
            <w:tcW w:w="1145" w:type="dxa"/>
            <w:tcBorders>
              <w:top w:val="single" w:sz="6" w:space="0" w:color="000000"/>
              <w:left w:val="single" w:sz="6" w:space="0" w:color="000000"/>
              <w:bottom w:val="single" w:sz="6" w:space="0" w:color="000000"/>
              <w:right w:val="single" w:sz="6" w:space="0" w:color="000000"/>
            </w:tcBorders>
          </w:tcPr>
          <w:p w14:paraId="36988E76" w14:textId="77777777" w:rsidR="002D58E4" w:rsidRDefault="00F721D4">
            <w:pPr>
              <w:rPr>
                <w:sz w:val="20"/>
                <w:szCs w:val="20"/>
              </w:rPr>
            </w:pPr>
            <w:r>
              <w:rPr>
                <w:sz w:val="20"/>
                <w:szCs w:val="20"/>
              </w:rPr>
              <w:t>not serious</w:t>
            </w:r>
          </w:p>
        </w:tc>
        <w:tc>
          <w:tcPr>
            <w:tcW w:w="1124" w:type="dxa"/>
            <w:tcBorders>
              <w:top w:val="single" w:sz="6" w:space="0" w:color="000000"/>
              <w:left w:val="single" w:sz="6" w:space="0" w:color="000000"/>
              <w:bottom w:val="single" w:sz="6" w:space="0" w:color="000000"/>
              <w:right w:val="single" w:sz="6" w:space="0" w:color="000000"/>
            </w:tcBorders>
          </w:tcPr>
          <w:p w14:paraId="159E24DB" w14:textId="77777777" w:rsidR="002D58E4" w:rsidRDefault="00F721D4">
            <w:pPr>
              <w:rPr>
                <w:sz w:val="20"/>
                <w:szCs w:val="20"/>
              </w:rPr>
            </w:pPr>
            <w:r>
              <w:rPr>
                <w:sz w:val="20"/>
                <w:szCs w:val="20"/>
              </w:rPr>
              <w:t xml:space="preserve">not serious </w:t>
            </w:r>
          </w:p>
        </w:tc>
        <w:tc>
          <w:tcPr>
            <w:tcW w:w="1135" w:type="dxa"/>
            <w:tcBorders>
              <w:top w:val="single" w:sz="6" w:space="0" w:color="000000"/>
              <w:left w:val="single" w:sz="6" w:space="0" w:color="000000"/>
              <w:bottom w:val="single" w:sz="6" w:space="0" w:color="000000"/>
              <w:right w:val="single" w:sz="6" w:space="0" w:color="000000"/>
            </w:tcBorders>
          </w:tcPr>
          <w:p w14:paraId="6EF89848" w14:textId="77777777" w:rsidR="002D58E4" w:rsidRDefault="00F721D4">
            <w:pPr>
              <w:rPr>
                <w:sz w:val="20"/>
                <w:szCs w:val="20"/>
              </w:rPr>
            </w:pPr>
            <w:r>
              <w:rPr>
                <w:sz w:val="20"/>
                <w:szCs w:val="20"/>
              </w:rPr>
              <w:t xml:space="preserve">very serious </w:t>
            </w:r>
            <w:r>
              <w:rPr>
                <w:sz w:val="20"/>
                <w:szCs w:val="20"/>
                <w:vertAlign w:val="superscript"/>
              </w:rPr>
              <w:t>c</w:t>
            </w:r>
          </w:p>
        </w:tc>
        <w:tc>
          <w:tcPr>
            <w:tcW w:w="819" w:type="dxa"/>
            <w:tcBorders>
              <w:top w:val="single" w:sz="6" w:space="0" w:color="000000"/>
              <w:left w:val="single" w:sz="6" w:space="0" w:color="000000"/>
              <w:bottom w:val="single" w:sz="6" w:space="0" w:color="000000"/>
              <w:right w:val="single" w:sz="6" w:space="0" w:color="000000"/>
            </w:tcBorders>
          </w:tcPr>
          <w:p w14:paraId="51F7013C" w14:textId="77777777" w:rsidR="002D58E4" w:rsidRDefault="00F721D4">
            <w:pPr>
              <w:rPr>
                <w:sz w:val="20"/>
                <w:szCs w:val="20"/>
              </w:rPr>
            </w:pPr>
            <w:r>
              <w:rPr>
                <w:sz w:val="20"/>
                <w:szCs w:val="20"/>
              </w:rPr>
              <w:t xml:space="preserve">none </w:t>
            </w:r>
          </w:p>
        </w:tc>
        <w:tc>
          <w:tcPr>
            <w:tcW w:w="1133" w:type="dxa"/>
            <w:tcBorders>
              <w:top w:val="single" w:sz="6" w:space="0" w:color="000000"/>
              <w:left w:val="single" w:sz="6" w:space="0" w:color="000000"/>
              <w:bottom w:val="single" w:sz="6" w:space="0" w:color="000000"/>
              <w:right w:val="single" w:sz="6" w:space="0" w:color="000000"/>
            </w:tcBorders>
          </w:tcPr>
          <w:p w14:paraId="0BF73709" w14:textId="77777777" w:rsidR="002D58E4" w:rsidRDefault="00F721D4">
            <w:pPr>
              <w:jc w:val="center"/>
              <w:rPr>
                <w:sz w:val="20"/>
                <w:szCs w:val="20"/>
              </w:rPr>
            </w:pPr>
            <w:r>
              <w:rPr>
                <w:sz w:val="20"/>
                <w:szCs w:val="20"/>
              </w:rPr>
              <w:t>0/12</w:t>
            </w:r>
          </w:p>
          <w:p w14:paraId="26071EC0" w14:textId="77777777" w:rsidR="002D58E4" w:rsidRDefault="00F721D4">
            <w:pPr>
              <w:jc w:val="center"/>
              <w:rPr>
                <w:sz w:val="20"/>
                <w:szCs w:val="20"/>
              </w:rPr>
            </w:pPr>
            <w:r>
              <w:rPr>
                <w:sz w:val="20"/>
                <w:szCs w:val="20"/>
              </w:rPr>
              <w:t xml:space="preserve"> (0.0%) </w:t>
            </w:r>
          </w:p>
        </w:tc>
        <w:tc>
          <w:tcPr>
            <w:tcW w:w="1120" w:type="dxa"/>
            <w:tcBorders>
              <w:top w:val="single" w:sz="6" w:space="0" w:color="000000"/>
              <w:left w:val="single" w:sz="6" w:space="0" w:color="000000"/>
              <w:bottom w:val="single" w:sz="6" w:space="0" w:color="000000"/>
              <w:right w:val="single" w:sz="6" w:space="0" w:color="000000"/>
            </w:tcBorders>
          </w:tcPr>
          <w:p w14:paraId="7A33745A" w14:textId="77777777" w:rsidR="002D58E4" w:rsidRDefault="00F721D4">
            <w:pPr>
              <w:jc w:val="center"/>
              <w:rPr>
                <w:sz w:val="20"/>
                <w:szCs w:val="20"/>
              </w:rPr>
            </w:pPr>
            <w:r>
              <w:rPr>
                <w:sz w:val="20"/>
                <w:szCs w:val="20"/>
              </w:rPr>
              <w:t xml:space="preserve">1/15 </w:t>
            </w:r>
          </w:p>
          <w:p w14:paraId="2303A146" w14:textId="77777777" w:rsidR="002D58E4" w:rsidRDefault="00F721D4">
            <w:pPr>
              <w:jc w:val="center"/>
              <w:rPr>
                <w:sz w:val="20"/>
                <w:szCs w:val="20"/>
              </w:rPr>
            </w:pPr>
            <w:r>
              <w:rPr>
                <w:sz w:val="20"/>
                <w:szCs w:val="20"/>
              </w:rPr>
              <w:t xml:space="preserve">(6.7%) </w:t>
            </w:r>
          </w:p>
        </w:tc>
        <w:tc>
          <w:tcPr>
            <w:tcW w:w="1273" w:type="dxa"/>
            <w:tcBorders>
              <w:top w:val="single" w:sz="6" w:space="0" w:color="000000"/>
              <w:left w:val="single" w:sz="6" w:space="0" w:color="000000"/>
              <w:bottom w:val="single" w:sz="6" w:space="0" w:color="000000"/>
              <w:right w:val="single" w:sz="6" w:space="0" w:color="000000"/>
            </w:tcBorders>
          </w:tcPr>
          <w:p w14:paraId="5D4EC894" w14:textId="77777777" w:rsidR="002D58E4" w:rsidRDefault="00F721D4">
            <w:pPr>
              <w:jc w:val="center"/>
              <w:rPr>
                <w:sz w:val="20"/>
                <w:szCs w:val="20"/>
              </w:rPr>
            </w:pPr>
            <w:r>
              <w:rPr>
                <w:sz w:val="20"/>
                <w:szCs w:val="20"/>
              </w:rPr>
              <w:t xml:space="preserve">NA </w:t>
            </w:r>
            <w:r>
              <w:rPr>
                <w:sz w:val="20"/>
                <w:szCs w:val="20"/>
                <w:vertAlign w:val="superscript"/>
              </w:rPr>
              <w:t>d</w:t>
            </w:r>
            <w:r>
              <w:rPr>
                <w:sz w:val="20"/>
                <w:szCs w:val="20"/>
              </w:rPr>
              <w:t xml:space="preserve"> </w:t>
            </w:r>
          </w:p>
          <w:p w14:paraId="3271C0EA" w14:textId="77777777" w:rsidR="002D58E4" w:rsidRDefault="002D58E4">
            <w:pPr>
              <w:jc w:val="center"/>
              <w:rPr>
                <w:sz w:val="20"/>
                <w:szCs w:val="20"/>
              </w:rPr>
            </w:pPr>
          </w:p>
        </w:tc>
        <w:tc>
          <w:tcPr>
            <w:tcW w:w="2554" w:type="dxa"/>
            <w:tcBorders>
              <w:top w:val="single" w:sz="6" w:space="0" w:color="000000"/>
              <w:left w:val="single" w:sz="6" w:space="0" w:color="000000"/>
              <w:bottom w:val="single" w:sz="6" w:space="0" w:color="000000"/>
              <w:right w:val="single" w:sz="6" w:space="0" w:color="000000"/>
            </w:tcBorders>
          </w:tcPr>
          <w:p w14:paraId="5102A11B" w14:textId="77777777" w:rsidR="002D58E4" w:rsidRDefault="00F721D4">
            <w:pPr>
              <w:jc w:val="center"/>
              <w:rPr>
                <w:sz w:val="20"/>
                <w:szCs w:val="20"/>
              </w:rPr>
            </w:pPr>
            <w:r>
              <w:rPr>
                <w:sz w:val="20"/>
                <w:szCs w:val="20"/>
              </w:rPr>
              <w:t>67 fewer per 1,000</w:t>
            </w:r>
            <w:r>
              <w:rPr>
                <w:sz w:val="20"/>
                <w:szCs w:val="20"/>
              </w:rPr>
              <w:br/>
            </w:r>
          </w:p>
        </w:tc>
        <w:tc>
          <w:tcPr>
            <w:tcW w:w="1231" w:type="dxa"/>
            <w:tcBorders>
              <w:top w:val="single" w:sz="6" w:space="0" w:color="000000"/>
              <w:left w:val="single" w:sz="6" w:space="0" w:color="000000"/>
              <w:bottom w:val="single" w:sz="6" w:space="0" w:color="000000"/>
              <w:right w:val="single" w:sz="6" w:space="0" w:color="000000"/>
            </w:tcBorders>
          </w:tcPr>
          <w:p w14:paraId="6CEB695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83" w:type="dxa"/>
            <w:tcBorders>
              <w:top w:val="single" w:sz="6" w:space="0" w:color="000000"/>
              <w:left w:val="single" w:sz="6" w:space="0" w:color="000000"/>
              <w:bottom w:val="single" w:sz="6" w:space="0" w:color="000000"/>
              <w:right w:val="single" w:sz="6" w:space="0" w:color="000000"/>
            </w:tcBorders>
          </w:tcPr>
          <w:p w14:paraId="1E342078" w14:textId="77777777" w:rsidR="002D58E4" w:rsidRDefault="00F721D4">
            <w:pPr>
              <w:rPr>
                <w:sz w:val="20"/>
                <w:szCs w:val="20"/>
              </w:rPr>
            </w:pPr>
            <w:r>
              <w:rPr>
                <w:sz w:val="20"/>
                <w:szCs w:val="20"/>
              </w:rPr>
              <w:t>CRITICAL</w:t>
            </w:r>
          </w:p>
        </w:tc>
      </w:tr>
    </w:tbl>
    <w:p w14:paraId="18349AC3" w14:textId="77777777" w:rsidR="002D58E4" w:rsidRDefault="00F721D4">
      <w:pPr>
        <w:pBdr>
          <w:top w:val="nil"/>
          <w:left w:val="nil"/>
          <w:bottom w:val="nil"/>
          <w:right w:val="nil"/>
          <w:between w:val="nil"/>
        </w:pBdr>
        <w:spacing w:before="100" w:after="100" w:line="240" w:lineRule="auto"/>
        <w:rPr>
          <w:color w:val="000000"/>
          <w:sz w:val="18"/>
          <w:szCs w:val="18"/>
        </w:rPr>
      </w:pPr>
      <w:r>
        <w:rPr>
          <w:color w:val="000000"/>
          <w:sz w:val="18"/>
          <w:szCs w:val="18"/>
        </w:rPr>
        <w:t>*Improvement of Neurologic Lyme Symptoms was defined as “neurologic findings= normal, no complaints” in the Pfister study.</w:t>
      </w:r>
    </w:p>
    <w:p w14:paraId="3521EBF4"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554993C9" w14:textId="77777777" w:rsidR="004D1B29" w:rsidRDefault="004D1B29" w:rsidP="004D1B29">
      <w:pPr>
        <w:spacing w:before="280" w:after="0"/>
        <w:rPr>
          <w:b/>
          <w:color w:val="000000"/>
          <w:sz w:val="24"/>
          <w:szCs w:val="24"/>
        </w:rPr>
      </w:pPr>
      <w:r>
        <w:rPr>
          <w:b/>
          <w:color w:val="000000"/>
          <w:sz w:val="24"/>
          <w:szCs w:val="24"/>
        </w:rPr>
        <w:t>Explanations</w:t>
      </w:r>
    </w:p>
    <w:p w14:paraId="7165C38F" w14:textId="4FB46ECB" w:rsidR="002D58E4" w:rsidRDefault="00F721D4">
      <w:pPr>
        <w:spacing w:after="0"/>
        <w:rPr>
          <w:color w:val="000000"/>
          <w:sz w:val="18"/>
          <w:szCs w:val="18"/>
        </w:rPr>
      </w:pPr>
      <w:r>
        <w:rPr>
          <w:color w:val="000000"/>
          <w:sz w:val="18"/>
          <w:szCs w:val="18"/>
        </w:rPr>
        <w:t xml:space="preserve">a. Study received a high risk of bias for an unblinded study design. </w:t>
      </w:r>
    </w:p>
    <w:p w14:paraId="680C2F92" w14:textId="77777777" w:rsidR="002D58E4" w:rsidRDefault="00F721D4">
      <w:pPr>
        <w:spacing w:after="0"/>
        <w:rPr>
          <w:color w:val="000000"/>
          <w:sz w:val="18"/>
          <w:szCs w:val="18"/>
        </w:rPr>
      </w:pPr>
      <w:r>
        <w:rPr>
          <w:color w:val="000000"/>
          <w:sz w:val="18"/>
          <w:szCs w:val="18"/>
        </w:rPr>
        <w:t>b. Surrogate for improvement of neurological disease.</w:t>
      </w:r>
    </w:p>
    <w:p w14:paraId="3689E029" w14:textId="77777777" w:rsidR="002D58E4" w:rsidRDefault="00F721D4">
      <w:pPr>
        <w:spacing w:after="0"/>
        <w:rPr>
          <w:color w:val="000000"/>
          <w:sz w:val="18"/>
          <w:szCs w:val="18"/>
        </w:rPr>
      </w:pPr>
      <w:r>
        <w:rPr>
          <w:color w:val="000000"/>
          <w:sz w:val="18"/>
          <w:szCs w:val="18"/>
        </w:rPr>
        <w:t>c. Low event rate and small sample size (not meeting the OIS criteria), 95% CI is wide and crossing the null value.</w:t>
      </w:r>
    </w:p>
    <w:p w14:paraId="626962DA" w14:textId="77777777" w:rsidR="002D58E4" w:rsidRDefault="00F721D4">
      <w:pPr>
        <w:spacing w:after="0"/>
        <w:rPr>
          <w:color w:val="000000"/>
          <w:sz w:val="18"/>
          <w:szCs w:val="18"/>
        </w:rPr>
      </w:pPr>
      <w:r>
        <w:rPr>
          <w:color w:val="000000"/>
          <w:sz w:val="18"/>
          <w:szCs w:val="18"/>
        </w:rPr>
        <w:t xml:space="preserve">d. One arm has zero event; unable to estimate relative risk. </w:t>
      </w:r>
    </w:p>
    <w:p w14:paraId="00023CDC" w14:textId="77777777" w:rsidR="002D58E4" w:rsidRDefault="00F721D4">
      <w:pPr>
        <w:spacing w:after="160" w:line="259" w:lineRule="auto"/>
        <w:rPr>
          <w:b/>
          <w:color w:val="000000"/>
          <w:u w:val="single"/>
        </w:rPr>
      </w:pPr>
      <w:r>
        <w:br w:type="page"/>
      </w:r>
    </w:p>
    <w:p w14:paraId="70E57A78" w14:textId="77777777" w:rsidR="002D58E4" w:rsidRDefault="00F721D4">
      <w:pPr>
        <w:spacing w:after="0"/>
        <w:rPr>
          <w:b/>
          <w:color w:val="000000"/>
          <w:u w:val="single"/>
        </w:rPr>
      </w:pPr>
      <w:r>
        <w:rPr>
          <w:b/>
          <w:color w:val="000000"/>
          <w:u w:val="single"/>
        </w:rPr>
        <w:t>IV DOXYCYCLINE vs. IV PENICILLIN</w:t>
      </w:r>
    </w:p>
    <w:p w14:paraId="2E98306D" w14:textId="77777777" w:rsidR="002D58E4" w:rsidRDefault="00F721D4">
      <w:pPr>
        <w:spacing w:after="0"/>
        <w:rPr>
          <w:b/>
        </w:rPr>
      </w:pPr>
      <w:r>
        <w:rPr>
          <w:b/>
        </w:rPr>
        <w:t>In patients with Lyme neuroborreliosis, should IV doxycycline be used over IV penicillin G?</w:t>
      </w:r>
    </w:p>
    <w:p w14:paraId="1F869D57" w14:textId="77777777" w:rsidR="002D58E4" w:rsidRDefault="00F721D4">
      <w:pPr>
        <w:spacing w:after="0"/>
      </w:pPr>
      <w:r>
        <w:t>P: In patients with Lyme neuroborreliosis</w:t>
      </w:r>
    </w:p>
    <w:p w14:paraId="0A4EE0FC" w14:textId="77777777" w:rsidR="002D58E4" w:rsidRDefault="00F721D4">
      <w:pPr>
        <w:spacing w:after="0"/>
      </w:pPr>
      <w:r>
        <w:t>I: IV doxycycline</w:t>
      </w:r>
    </w:p>
    <w:p w14:paraId="0F19D6E0" w14:textId="77777777" w:rsidR="002D58E4" w:rsidRDefault="00F721D4">
      <w:pPr>
        <w:spacing w:after="0"/>
      </w:pPr>
      <w:r>
        <w:t>C: IV penicillin G</w:t>
      </w:r>
    </w:p>
    <w:p w14:paraId="6D55131C" w14:textId="77777777" w:rsidR="002D58E4" w:rsidRDefault="002D58E4">
      <w:pPr>
        <w:spacing w:after="0"/>
      </w:pPr>
    </w:p>
    <w:p w14:paraId="73CAFACD" w14:textId="77777777" w:rsidR="002D58E4" w:rsidRDefault="00F721D4" w:rsidP="00171735">
      <w:pPr>
        <w:rPr>
          <w:color w:val="000000"/>
          <w:sz w:val="18"/>
          <w:szCs w:val="18"/>
        </w:rPr>
      </w:pPr>
      <w:r w:rsidRPr="002914A2">
        <w:rPr>
          <w:b/>
          <w:color w:val="000000"/>
          <w:sz w:val="18"/>
          <w:szCs w:val="18"/>
          <w:lang w:val="fr-CA"/>
        </w:rPr>
        <w:t>Bibliography</w:t>
      </w:r>
      <w:r w:rsidRPr="002914A2">
        <w:rPr>
          <w:color w:val="000000"/>
          <w:sz w:val="18"/>
          <w:szCs w:val="18"/>
          <w:lang w:val="fr-CA"/>
        </w:rPr>
        <w:t xml:space="preserve">: 1. Kohlhepp, et al.  J Neurol. </w:t>
      </w:r>
      <w:r>
        <w:rPr>
          <w:color w:val="000000"/>
          <w:sz w:val="18"/>
          <w:szCs w:val="18"/>
        </w:rPr>
        <w:t>1989 Dec; 236(8): 464-9.</w:t>
      </w:r>
    </w:p>
    <w:tbl>
      <w:tblPr>
        <w:tblStyle w:val="aff4"/>
        <w:tblW w:w="15026" w:type="dxa"/>
        <w:tblInd w:w="-29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4"/>
        <w:gridCol w:w="653"/>
        <w:gridCol w:w="1053"/>
        <w:gridCol w:w="1412"/>
        <w:gridCol w:w="1118"/>
        <w:gridCol w:w="882"/>
        <w:gridCol w:w="778"/>
        <w:gridCol w:w="1326"/>
        <w:gridCol w:w="1229"/>
        <w:gridCol w:w="1298"/>
        <w:gridCol w:w="2245"/>
        <w:gridCol w:w="1134"/>
        <w:gridCol w:w="1134"/>
      </w:tblGrid>
      <w:tr w:rsidR="004D1B29" w14:paraId="541B5DE0" w14:textId="77777777" w:rsidTr="00E14B2B">
        <w:tc>
          <w:tcPr>
            <w:tcW w:w="6660"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4D047E63" w14:textId="77777777" w:rsidR="004D1B29" w:rsidRDefault="004D1B29">
            <w:pPr>
              <w:jc w:val="center"/>
              <w:rPr>
                <w:b/>
                <w:sz w:val="20"/>
                <w:szCs w:val="20"/>
              </w:rPr>
            </w:pPr>
            <w:r>
              <w:rPr>
                <w:b/>
                <w:sz w:val="20"/>
                <w:szCs w:val="20"/>
              </w:rPr>
              <w:t>Certainty assessment</w:t>
            </w:r>
          </w:p>
        </w:tc>
        <w:tc>
          <w:tcPr>
            <w:tcW w:w="255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07175CE" w14:textId="77777777" w:rsidR="004D1B29" w:rsidRDefault="004D1B29">
            <w:pPr>
              <w:jc w:val="center"/>
              <w:rPr>
                <w:b/>
                <w:sz w:val="20"/>
                <w:szCs w:val="20"/>
              </w:rPr>
            </w:pPr>
            <w:r>
              <w:rPr>
                <w:b/>
                <w:sz w:val="20"/>
                <w:szCs w:val="20"/>
              </w:rPr>
              <w:t>№ of events/№ of patients</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BC13182" w14:textId="77777777" w:rsidR="004D1B29" w:rsidRDefault="004D1B29">
            <w:pPr>
              <w:jc w:val="center"/>
              <w:rPr>
                <w:b/>
                <w:sz w:val="20"/>
                <w:szCs w:val="20"/>
              </w:rPr>
            </w:pPr>
            <w:r>
              <w:rPr>
                <w:b/>
                <w:sz w:val="20"/>
                <w:szCs w:val="20"/>
              </w:rPr>
              <w:t>Effect</w:t>
            </w:r>
          </w:p>
        </w:tc>
        <w:tc>
          <w:tcPr>
            <w:tcW w:w="1134" w:type="dxa"/>
            <w:vMerge w:val="restart"/>
            <w:tcBorders>
              <w:top w:val="single" w:sz="6" w:space="0" w:color="000000"/>
              <w:left w:val="single" w:sz="6" w:space="0" w:color="000000"/>
              <w:right w:val="single" w:sz="6" w:space="0" w:color="000000"/>
            </w:tcBorders>
            <w:shd w:val="clear" w:color="auto" w:fill="D9D9D9"/>
            <w:vAlign w:val="center"/>
          </w:tcPr>
          <w:p w14:paraId="1D95219E" w14:textId="77777777" w:rsidR="004D1B29" w:rsidRDefault="004D1B29">
            <w:pPr>
              <w:jc w:val="center"/>
              <w:rPr>
                <w:b/>
                <w:sz w:val="20"/>
                <w:szCs w:val="20"/>
              </w:rPr>
            </w:pPr>
            <w:r>
              <w:rPr>
                <w:b/>
                <w:sz w:val="20"/>
                <w:szCs w:val="20"/>
              </w:rPr>
              <w:t>Certainty</w:t>
            </w:r>
          </w:p>
        </w:tc>
        <w:tc>
          <w:tcPr>
            <w:tcW w:w="1134" w:type="dxa"/>
            <w:vMerge w:val="restart"/>
            <w:tcBorders>
              <w:top w:val="single" w:sz="6" w:space="0" w:color="000000"/>
              <w:left w:val="single" w:sz="6" w:space="0" w:color="000000"/>
              <w:right w:val="single" w:sz="6" w:space="0" w:color="000000"/>
            </w:tcBorders>
            <w:shd w:val="clear" w:color="auto" w:fill="D9D9D9"/>
            <w:vAlign w:val="center"/>
          </w:tcPr>
          <w:p w14:paraId="7D37789F" w14:textId="77777777" w:rsidR="004D1B29" w:rsidRDefault="004D1B29">
            <w:pPr>
              <w:jc w:val="center"/>
              <w:rPr>
                <w:b/>
                <w:sz w:val="20"/>
                <w:szCs w:val="20"/>
              </w:rPr>
            </w:pPr>
            <w:r>
              <w:rPr>
                <w:b/>
                <w:sz w:val="20"/>
                <w:szCs w:val="20"/>
              </w:rPr>
              <w:t>Importance</w:t>
            </w:r>
          </w:p>
        </w:tc>
      </w:tr>
      <w:tr w:rsidR="004D1B29" w14:paraId="5EC7C74A" w14:textId="77777777" w:rsidTr="00E14B2B">
        <w:tc>
          <w:tcPr>
            <w:tcW w:w="76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8ED4CCB" w14:textId="77777777" w:rsidR="004D1B29" w:rsidRDefault="004D1B29">
            <w:pPr>
              <w:jc w:val="center"/>
              <w:rPr>
                <w:b/>
                <w:sz w:val="20"/>
                <w:szCs w:val="20"/>
              </w:rPr>
            </w:pPr>
            <w:r>
              <w:rPr>
                <w:b/>
                <w:sz w:val="20"/>
                <w:szCs w:val="20"/>
              </w:rPr>
              <w:t>№ of studies</w:t>
            </w:r>
          </w:p>
        </w:tc>
        <w:tc>
          <w:tcPr>
            <w:tcW w:w="65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A7C93D" w14:textId="77777777" w:rsidR="004D1B29" w:rsidRDefault="004D1B29">
            <w:pPr>
              <w:jc w:val="center"/>
              <w:rPr>
                <w:b/>
                <w:sz w:val="20"/>
                <w:szCs w:val="20"/>
              </w:rPr>
            </w:pPr>
            <w:r>
              <w:rPr>
                <w:b/>
                <w:sz w:val="20"/>
                <w:szCs w:val="20"/>
              </w:rPr>
              <w:t>Study design</w:t>
            </w:r>
          </w:p>
        </w:tc>
        <w:tc>
          <w:tcPr>
            <w:tcW w:w="105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DFD331" w14:textId="77777777" w:rsidR="004D1B29" w:rsidRDefault="004D1B29">
            <w:pPr>
              <w:jc w:val="center"/>
              <w:rPr>
                <w:b/>
                <w:sz w:val="20"/>
                <w:szCs w:val="20"/>
              </w:rPr>
            </w:pPr>
            <w:r>
              <w:rPr>
                <w:b/>
                <w:sz w:val="20"/>
                <w:szCs w:val="20"/>
              </w:rPr>
              <w:t>Risk of bias</w:t>
            </w:r>
          </w:p>
        </w:tc>
        <w:tc>
          <w:tcPr>
            <w:tcW w:w="141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AB5FB30" w14:textId="77777777" w:rsidR="004D1B29" w:rsidRDefault="004D1B29">
            <w:pPr>
              <w:jc w:val="center"/>
              <w:rPr>
                <w:b/>
                <w:sz w:val="20"/>
                <w:szCs w:val="20"/>
              </w:rPr>
            </w:pPr>
            <w:r>
              <w:rPr>
                <w:b/>
                <w:sz w:val="20"/>
                <w:szCs w:val="20"/>
              </w:rPr>
              <w:t>Inconsistency</w:t>
            </w:r>
          </w:p>
        </w:tc>
        <w:tc>
          <w:tcPr>
            <w:tcW w:w="11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27218B5" w14:textId="77777777" w:rsidR="004D1B29" w:rsidRDefault="004D1B29">
            <w:pPr>
              <w:jc w:val="center"/>
              <w:rPr>
                <w:b/>
                <w:sz w:val="20"/>
                <w:szCs w:val="20"/>
              </w:rPr>
            </w:pPr>
            <w:r>
              <w:rPr>
                <w:b/>
                <w:sz w:val="20"/>
                <w:szCs w:val="20"/>
              </w:rPr>
              <w:t>Indirectness</w:t>
            </w:r>
          </w:p>
        </w:tc>
        <w:tc>
          <w:tcPr>
            <w:tcW w:w="88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2AC166" w14:textId="77777777" w:rsidR="004D1B29" w:rsidRDefault="004D1B29">
            <w:pPr>
              <w:jc w:val="center"/>
              <w:rPr>
                <w:b/>
                <w:sz w:val="20"/>
                <w:szCs w:val="20"/>
              </w:rPr>
            </w:pPr>
            <w:r>
              <w:rPr>
                <w:b/>
                <w:sz w:val="20"/>
                <w:szCs w:val="20"/>
              </w:rPr>
              <w:t>Imprecision</w:t>
            </w:r>
          </w:p>
        </w:tc>
        <w:tc>
          <w:tcPr>
            <w:tcW w:w="7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94A6A9A" w14:textId="77777777" w:rsidR="004D1B29" w:rsidRDefault="004D1B29">
            <w:pPr>
              <w:jc w:val="center"/>
              <w:rPr>
                <w:b/>
                <w:sz w:val="20"/>
                <w:szCs w:val="20"/>
              </w:rPr>
            </w:pPr>
            <w:r>
              <w:rPr>
                <w:b/>
                <w:sz w:val="20"/>
                <w:szCs w:val="20"/>
              </w:rPr>
              <w:t>Other considerations</w:t>
            </w:r>
          </w:p>
        </w:tc>
        <w:tc>
          <w:tcPr>
            <w:tcW w:w="132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6E87C39" w14:textId="77777777" w:rsidR="004D1B29" w:rsidRDefault="004D1B29">
            <w:pPr>
              <w:jc w:val="center"/>
              <w:rPr>
                <w:b/>
                <w:sz w:val="20"/>
                <w:szCs w:val="20"/>
              </w:rPr>
            </w:pPr>
            <w:r>
              <w:rPr>
                <w:b/>
                <w:sz w:val="20"/>
                <w:szCs w:val="20"/>
              </w:rPr>
              <w:t>IV Doxycycline</w:t>
            </w:r>
          </w:p>
        </w:tc>
        <w:tc>
          <w:tcPr>
            <w:tcW w:w="12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FF26E39" w14:textId="77777777" w:rsidR="004D1B29" w:rsidRDefault="004D1B29">
            <w:pPr>
              <w:jc w:val="center"/>
              <w:rPr>
                <w:b/>
                <w:sz w:val="20"/>
                <w:szCs w:val="20"/>
              </w:rPr>
            </w:pPr>
            <w:r>
              <w:rPr>
                <w:b/>
                <w:sz w:val="20"/>
                <w:szCs w:val="20"/>
              </w:rPr>
              <w:t>IV Penicillin G</w:t>
            </w:r>
          </w:p>
        </w:tc>
        <w:tc>
          <w:tcPr>
            <w:tcW w:w="129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27B608A" w14:textId="77777777" w:rsidR="004D1B29" w:rsidRDefault="004D1B29">
            <w:pPr>
              <w:jc w:val="center"/>
              <w:rPr>
                <w:b/>
                <w:sz w:val="20"/>
                <w:szCs w:val="20"/>
              </w:rPr>
            </w:pPr>
            <w:r>
              <w:rPr>
                <w:b/>
                <w:sz w:val="20"/>
                <w:szCs w:val="20"/>
              </w:rPr>
              <w:t>Relative</w:t>
            </w:r>
            <w:r>
              <w:rPr>
                <w:b/>
                <w:sz w:val="20"/>
                <w:szCs w:val="20"/>
              </w:rPr>
              <w:br/>
              <w:t>(95% CI)</w:t>
            </w:r>
          </w:p>
        </w:tc>
        <w:tc>
          <w:tcPr>
            <w:tcW w:w="224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337430" w14:textId="77777777" w:rsidR="004D1B29" w:rsidRDefault="004D1B29">
            <w:pPr>
              <w:jc w:val="center"/>
              <w:rPr>
                <w:b/>
                <w:sz w:val="20"/>
                <w:szCs w:val="20"/>
              </w:rPr>
            </w:pPr>
            <w:r>
              <w:rPr>
                <w:b/>
                <w:sz w:val="20"/>
                <w:szCs w:val="20"/>
              </w:rPr>
              <w:t>Absolute</w:t>
            </w:r>
            <w:r>
              <w:rPr>
                <w:b/>
                <w:sz w:val="20"/>
                <w:szCs w:val="20"/>
              </w:rPr>
              <w:br/>
              <w:t>(95% CI)</w:t>
            </w:r>
          </w:p>
        </w:tc>
        <w:tc>
          <w:tcPr>
            <w:tcW w:w="1134" w:type="dxa"/>
            <w:vMerge/>
            <w:tcBorders>
              <w:left w:val="single" w:sz="6" w:space="0" w:color="000000"/>
              <w:bottom w:val="single" w:sz="6" w:space="0" w:color="000000"/>
              <w:right w:val="single" w:sz="6" w:space="0" w:color="000000"/>
            </w:tcBorders>
            <w:shd w:val="clear" w:color="auto" w:fill="D9D9D9"/>
            <w:vAlign w:val="center"/>
          </w:tcPr>
          <w:p w14:paraId="0AFD1834" w14:textId="77777777" w:rsidR="004D1B29" w:rsidRDefault="004D1B29">
            <w:pPr>
              <w:rPr>
                <w:b/>
                <w:sz w:val="20"/>
                <w:szCs w:val="20"/>
              </w:rPr>
            </w:pPr>
          </w:p>
        </w:tc>
        <w:tc>
          <w:tcPr>
            <w:tcW w:w="1134" w:type="dxa"/>
            <w:vMerge/>
            <w:tcBorders>
              <w:left w:val="single" w:sz="6" w:space="0" w:color="000000"/>
              <w:bottom w:val="single" w:sz="6" w:space="0" w:color="000000"/>
              <w:right w:val="single" w:sz="6" w:space="0" w:color="000000"/>
            </w:tcBorders>
            <w:shd w:val="clear" w:color="auto" w:fill="D9D9D9"/>
            <w:vAlign w:val="center"/>
          </w:tcPr>
          <w:p w14:paraId="2A96304D" w14:textId="77777777" w:rsidR="004D1B29" w:rsidRDefault="004D1B29">
            <w:pPr>
              <w:rPr>
                <w:b/>
                <w:sz w:val="20"/>
                <w:szCs w:val="20"/>
              </w:rPr>
            </w:pPr>
          </w:p>
        </w:tc>
      </w:tr>
      <w:tr w:rsidR="002D58E4" w14:paraId="6292E627" w14:textId="77777777" w:rsidTr="004D1B29">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1353DDC" w14:textId="77777777" w:rsidR="002D58E4" w:rsidRDefault="00F721D4">
            <w:pPr>
              <w:rPr>
                <w:i/>
                <w:sz w:val="20"/>
                <w:szCs w:val="20"/>
              </w:rPr>
            </w:pPr>
            <w:r>
              <w:rPr>
                <w:b/>
                <w:sz w:val="20"/>
                <w:szCs w:val="20"/>
              </w:rPr>
              <w:t xml:space="preserve">Improvement of Neurologic Lyme Symptoms </w:t>
            </w:r>
            <w:r>
              <w:rPr>
                <w:sz w:val="20"/>
                <w:szCs w:val="20"/>
              </w:rPr>
              <w:t>(at 2 weeks) *</w:t>
            </w:r>
            <w:r>
              <w:rPr>
                <w:b/>
                <w:sz w:val="20"/>
                <w:szCs w:val="20"/>
              </w:rPr>
              <w:t xml:space="preserve">  </w:t>
            </w:r>
          </w:p>
        </w:tc>
      </w:tr>
      <w:tr w:rsidR="002D58E4" w14:paraId="7ED628CE" w14:textId="77777777" w:rsidTr="004D1B29">
        <w:tc>
          <w:tcPr>
            <w:tcW w:w="764" w:type="dxa"/>
            <w:tcBorders>
              <w:top w:val="single" w:sz="6" w:space="0" w:color="000000"/>
              <w:left w:val="single" w:sz="6" w:space="0" w:color="000000"/>
              <w:bottom w:val="single" w:sz="6" w:space="0" w:color="000000"/>
              <w:right w:val="single" w:sz="6" w:space="0" w:color="000000"/>
            </w:tcBorders>
          </w:tcPr>
          <w:p w14:paraId="38946014" w14:textId="77777777" w:rsidR="002D58E4" w:rsidRDefault="00F721D4">
            <w:pPr>
              <w:rPr>
                <w:sz w:val="20"/>
                <w:szCs w:val="20"/>
              </w:rPr>
            </w:pPr>
            <w:r>
              <w:rPr>
                <w:sz w:val="20"/>
                <w:szCs w:val="20"/>
              </w:rPr>
              <w:t xml:space="preserve">1 </w:t>
            </w:r>
          </w:p>
        </w:tc>
        <w:tc>
          <w:tcPr>
            <w:tcW w:w="653" w:type="dxa"/>
            <w:tcBorders>
              <w:top w:val="single" w:sz="6" w:space="0" w:color="000000"/>
              <w:left w:val="single" w:sz="6" w:space="0" w:color="000000"/>
              <w:bottom w:val="single" w:sz="6" w:space="0" w:color="000000"/>
              <w:right w:val="single" w:sz="6" w:space="0" w:color="000000"/>
            </w:tcBorders>
          </w:tcPr>
          <w:p w14:paraId="2F36A70C" w14:textId="77777777" w:rsidR="002D58E4" w:rsidRDefault="00F721D4">
            <w:pPr>
              <w:rPr>
                <w:sz w:val="20"/>
                <w:szCs w:val="20"/>
              </w:rPr>
            </w:pPr>
            <w:r>
              <w:rPr>
                <w:sz w:val="20"/>
                <w:szCs w:val="20"/>
              </w:rPr>
              <w:t>R</w:t>
            </w:r>
            <w:r>
              <w:t>CT</w:t>
            </w:r>
            <w:r>
              <w:rPr>
                <w:sz w:val="20"/>
                <w:szCs w:val="20"/>
              </w:rPr>
              <w:t xml:space="preserve"> </w:t>
            </w:r>
            <w:r>
              <w:rPr>
                <w:sz w:val="20"/>
                <w:szCs w:val="20"/>
                <w:vertAlign w:val="superscript"/>
              </w:rPr>
              <w:t xml:space="preserve">1 </w:t>
            </w:r>
          </w:p>
        </w:tc>
        <w:tc>
          <w:tcPr>
            <w:tcW w:w="1053" w:type="dxa"/>
            <w:tcBorders>
              <w:top w:val="single" w:sz="6" w:space="0" w:color="000000"/>
              <w:left w:val="single" w:sz="6" w:space="0" w:color="000000"/>
              <w:bottom w:val="single" w:sz="6" w:space="0" w:color="000000"/>
              <w:right w:val="single" w:sz="6" w:space="0" w:color="000000"/>
            </w:tcBorders>
          </w:tcPr>
          <w:p w14:paraId="5EB351A5" w14:textId="77777777" w:rsidR="002D58E4" w:rsidRDefault="00F721D4">
            <w:pPr>
              <w:rPr>
                <w:sz w:val="20"/>
                <w:szCs w:val="20"/>
              </w:rPr>
            </w:pPr>
            <w:r>
              <w:rPr>
                <w:sz w:val="20"/>
                <w:szCs w:val="20"/>
              </w:rPr>
              <w:t xml:space="preserve">not serious </w:t>
            </w:r>
          </w:p>
        </w:tc>
        <w:tc>
          <w:tcPr>
            <w:tcW w:w="1412" w:type="dxa"/>
            <w:tcBorders>
              <w:top w:val="single" w:sz="6" w:space="0" w:color="000000"/>
              <w:left w:val="single" w:sz="6" w:space="0" w:color="000000"/>
              <w:bottom w:val="single" w:sz="6" w:space="0" w:color="000000"/>
              <w:right w:val="single" w:sz="6" w:space="0" w:color="000000"/>
            </w:tcBorders>
          </w:tcPr>
          <w:p w14:paraId="2050226D" w14:textId="77777777" w:rsidR="002D58E4" w:rsidRDefault="00F721D4">
            <w:pPr>
              <w:rPr>
                <w:sz w:val="20"/>
                <w:szCs w:val="20"/>
              </w:rPr>
            </w:pPr>
            <w:r>
              <w:rPr>
                <w:sz w:val="20"/>
                <w:szCs w:val="20"/>
              </w:rPr>
              <w:t>not serious</w:t>
            </w:r>
          </w:p>
        </w:tc>
        <w:tc>
          <w:tcPr>
            <w:tcW w:w="1118" w:type="dxa"/>
            <w:tcBorders>
              <w:top w:val="single" w:sz="6" w:space="0" w:color="000000"/>
              <w:left w:val="single" w:sz="6" w:space="0" w:color="000000"/>
              <w:bottom w:val="single" w:sz="6" w:space="0" w:color="000000"/>
              <w:right w:val="single" w:sz="6" w:space="0" w:color="000000"/>
            </w:tcBorders>
          </w:tcPr>
          <w:p w14:paraId="3D457043" w14:textId="77777777" w:rsidR="002D58E4" w:rsidRDefault="00F721D4">
            <w:pPr>
              <w:rPr>
                <w:sz w:val="20"/>
                <w:szCs w:val="20"/>
              </w:rPr>
            </w:pPr>
            <w:r>
              <w:rPr>
                <w:sz w:val="20"/>
                <w:szCs w:val="20"/>
              </w:rPr>
              <w:t xml:space="preserve">not serious </w:t>
            </w:r>
          </w:p>
        </w:tc>
        <w:tc>
          <w:tcPr>
            <w:tcW w:w="882" w:type="dxa"/>
            <w:tcBorders>
              <w:top w:val="single" w:sz="6" w:space="0" w:color="000000"/>
              <w:left w:val="single" w:sz="6" w:space="0" w:color="000000"/>
              <w:bottom w:val="single" w:sz="6" w:space="0" w:color="000000"/>
              <w:right w:val="single" w:sz="6" w:space="0" w:color="000000"/>
            </w:tcBorders>
          </w:tcPr>
          <w:p w14:paraId="2BF08AD0" w14:textId="77777777" w:rsidR="002D58E4" w:rsidRDefault="00F721D4">
            <w:pPr>
              <w:rPr>
                <w:sz w:val="20"/>
                <w:szCs w:val="20"/>
              </w:rPr>
            </w:pPr>
            <w:r>
              <w:rPr>
                <w:sz w:val="20"/>
                <w:szCs w:val="20"/>
              </w:rPr>
              <w:t xml:space="preserve">serious </w:t>
            </w:r>
            <w:r>
              <w:rPr>
                <w:sz w:val="20"/>
                <w:szCs w:val="20"/>
                <w:vertAlign w:val="superscript"/>
              </w:rPr>
              <w:t>a</w:t>
            </w:r>
          </w:p>
        </w:tc>
        <w:tc>
          <w:tcPr>
            <w:tcW w:w="778" w:type="dxa"/>
            <w:tcBorders>
              <w:top w:val="single" w:sz="6" w:space="0" w:color="000000"/>
              <w:left w:val="single" w:sz="6" w:space="0" w:color="000000"/>
              <w:bottom w:val="single" w:sz="6" w:space="0" w:color="000000"/>
              <w:right w:val="single" w:sz="6" w:space="0" w:color="000000"/>
            </w:tcBorders>
          </w:tcPr>
          <w:p w14:paraId="460A2A8C" w14:textId="77777777" w:rsidR="002D58E4" w:rsidRDefault="00F721D4">
            <w:pPr>
              <w:rPr>
                <w:sz w:val="20"/>
                <w:szCs w:val="20"/>
              </w:rPr>
            </w:pPr>
            <w:r>
              <w:rPr>
                <w:sz w:val="20"/>
                <w:szCs w:val="20"/>
              </w:rPr>
              <w:t xml:space="preserve">none </w:t>
            </w:r>
          </w:p>
        </w:tc>
        <w:tc>
          <w:tcPr>
            <w:tcW w:w="1326" w:type="dxa"/>
            <w:tcBorders>
              <w:top w:val="single" w:sz="6" w:space="0" w:color="000000"/>
              <w:left w:val="single" w:sz="6" w:space="0" w:color="000000"/>
              <w:bottom w:val="single" w:sz="6" w:space="0" w:color="000000"/>
              <w:right w:val="single" w:sz="6" w:space="0" w:color="000000"/>
            </w:tcBorders>
          </w:tcPr>
          <w:p w14:paraId="0F0F26A9" w14:textId="77777777" w:rsidR="002D58E4" w:rsidRDefault="00F721D4">
            <w:pPr>
              <w:jc w:val="center"/>
              <w:rPr>
                <w:sz w:val="20"/>
                <w:szCs w:val="20"/>
              </w:rPr>
            </w:pPr>
            <w:r>
              <w:rPr>
                <w:sz w:val="20"/>
                <w:szCs w:val="20"/>
              </w:rPr>
              <w:t xml:space="preserve">33/39 </w:t>
            </w:r>
          </w:p>
          <w:p w14:paraId="534AE727" w14:textId="77777777" w:rsidR="002D58E4" w:rsidRDefault="00F721D4">
            <w:pPr>
              <w:jc w:val="center"/>
              <w:rPr>
                <w:sz w:val="20"/>
                <w:szCs w:val="20"/>
              </w:rPr>
            </w:pPr>
            <w:r>
              <w:rPr>
                <w:sz w:val="20"/>
                <w:szCs w:val="20"/>
              </w:rPr>
              <w:t xml:space="preserve">(84.6%) </w:t>
            </w:r>
          </w:p>
        </w:tc>
        <w:tc>
          <w:tcPr>
            <w:tcW w:w="1229" w:type="dxa"/>
            <w:tcBorders>
              <w:top w:val="single" w:sz="6" w:space="0" w:color="000000"/>
              <w:left w:val="single" w:sz="6" w:space="0" w:color="000000"/>
              <w:bottom w:val="single" w:sz="6" w:space="0" w:color="000000"/>
              <w:right w:val="single" w:sz="6" w:space="0" w:color="000000"/>
            </w:tcBorders>
          </w:tcPr>
          <w:p w14:paraId="7B92A120" w14:textId="77777777" w:rsidR="002D58E4" w:rsidRDefault="00F721D4">
            <w:pPr>
              <w:jc w:val="center"/>
              <w:rPr>
                <w:sz w:val="20"/>
                <w:szCs w:val="20"/>
              </w:rPr>
            </w:pPr>
            <w:r>
              <w:rPr>
                <w:sz w:val="20"/>
                <w:szCs w:val="20"/>
              </w:rPr>
              <w:t xml:space="preserve">29/36 </w:t>
            </w:r>
          </w:p>
          <w:p w14:paraId="433C4049" w14:textId="77777777" w:rsidR="002D58E4" w:rsidRDefault="00F721D4">
            <w:pPr>
              <w:jc w:val="center"/>
              <w:rPr>
                <w:sz w:val="20"/>
                <w:szCs w:val="20"/>
              </w:rPr>
            </w:pPr>
            <w:r>
              <w:rPr>
                <w:sz w:val="20"/>
                <w:szCs w:val="20"/>
              </w:rPr>
              <w:t xml:space="preserve">(80.6%) </w:t>
            </w:r>
          </w:p>
        </w:tc>
        <w:tc>
          <w:tcPr>
            <w:tcW w:w="1298" w:type="dxa"/>
            <w:tcBorders>
              <w:top w:val="single" w:sz="6" w:space="0" w:color="000000"/>
              <w:left w:val="single" w:sz="6" w:space="0" w:color="000000"/>
              <w:bottom w:val="single" w:sz="6" w:space="0" w:color="000000"/>
              <w:right w:val="single" w:sz="6" w:space="0" w:color="000000"/>
            </w:tcBorders>
          </w:tcPr>
          <w:p w14:paraId="797B0D81" w14:textId="77777777" w:rsidR="002D58E4" w:rsidRDefault="00F721D4">
            <w:pPr>
              <w:jc w:val="center"/>
              <w:rPr>
                <w:sz w:val="20"/>
                <w:szCs w:val="20"/>
              </w:rPr>
            </w:pPr>
            <w:r>
              <w:rPr>
                <w:sz w:val="20"/>
                <w:szCs w:val="20"/>
              </w:rPr>
              <w:t>RR 1.05</w:t>
            </w:r>
            <w:r>
              <w:rPr>
                <w:sz w:val="20"/>
                <w:szCs w:val="20"/>
              </w:rPr>
              <w:br/>
              <w:t xml:space="preserve">(0.85 to 1.29) </w:t>
            </w:r>
          </w:p>
        </w:tc>
        <w:tc>
          <w:tcPr>
            <w:tcW w:w="2245" w:type="dxa"/>
            <w:tcBorders>
              <w:top w:val="single" w:sz="6" w:space="0" w:color="000000"/>
              <w:left w:val="single" w:sz="6" w:space="0" w:color="000000"/>
              <w:bottom w:val="single" w:sz="6" w:space="0" w:color="000000"/>
              <w:right w:val="single" w:sz="6" w:space="0" w:color="000000"/>
            </w:tcBorders>
          </w:tcPr>
          <w:p w14:paraId="00C1F7AB" w14:textId="77777777" w:rsidR="002D58E4" w:rsidRDefault="00F721D4">
            <w:pPr>
              <w:jc w:val="center"/>
              <w:rPr>
                <w:sz w:val="20"/>
                <w:szCs w:val="20"/>
              </w:rPr>
            </w:pPr>
            <w:r>
              <w:rPr>
                <w:sz w:val="20"/>
                <w:szCs w:val="20"/>
              </w:rPr>
              <w:t>40 more per 1,000</w:t>
            </w:r>
            <w:r>
              <w:rPr>
                <w:sz w:val="20"/>
                <w:szCs w:val="20"/>
              </w:rPr>
              <w:br/>
              <w:t xml:space="preserve">(from 121 fewer to 234 more) </w:t>
            </w:r>
          </w:p>
        </w:tc>
        <w:tc>
          <w:tcPr>
            <w:tcW w:w="1134" w:type="dxa"/>
            <w:tcBorders>
              <w:top w:val="single" w:sz="6" w:space="0" w:color="000000"/>
              <w:left w:val="single" w:sz="6" w:space="0" w:color="000000"/>
              <w:bottom w:val="single" w:sz="6" w:space="0" w:color="000000"/>
              <w:right w:val="single" w:sz="6" w:space="0" w:color="000000"/>
            </w:tcBorders>
          </w:tcPr>
          <w:p w14:paraId="2C46FA85"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34" w:type="dxa"/>
            <w:tcBorders>
              <w:top w:val="single" w:sz="6" w:space="0" w:color="000000"/>
              <w:left w:val="single" w:sz="6" w:space="0" w:color="000000"/>
              <w:bottom w:val="single" w:sz="6" w:space="0" w:color="000000"/>
              <w:right w:val="single" w:sz="6" w:space="0" w:color="000000"/>
            </w:tcBorders>
          </w:tcPr>
          <w:p w14:paraId="3A0577EA" w14:textId="77777777" w:rsidR="002D58E4" w:rsidRDefault="00F721D4">
            <w:pPr>
              <w:rPr>
                <w:sz w:val="20"/>
                <w:szCs w:val="20"/>
              </w:rPr>
            </w:pPr>
            <w:r>
              <w:rPr>
                <w:sz w:val="20"/>
                <w:szCs w:val="20"/>
              </w:rPr>
              <w:t xml:space="preserve">CRITICAL </w:t>
            </w:r>
          </w:p>
        </w:tc>
      </w:tr>
      <w:tr w:rsidR="002D58E4" w14:paraId="03AF3FE0" w14:textId="77777777" w:rsidTr="004D1B29">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8E8526E" w14:textId="77777777" w:rsidR="002D58E4" w:rsidRDefault="00F721D4">
            <w:pPr>
              <w:rPr>
                <w:b/>
                <w:sz w:val="20"/>
                <w:szCs w:val="20"/>
              </w:rPr>
            </w:pPr>
            <w:r>
              <w:rPr>
                <w:b/>
                <w:sz w:val="20"/>
                <w:szCs w:val="20"/>
              </w:rPr>
              <w:t xml:space="preserve">Patients Requiring Retreatment due to Relapse </w:t>
            </w:r>
            <w:r>
              <w:rPr>
                <w:sz w:val="20"/>
                <w:szCs w:val="20"/>
              </w:rPr>
              <w:t>(at mean time of 5 months)</w:t>
            </w:r>
          </w:p>
        </w:tc>
      </w:tr>
      <w:tr w:rsidR="002D58E4" w14:paraId="20F8D50A" w14:textId="77777777" w:rsidTr="004D1B29">
        <w:tc>
          <w:tcPr>
            <w:tcW w:w="764" w:type="dxa"/>
            <w:tcBorders>
              <w:top w:val="single" w:sz="6" w:space="0" w:color="000000"/>
              <w:left w:val="single" w:sz="6" w:space="0" w:color="000000"/>
              <w:bottom w:val="single" w:sz="6" w:space="0" w:color="000000"/>
              <w:right w:val="single" w:sz="6" w:space="0" w:color="000000"/>
            </w:tcBorders>
          </w:tcPr>
          <w:p w14:paraId="753215DD" w14:textId="77777777" w:rsidR="002D58E4" w:rsidRDefault="00F721D4">
            <w:pPr>
              <w:rPr>
                <w:sz w:val="20"/>
                <w:szCs w:val="20"/>
              </w:rPr>
            </w:pPr>
            <w:r>
              <w:rPr>
                <w:sz w:val="20"/>
                <w:szCs w:val="20"/>
              </w:rPr>
              <w:t xml:space="preserve">1 </w:t>
            </w:r>
          </w:p>
        </w:tc>
        <w:tc>
          <w:tcPr>
            <w:tcW w:w="653" w:type="dxa"/>
            <w:tcBorders>
              <w:top w:val="single" w:sz="6" w:space="0" w:color="000000"/>
              <w:left w:val="single" w:sz="6" w:space="0" w:color="000000"/>
              <w:bottom w:val="single" w:sz="6" w:space="0" w:color="000000"/>
              <w:right w:val="single" w:sz="6" w:space="0" w:color="000000"/>
            </w:tcBorders>
          </w:tcPr>
          <w:p w14:paraId="1D7DC6E8" w14:textId="77777777" w:rsidR="002D58E4" w:rsidRDefault="00F721D4">
            <w:pPr>
              <w:rPr>
                <w:sz w:val="20"/>
                <w:szCs w:val="20"/>
              </w:rPr>
            </w:pPr>
            <w:r>
              <w:rPr>
                <w:sz w:val="20"/>
                <w:szCs w:val="20"/>
              </w:rPr>
              <w:t>R</w:t>
            </w:r>
            <w:r>
              <w:t>CT</w:t>
            </w:r>
            <w:r>
              <w:rPr>
                <w:sz w:val="20"/>
                <w:szCs w:val="20"/>
              </w:rPr>
              <w:t xml:space="preserve"> </w:t>
            </w:r>
            <w:r>
              <w:rPr>
                <w:sz w:val="20"/>
                <w:szCs w:val="20"/>
                <w:vertAlign w:val="superscript"/>
              </w:rPr>
              <w:t>1</w:t>
            </w:r>
          </w:p>
        </w:tc>
        <w:tc>
          <w:tcPr>
            <w:tcW w:w="1053" w:type="dxa"/>
            <w:tcBorders>
              <w:top w:val="single" w:sz="6" w:space="0" w:color="000000"/>
              <w:left w:val="single" w:sz="6" w:space="0" w:color="000000"/>
              <w:bottom w:val="single" w:sz="6" w:space="0" w:color="000000"/>
              <w:right w:val="single" w:sz="6" w:space="0" w:color="000000"/>
            </w:tcBorders>
          </w:tcPr>
          <w:p w14:paraId="7D44836D" w14:textId="77777777" w:rsidR="002D58E4" w:rsidRDefault="00F721D4">
            <w:pPr>
              <w:rPr>
                <w:sz w:val="20"/>
                <w:szCs w:val="20"/>
              </w:rPr>
            </w:pPr>
            <w:r>
              <w:rPr>
                <w:sz w:val="20"/>
                <w:szCs w:val="20"/>
              </w:rPr>
              <w:t xml:space="preserve">not serious </w:t>
            </w:r>
          </w:p>
        </w:tc>
        <w:tc>
          <w:tcPr>
            <w:tcW w:w="1412" w:type="dxa"/>
            <w:tcBorders>
              <w:top w:val="single" w:sz="6" w:space="0" w:color="000000"/>
              <w:left w:val="single" w:sz="6" w:space="0" w:color="000000"/>
              <w:bottom w:val="single" w:sz="6" w:space="0" w:color="000000"/>
              <w:right w:val="single" w:sz="6" w:space="0" w:color="000000"/>
            </w:tcBorders>
          </w:tcPr>
          <w:p w14:paraId="4872E1EF" w14:textId="77777777" w:rsidR="002D58E4" w:rsidRDefault="00F721D4">
            <w:pPr>
              <w:rPr>
                <w:sz w:val="20"/>
                <w:szCs w:val="20"/>
              </w:rPr>
            </w:pPr>
            <w:r>
              <w:rPr>
                <w:sz w:val="20"/>
                <w:szCs w:val="20"/>
              </w:rPr>
              <w:t>not serious</w:t>
            </w:r>
          </w:p>
        </w:tc>
        <w:tc>
          <w:tcPr>
            <w:tcW w:w="1118" w:type="dxa"/>
            <w:tcBorders>
              <w:top w:val="single" w:sz="6" w:space="0" w:color="000000"/>
              <w:left w:val="single" w:sz="6" w:space="0" w:color="000000"/>
              <w:bottom w:val="single" w:sz="6" w:space="0" w:color="000000"/>
              <w:right w:val="single" w:sz="6" w:space="0" w:color="000000"/>
            </w:tcBorders>
          </w:tcPr>
          <w:p w14:paraId="7A52790B" w14:textId="77777777" w:rsidR="002D58E4" w:rsidRDefault="00F721D4">
            <w:pPr>
              <w:rPr>
                <w:sz w:val="20"/>
                <w:szCs w:val="20"/>
              </w:rPr>
            </w:pPr>
            <w:r>
              <w:rPr>
                <w:sz w:val="20"/>
                <w:szCs w:val="20"/>
              </w:rPr>
              <w:t xml:space="preserve">not serious </w:t>
            </w:r>
          </w:p>
        </w:tc>
        <w:tc>
          <w:tcPr>
            <w:tcW w:w="882" w:type="dxa"/>
            <w:tcBorders>
              <w:top w:val="single" w:sz="6" w:space="0" w:color="000000"/>
              <w:left w:val="single" w:sz="6" w:space="0" w:color="000000"/>
              <w:bottom w:val="single" w:sz="6" w:space="0" w:color="000000"/>
              <w:right w:val="single" w:sz="6" w:space="0" w:color="000000"/>
            </w:tcBorders>
          </w:tcPr>
          <w:p w14:paraId="48FA986D" w14:textId="77777777" w:rsidR="002D58E4" w:rsidRDefault="00F721D4">
            <w:pPr>
              <w:rPr>
                <w:sz w:val="20"/>
                <w:szCs w:val="20"/>
              </w:rPr>
            </w:pPr>
            <w:r>
              <w:rPr>
                <w:sz w:val="20"/>
                <w:szCs w:val="20"/>
              </w:rPr>
              <w:t xml:space="preserve">serious </w:t>
            </w:r>
            <w:r>
              <w:rPr>
                <w:sz w:val="20"/>
                <w:szCs w:val="20"/>
                <w:vertAlign w:val="superscript"/>
              </w:rPr>
              <w:t>a,</w:t>
            </w:r>
          </w:p>
        </w:tc>
        <w:tc>
          <w:tcPr>
            <w:tcW w:w="778" w:type="dxa"/>
            <w:tcBorders>
              <w:top w:val="single" w:sz="6" w:space="0" w:color="000000"/>
              <w:left w:val="single" w:sz="6" w:space="0" w:color="000000"/>
              <w:bottom w:val="single" w:sz="6" w:space="0" w:color="000000"/>
              <w:right w:val="single" w:sz="6" w:space="0" w:color="000000"/>
            </w:tcBorders>
          </w:tcPr>
          <w:p w14:paraId="50B66A22" w14:textId="77777777" w:rsidR="002D58E4" w:rsidRDefault="00F721D4">
            <w:pPr>
              <w:rPr>
                <w:sz w:val="20"/>
                <w:szCs w:val="20"/>
              </w:rPr>
            </w:pPr>
            <w:r>
              <w:rPr>
                <w:sz w:val="20"/>
                <w:szCs w:val="20"/>
              </w:rPr>
              <w:t xml:space="preserve">none </w:t>
            </w:r>
          </w:p>
        </w:tc>
        <w:tc>
          <w:tcPr>
            <w:tcW w:w="1326" w:type="dxa"/>
            <w:tcBorders>
              <w:top w:val="single" w:sz="6" w:space="0" w:color="000000"/>
              <w:left w:val="single" w:sz="6" w:space="0" w:color="000000"/>
              <w:bottom w:val="single" w:sz="6" w:space="0" w:color="000000"/>
              <w:right w:val="single" w:sz="6" w:space="0" w:color="000000"/>
            </w:tcBorders>
          </w:tcPr>
          <w:p w14:paraId="011280B5" w14:textId="77777777" w:rsidR="002D58E4" w:rsidRDefault="00F721D4">
            <w:pPr>
              <w:jc w:val="center"/>
              <w:rPr>
                <w:sz w:val="20"/>
                <w:szCs w:val="20"/>
              </w:rPr>
            </w:pPr>
            <w:r>
              <w:rPr>
                <w:sz w:val="20"/>
                <w:szCs w:val="20"/>
              </w:rPr>
              <w:t xml:space="preserve">6/39 </w:t>
            </w:r>
          </w:p>
          <w:p w14:paraId="3DE057E0" w14:textId="77777777" w:rsidR="002D58E4" w:rsidRDefault="00F721D4">
            <w:pPr>
              <w:jc w:val="center"/>
              <w:rPr>
                <w:sz w:val="20"/>
                <w:szCs w:val="20"/>
              </w:rPr>
            </w:pPr>
            <w:r>
              <w:rPr>
                <w:sz w:val="20"/>
                <w:szCs w:val="20"/>
              </w:rPr>
              <w:t xml:space="preserve">(15.4%) </w:t>
            </w:r>
          </w:p>
        </w:tc>
        <w:tc>
          <w:tcPr>
            <w:tcW w:w="1229" w:type="dxa"/>
            <w:tcBorders>
              <w:top w:val="single" w:sz="6" w:space="0" w:color="000000"/>
              <w:left w:val="single" w:sz="6" w:space="0" w:color="000000"/>
              <w:bottom w:val="single" w:sz="6" w:space="0" w:color="000000"/>
              <w:right w:val="single" w:sz="6" w:space="0" w:color="000000"/>
            </w:tcBorders>
          </w:tcPr>
          <w:p w14:paraId="62980816" w14:textId="77777777" w:rsidR="002D58E4" w:rsidRDefault="00F721D4">
            <w:pPr>
              <w:jc w:val="center"/>
              <w:rPr>
                <w:sz w:val="20"/>
                <w:szCs w:val="20"/>
              </w:rPr>
            </w:pPr>
            <w:r>
              <w:rPr>
                <w:sz w:val="20"/>
                <w:szCs w:val="20"/>
              </w:rPr>
              <w:t xml:space="preserve">4/36 </w:t>
            </w:r>
          </w:p>
          <w:p w14:paraId="7D7B25E1" w14:textId="77777777" w:rsidR="002D58E4" w:rsidRDefault="00F721D4">
            <w:pPr>
              <w:jc w:val="center"/>
              <w:rPr>
                <w:sz w:val="20"/>
                <w:szCs w:val="20"/>
              </w:rPr>
            </w:pPr>
            <w:r>
              <w:rPr>
                <w:sz w:val="20"/>
                <w:szCs w:val="20"/>
              </w:rPr>
              <w:t xml:space="preserve">(11.1%) </w:t>
            </w:r>
          </w:p>
        </w:tc>
        <w:tc>
          <w:tcPr>
            <w:tcW w:w="1298" w:type="dxa"/>
            <w:tcBorders>
              <w:top w:val="single" w:sz="6" w:space="0" w:color="000000"/>
              <w:left w:val="single" w:sz="6" w:space="0" w:color="000000"/>
              <w:bottom w:val="single" w:sz="6" w:space="0" w:color="000000"/>
              <w:right w:val="single" w:sz="6" w:space="0" w:color="000000"/>
            </w:tcBorders>
          </w:tcPr>
          <w:p w14:paraId="78692C89" w14:textId="77777777" w:rsidR="002D58E4" w:rsidRDefault="00F721D4">
            <w:pPr>
              <w:jc w:val="center"/>
              <w:rPr>
                <w:sz w:val="20"/>
                <w:szCs w:val="20"/>
              </w:rPr>
            </w:pPr>
            <w:r>
              <w:rPr>
                <w:sz w:val="20"/>
                <w:szCs w:val="20"/>
              </w:rPr>
              <w:t>RR 1.38</w:t>
            </w:r>
            <w:r>
              <w:rPr>
                <w:sz w:val="20"/>
                <w:szCs w:val="20"/>
              </w:rPr>
              <w:br/>
              <w:t xml:space="preserve">(0.42 to 4.51) </w:t>
            </w:r>
          </w:p>
        </w:tc>
        <w:tc>
          <w:tcPr>
            <w:tcW w:w="2245" w:type="dxa"/>
            <w:tcBorders>
              <w:top w:val="single" w:sz="6" w:space="0" w:color="000000"/>
              <w:left w:val="single" w:sz="6" w:space="0" w:color="000000"/>
              <w:bottom w:val="single" w:sz="6" w:space="0" w:color="000000"/>
              <w:right w:val="single" w:sz="6" w:space="0" w:color="000000"/>
            </w:tcBorders>
          </w:tcPr>
          <w:p w14:paraId="75DE7116" w14:textId="77777777" w:rsidR="002D58E4" w:rsidRDefault="00F721D4">
            <w:pPr>
              <w:jc w:val="center"/>
              <w:rPr>
                <w:sz w:val="20"/>
                <w:szCs w:val="20"/>
              </w:rPr>
            </w:pPr>
            <w:r>
              <w:rPr>
                <w:sz w:val="20"/>
                <w:szCs w:val="20"/>
              </w:rPr>
              <w:t>42 more per 1,000</w:t>
            </w:r>
            <w:r>
              <w:rPr>
                <w:sz w:val="20"/>
                <w:szCs w:val="20"/>
              </w:rPr>
              <w:br/>
              <w:t xml:space="preserve">(from 64 fewer to 390 more) </w:t>
            </w:r>
          </w:p>
        </w:tc>
        <w:tc>
          <w:tcPr>
            <w:tcW w:w="1134" w:type="dxa"/>
            <w:tcBorders>
              <w:top w:val="single" w:sz="6" w:space="0" w:color="000000"/>
              <w:left w:val="single" w:sz="6" w:space="0" w:color="000000"/>
              <w:bottom w:val="single" w:sz="6" w:space="0" w:color="000000"/>
              <w:right w:val="single" w:sz="6" w:space="0" w:color="000000"/>
            </w:tcBorders>
          </w:tcPr>
          <w:p w14:paraId="71A559C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34" w:type="dxa"/>
            <w:tcBorders>
              <w:top w:val="single" w:sz="6" w:space="0" w:color="000000"/>
              <w:left w:val="single" w:sz="6" w:space="0" w:color="000000"/>
              <w:bottom w:val="single" w:sz="6" w:space="0" w:color="000000"/>
              <w:right w:val="single" w:sz="6" w:space="0" w:color="000000"/>
            </w:tcBorders>
          </w:tcPr>
          <w:p w14:paraId="6F72A3E0" w14:textId="77777777" w:rsidR="002D58E4" w:rsidRDefault="00F721D4">
            <w:pPr>
              <w:rPr>
                <w:sz w:val="20"/>
                <w:szCs w:val="20"/>
              </w:rPr>
            </w:pPr>
            <w:r>
              <w:rPr>
                <w:sz w:val="20"/>
                <w:szCs w:val="20"/>
              </w:rPr>
              <w:t>CRITICAL</w:t>
            </w:r>
          </w:p>
          <w:p w14:paraId="1C05AE34" w14:textId="77777777" w:rsidR="002D58E4" w:rsidRDefault="00F721D4">
            <w:pPr>
              <w:rPr>
                <w:sz w:val="20"/>
                <w:szCs w:val="20"/>
              </w:rPr>
            </w:pPr>
            <w:r>
              <w:rPr>
                <w:sz w:val="20"/>
                <w:szCs w:val="20"/>
              </w:rPr>
              <w:t xml:space="preserve"> </w:t>
            </w:r>
          </w:p>
        </w:tc>
      </w:tr>
    </w:tbl>
    <w:p w14:paraId="05119370" w14:textId="77777777" w:rsidR="002D58E4" w:rsidRDefault="00F721D4">
      <w:pPr>
        <w:pBdr>
          <w:top w:val="nil"/>
          <w:left w:val="nil"/>
          <w:bottom w:val="nil"/>
          <w:right w:val="nil"/>
          <w:between w:val="nil"/>
        </w:pBdr>
        <w:spacing w:before="100" w:after="100" w:line="240" w:lineRule="auto"/>
        <w:rPr>
          <w:b/>
          <w:color w:val="000000"/>
          <w:sz w:val="20"/>
          <w:szCs w:val="20"/>
        </w:rPr>
      </w:pPr>
      <w:r>
        <w:rPr>
          <w:color w:val="000000"/>
          <w:sz w:val="20"/>
          <w:szCs w:val="20"/>
        </w:rPr>
        <w:t>*Improvement of Neurologic Lyme Symptoms was defined as “treatment response” in the Kohlhepp study.</w:t>
      </w:r>
    </w:p>
    <w:p w14:paraId="0E51E903"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6934EF29" w14:textId="77777777" w:rsidR="004D1B29" w:rsidRDefault="004D1B29" w:rsidP="004D1B29">
      <w:pPr>
        <w:spacing w:before="280" w:after="0"/>
        <w:rPr>
          <w:b/>
          <w:color w:val="000000"/>
          <w:sz w:val="24"/>
          <w:szCs w:val="24"/>
        </w:rPr>
      </w:pPr>
      <w:r>
        <w:rPr>
          <w:b/>
          <w:color w:val="000000"/>
          <w:sz w:val="24"/>
          <w:szCs w:val="24"/>
        </w:rPr>
        <w:t>Explanations</w:t>
      </w:r>
    </w:p>
    <w:p w14:paraId="7764C9D7" w14:textId="2EC7F40D" w:rsidR="002D58E4" w:rsidRDefault="00F721D4">
      <w:pPr>
        <w:spacing w:after="0"/>
        <w:rPr>
          <w:color w:val="000000"/>
          <w:sz w:val="18"/>
          <w:szCs w:val="18"/>
        </w:rPr>
      </w:pPr>
      <w:r>
        <w:rPr>
          <w:color w:val="000000"/>
          <w:sz w:val="18"/>
          <w:szCs w:val="18"/>
        </w:rPr>
        <w:t>a. 95% CI Is wide and crossing the null value</w:t>
      </w:r>
      <w:r w:rsidR="004D1B29">
        <w:rPr>
          <w:color w:val="000000"/>
          <w:sz w:val="18"/>
          <w:szCs w:val="18"/>
        </w:rPr>
        <w:t>.</w:t>
      </w:r>
    </w:p>
    <w:p w14:paraId="70A02E52" w14:textId="77777777" w:rsidR="002D58E4" w:rsidRDefault="00F721D4">
      <w:pPr>
        <w:widowControl w:val="0"/>
        <w:pBdr>
          <w:top w:val="nil"/>
          <w:left w:val="nil"/>
          <w:bottom w:val="nil"/>
          <w:right w:val="nil"/>
          <w:between w:val="nil"/>
        </w:pBdr>
        <w:spacing w:after="0"/>
        <w:rPr>
          <w:color w:val="000000"/>
          <w:sz w:val="14"/>
          <w:szCs w:val="14"/>
        </w:rPr>
        <w:sectPr w:rsidR="002D58E4" w:rsidSect="00171735">
          <w:type w:val="continuous"/>
          <w:pgSz w:w="15840" w:h="12240"/>
          <w:pgMar w:top="720" w:right="389" w:bottom="720" w:left="720" w:header="720" w:footer="720" w:gutter="0"/>
          <w:cols w:space="720" w:equalWidth="0">
            <w:col w:w="14731"/>
          </w:cols>
        </w:sectPr>
      </w:pPr>
      <w:r>
        <w:br w:type="page"/>
      </w:r>
    </w:p>
    <w:p w14:paraId="4C1DEB50" w14:textId="77777777" w:rsidR="002D58E4" w:rsidRDefault="00F721D4" w:rsidP="00E14B2B">
      <w:pPr>
        <w:spacing w:after="0"/>
        <w:ind w:right="-626"/>
        <w:rPr>
          <w:b/>
          <w:color w:val="000000"/>
          <w:u w:val="single"/>
        </w:rPr>
      </w:pPr>
      <w:r>
        <w:rPr>
          <w:b/>
          <w:color w:val="000000"/>
          <w:u w:val="single"/>
        </w:rPr>
        <w:t>3 WEEKS OF IV CEFTRIAXONE followed by prolonged ORAL AMOXICILLIN (100 days) vs. 3 WEEKS OF IV CEFTRIAXONE then PLACEBO</w:t>
      </w:r>
    </w:p>
    <w:p w14:paraId="32D928B7" w14:textId="77777777" w:rsidR="002D58E4" w:rsidRDefault="00F721D4" w:rsidP="00E14B2B">
      <w:pPr>
        <w:spacing w:after="0"/>
        <w:ind w:right="-626"/>
        <w:rPr>
          <w:b/>
        </w:rPr>
      </w:pPr>
      <w:r>
        <w:rPr>
          <w:b/>
        </w:rPr>
        <w:t>In patients with Lyme neuroborreliosis treated with 3 weeks of IV ceftriaxone, should prolonged oral amoxicillin be used rather than not?</w:t>
      </w:r>
    </w:p>
    <w:p w14:paraId="4FFBC75A" w14:textId="77777777" w:rsidR="002D58E4" w:rsidRDefault="00F721D4" w:rsidP="00E14B2B">
      <w:pPr>
        <w:spacing w:after="0"/>
        <w:ind w:right="-626"/>
      </w:pPr>
      <w:r>
        <w:t>P: In patients with Lyme neuroborreliosis</w:t>
      </w:r>
    </w:p>
    <w:p w14:paraId="091B9D7E" w14:textId="77777777" w:rsidR="002D58E4" w:rsidRDefault="00F721D4" w:rsidP="00E14B2B">
      <w:pPr>
        <w:spacing w:after="0"/>
        <w:ind w:right="-626"/>
      </w:pPr>
      <w:r>
        <w:t>I: 3 weeks of IV ceftriaxone followed with 100 days of oral amoxicillin</w:t>
      </w:r>
    </w:p>
    <w:p w14:paraId="03759D6E" w14:textId="77777777" w:rsidR="002D58E4" w:rsidRDefault="00F721D4" w:rsidP="00E14B2B">
      <w:pPr>
        <w:spacing w:after="0"/>
        <w:ind w:right="-626"/>
      </w:pPr>
      <w:r>
        <w:t>C: 3 weeks of IV ceftriaxone</w:t>
      </w:r>
    </w:p>
    <w:p w14:paraId="52253058" w14:textId="77777777" w:rsidR="002D58E4" w:rsidRDefault="002D58E4">
      <w:pPr>
        <w:spacing w:after="0"/>
        <w:rPr>
          <w:b/>
          <w:color w:val="000000"/>
          <w:sz w:val="18"/>
          <w:szCs w:val="18"/>
        </w:rPr>
      </w:pPr>
    </w:p>
    <w:p w14:paraId="77BC8053" w14:textId="77777777" w:rsidR="002D58E4" w:rsidRPr="002914A2" w:rsidRDefault="00F721D4" w:rsidP="00171735">
      <w:pPr>
        <w:rPr>
          <w:color w:val="000000"/>
          <w:sz w:val="18"/>
          <w:szCs w:val="18"/>
          <w:lang w:val="fr-CA"/>
        </w:rPr>
      </w:pPr>
      <w:r>
        <w:rPr>
          <w:b/>
          <w:color w:val="000000"/>
          <w:sz w:val="18"/>
          <w:szCs w:val="18"/>
        </w:rPr>
        <w:t>Bibliography</w:t>
      </w:r>
      <w:r>
        <w:rPr>
          <w:color w:val="000000"/>
          <w:sz w:val="18"/>
          <w:szCs w:val="18"/>
        </w:rPr>
        <w:t xml:space="preserve">: 1. </w:t>
      </w:r>
      <w:r w:rsidRPr="00B033CA">
        <w:rPr>
          <w:color w:val="000000"/>
          <w:sz w:val="18"/>
          <w:szCs w:val="18"/>
          <w:lang w:val="fr-CA"/>
        </w:rPr>
        <w:t xml:space="preserve">Oksi, et al.  </w:t>
      </w:r>
      <w:r w:rsidRPr="002914A2">
        <w:rPr>
          <w:color w:val="000000"/>
          <w:sz w:val="18"/>
          <w:szCs w:val="18"/>
          <w:lang w:val="fr-CA"/>
        </w:rPr>
        <w:t>Eur J Clin Microbiol Infect Dis. 2007 Aug; 26(8): 571-81.</w:t>
      </w:r>
    </w:p>
    <w:tbl>
      <w:tblPr>
        <w:tblStyle w:val="aff5"/>
        <w:tblW w:w="15168" w:type="dxa"/>
        <w:tblInd w:w="-29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8"/>
        <w:gridCol w:w="696"/>
        <w:gridCol w:w="994"/>
        <w:gridCol w:w="1132"/>
        <w:gridCol w:w="1134"/>
        <w:gridCol w:w="992"/>
        <w:gridCol w:w="856"/>
        <w:gridCol w:w="1331"/>
        <w:gridCol w:w="1224"/>
        <w:gridCol w:w="1444"/>
        <w:gridCol w:w="2524"/>
        <w:gridCol w:w="989"/>
        <w:gridCol w:w="1134"/>
      </w:tblGrid>
      <w:tr w:rsidR="004D1B29" w14:paraId="176C426B" w14:textId="77777777" w:rsidTr="00E14B2B">
        <w:tc>
          <w:tcPr>
            <w:tcW w:w="6522"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1593E09F" w14:textId="77777777" w:rsidR="004D1B29" w:rsidRDefault="004D1B29">
            <w:pPr>
              <w:jc w:val="center"/>
              <w:rPr>
                <w:b/>
                <w:sz w:val="20"/>
                <w:szCs w:val="20"/>
              </w:rPr>
            </w:pPr>
            <w:r>
              <w:rPr>
                <w:b/>
                <w:sz w:val="20"/>
                <w:szCs w:val="20"/>
              </w:rPr>
              <w:t>Certainty assessment</w:t>
            </w:r>
          </w:p>
        </w:tc>
        <w:tc>
          <w:tcPr>
            <w:tcW w:w="255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51CFFF6" w14:textId="77777777" w:rsidR="004D1B29" w:rsidRDefault="004D1B29">
            <w:pPr>
              <w:jc w:val="center"/>
              <w:rPr>
                <w:b/>
                <w:sz w:val="20"/>
                <w:szCs w:val="20"/>
              </w:rPr>
            </w:pPr>
            <w:r>
              <w:rPr>
                <w:b/>
                <w:sz w:val="20"/>
                <w:szCs w:val="20"/>
              </w:rPr>
              <w:t>№ of events/№ of patients</w:t>
            </w: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4947628" w14:textId="77777777" w:rsidR="004D1B29" w:rsidRDefault="004D1B29">
            <w:pPr>
              <w:jc w:val="center"/>
              <w:rPr>
                <w:b/>
                <w:sz w:val="20"/>
                <w:szCs w:val="20"/>
              </w:rPr>
            </w:pPr>
            <w:r>
              <w:rPr>
                <w:b/>
                <w:sz w:val="20"/>
                <w:szCs w:val="20"/>
              </w:rPr>
              <w:t>Effect</w:t>
            </w:r>
          </w:p>
        </w:tc>
        <w:tc>
          <w:tcPr>
            <w:tcW w:w="989" w:type="dxa"/>
            <w:vMerge w:val="restart"/>
            <w:tcBorders>
              <w:top w:val="single" w:sz="6" w:space="0" w:color="000000"/>
              <w:left w:val="single" w:sz="6" w:space="0" w:color="000000"/>
              <w:right w:val="single" w:sz="6" w:space="0" w:color="000000"/>
            </w:tcBorders>
            <w:shd w:val="clear" w:color="auto" w:fill="D9D9D9"/>
            <w:vAlign w:val="center"/>
          </w:tcPr>
          <w:p w14:paraId="6E85A4AF" w14:textId="77777777" w:rsidR="004D1B29" w:rsidRDefault="004D1B29">
            <w:pPr>
              <w:jc w:val="center"/>
              <w:rPr>
                <w:b/>
                <w:sz w:val="20"/>
                <w:szCs w:val="20"/>
              </w:rPr>
            </w:pPr>
            <w:r>
              <w:rPr>
                <w:b/>
                <w:sz w:val="20"/>
                <w:szCs w:val="20"/>
              </w:rPr>
              <w:t>Certainty</w:t>
            </w:r>
          </w:p>
        </w:tc>
        <w:tc>
          <w:tcPr>
            <w:tcW w:w="1134" w:type="dxa"/>
            <w:vMerge w:val="restart"/>
            <w:tcBorders>
              <w:top w:val="single" w:sz="6" w:space="0" w:color="000000"/>
              <w:left w:val="single" w:sz="6" w:space="0" w:color="000000"/>
              <w:right w:val="single" w:sz="6" w:space="0" w:color="000000"/>
            </w:tcBorders>
            <w:shd w:val="clear" w:color="auto" w:fill="D9D9D9"/>
            <w:vAlign w:val="center"/>
          </w:tcPr>
          <w:p w14:paraId="180BCAB5" w14:textId="77777777" w:rsidR="004D1B29" w:rsidRDefault="004D1B29">
            <w:pPr>
              <w:jc w:val="center"/>
              <w:rPr>
                <w:b/>
                <w:sz w:val="20"/>
                <w:szCs w:val="20"/>
              </w:rPr>
            </w:pPr>
            <w:r>
              <w:rPr>
                <w:b/>
                <w:sz w:val="20"/>
                <w:szCs w:val="20"/>
              </w:rPr>
              <w:t>Importance</w:t>
            </w:r>
          </w:p>
        </w:tc>
      </w:tr>
      <w:tr w:rsidR="004D1B29" w14:paraId="1FEDAA86" w14:textId="77777777" w:rsidTr="00E14B2B">
        <w:tc>
          <w:tcPr>
            <w:tcW w:w="7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3CD358" w14:textId="77777777" w:rsidR="004D1B29" w:rsidRDefault="004D1B29">
            <w:pPr>
              <w:jc w:val="center"/>
              <w:rPr>
                <w:b/>
                <w:sz w:val="20"/>
                <w:szCs w:val="20"/>
              </w:rPr>
            </w:pPr>
            <w:r>
              <w:rPr>
                <w:b/>
                <w:sz w:val="20"/>
                <w:szCs w:val="20"/>
              </w:rPr>
              <w:t>№ of studies</w:t>
            </w:r>
          </w:p>
        </w:tc>
        <w:tc>
          <w:tcPr>
            <w:tcW w:w="69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B84B3F4" w14:textId="77777777" w:rsidR="004D1B29" w:rsidRDefault="004D1B29">
            <w:pPr>
              <w:jc w:val="center"/>
              <w:rPr>
                <w:b/>
                <w:sz w:val="20"/>
                <w:szCs w:val="20"/>
              </w:rPr>
            </w:pPr>
            <w:r>
              <w:rPr>
                <w:b/>
                <w:sz w:val="20"/>
                <w:szCs w:val="20"/>
              </w:rPr>
              <w:t>Study design</w:t>
            </w:r>
          </w:p>
        </w:tc>
        <w:tc>
          <w:tcPr>
            <w:tcW w:w="99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CF88171" w14:textId="77777777" w:rsidR="004D1B29" w:rsidRDefault="004D1B29">
            <w:pPr>
              <w:jc w:val="center"/>
              <w:rPr>
                <w:b/>
                <w:sz w:val="20"/>
                <w:szCs w:val="20"/>
              </w:rPr>
            </w:pPr>
            <w:r>
              <w:rPr>
                <w:b/>
                <w:sz w:val="20"/>
                <w:szCs w:val="20"/>
              </w:rPr>
              <w:t>Risk of bias</w:t>
            </w:r>
          </w:p>
        </w:tc>
        <w:tc>
          <w:tcPr>
            <w:tcW w:w="113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8A91D0" w14:textId="77777777" w:rsidR="004D1B29" w:rsidRDefault="004D1B29">
            <w:pPr>
              <w:jc w:val="center"/>
              <w:rPr>
                <w:b/>
                <w:sz w:val="20"/>
                <w:szCs w:val="20"/>
              </w:rPr>
            </w:pPr>
            <w:r>
              <w:rPr>
                <w:b/>
                <w:sz w:val="20"/>
                <w:szCs w:val="20"/>
              </w:rPr>
              <w:t>Inconsistency</w:t>
            </w:r>
          </w:p>
        </w:tc>
        <w:tc>
          <w:tcPr>
            <w:tcW w:w="11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3089028" w14:textId="77777777" w:rsidR="004D1B29" w:rsidRDefault="004D1B29">
            <w:pPr>
              <w:jc w:val="center"/>
              <w:rPr>
                <w:b/>
                <w:sz w:val="20"/>
                <w:szCs w:val="20"/>
              </w:rPr>
            </w:pPr>
            <w:r>
              <w:rPr>
                <w:b/>
                <w:sz w:val="20"/>
                <w:szCs w:val="20"/>
              </w:rPr>
              <w:t>Indirectness</w:t>
            </w:r>
          </w:p>
        </w:tc>
        <w:tc>
          <w:tcPr>
            <w:tcW w:w="9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A8F4632" w14:textId="77777777" w:rsidR="004D1B29" w:rsidRDefault="004D1B29">
            <w:pPr>
              <w:jc w:val="center"/>
              <w:rPr>
                <w:b/>
                <w:sz w:val="20"/>
                <w:szCs w:val="20"/>
              </w:rPr>
            </w:pPr>
            <w:r>
              <w:rPr>
                <w:b/>
                <w:sz w:val="20"/>
                <w:szCs w:val="20"/>
              </w:rPr>
              <w:t>Imprecision</w:t>
            </w:r>
          </w:p>
        </w:tc>
        <w:tc>
          <w:tcPr>
            <w:tcW w:w="8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84A2C9" w14:textId="77777777" w:rsidR="004D1B29" w:rsidRDefault="004D1B29">
            <w:pPr>
              <w:jc w:val="center"/>
              <w:rPr>
                <w:b/>
                <w:sz w:val="20"/>
                <w:szCs w:val="20"/>
              </w:rPr>
            </w:pPr>
            <w:r>
              <w:rPr>
                <w:b/>
                <w:sz w:val="20"/>
                <w:szCs w:val="20"/>
              </w:rPr>
              <w:t>Other considerations</w:t>
            </w:r>
          </w:p>
        </w:tc>
        <w:tc>
          <w:tcPr>
            <w:tcW w:w="133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C65E2D1" w14:textId="77777777" w:rsidR="004D1B29" w:rsidRDefault="004D1B29">
            <w:pPr>
              <w:jc w:val="center"/>
              <w:rPr>
                <w:b/>
                <w:sz w:val="20"/>
                <w:szCs w:val="20"/>
              </w:rPr>
            </w:pPr>
            <w:r>
              <w:rPr>
                <w:b/>
                <w:sz w:val="20"/>
                <w:szCs w:val="20"/>
              </w:rPr>
              <w:t>IV ceftriaxone followed by prolonged oral amoxicillin</w:t>
            </w:r>
          </w:p>
        </w:tc>
        <w:tc>
          <w:tcPr>
            <w:tcW w:w="122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BBB580C" w14:textId="77777777" w:rsidR="004D1B29" w:rsidRDefault="004D1B29">
            <w:pPr>
              <w:jc w:val="center"/>
              <w:rPr>
                <w:b/>
                <w:sz w:val="20"/>
                <w:szCs w:val="20"/>
              </w:rPr>
            </w:pPr>
            <w:r>
              <w:rPr>
                <w:b/>
                <w:sz w:val="20"/>
                <w:szCs w:val="20"/>
              </w:rPr>
              <w:t>IV Ceftriaxone alone</w:t>
            </w:r>
          </w:p>
        </w:tc>
        <w:tc>
          <w:tcPr>
            <w:tcW w:w="144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2DA251" w14:textId="77777777" w:rsidR="004D1B29" w:rsidRDefault="004D1B29">
            <w:pPr>
              <w:jc w:val="center"/>
              <w:rPr>
                <w:b/>
                <w:sz w:val="20"/>
                <w:szCs w:val="20"/>
              </w:rPr>
            </w:pPr>
            <w:r>
              <w:rPr>
                <w:b/>
                <w:sz w:val="20"/>
                <w:szCs w:val="20"/>
              </w:rPr>
              <w:t>Relative</w:t>
            </w:r>
            <w:r>
              <w:rPr>
                <w:b/>
                <w:sz w:val="20"/>
                <w:szCs w:val="20"/>
              </w:rPr>
              <w:br/>
              <w:t>(95% CI)</w:t>
            </w:r>
          </w:p>
        </w:tc>
        <w:tc>
          <w:tcPr>
            <w:tcW w:w="252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B8F517" w14:textId="77777777" w:rsidR="004D1B29" w:rsidRDefault="004D1B29">
            <w:pPr>
              <w:jc w:val="center"/>
              <w:rPr>
                <w:b/>
                <w:sz w:val="20"/>
                <w:szCs w:val="20"/>
              </w:rPr>
            </w:pPr>
            <w:r>
              <w:rPr>
                <w:b/>
                <w:sz w:val="20"/>
                <w:szCs w:val="20"/>
              </w:rPr>
              <w:t>Absolute</w:t>
            </w:r>
            <w:r>
              <w:rPr>
                <w:b/>
                <w:sz w:val="20"/>
                <w:szCs w:val="20"/>
              </w:rPr>
              <w:br/>
              <w:t>(95% CI)</w:t>
            </w:r>
          </w:p>
        </w:tc>
        <w:tc>
          <w:tcPr>
            <w:tcW w:w="989" w:type="dxa"/>
            <w:vMerge/>
            <w:tcBorders>
              <w:left w:val="single" w:sz="6" w:space="0" w:color="000000"/>
              <w:bottom w:val="single" w:sz="6" w:space="0" w:color="000000"/>
              <w:right w:val="single" w:sz="6" w:space="0" w:color="000000"/>
            </w:tcBorders>
            <w:shd w:val="clear" w:color="auto" w:fill="D9D9D9"/>
            <w:vAlign w:val="center"/>
          </w:tcPr>
          <w:p w14:paraId="749F29FA" w14:textId="77777777" w:rsidR="004D1B29" w:rsidRDefault="004D1B29">
            <w:pPr>
              <w:rPr>
                <w:b/>
                <w:sz w:val="20"/>
                <w:szCs w:val="20"/>
              </w:rPr>
            </w:pPr>
          </w:p>
        </w:tc>
        <w:tc>
          <w:tcPr>
            <w:tcW w:w="1134" w:type="dxa"/>
            <w:vMerge/>
            <w:tcBorders>
              <w:left w:val="single" w:sz="6" w:space="0" w:color="000000"/>
              <w:bottom w:val="single" w:sz="6" w:space="0" w:color="000000"/>
              <w:right w:val="single" w:sz="6" w:space="0" w:color="000000"/>
            </w:tcBorders>
            <w:shd w:val="clear" w:color="auto" w:fill="D9D9D9"/>
            <w:vAlign w:val="center"/>
          </w:tcPr>
          <w:p w14:paraId="191A459F" w14:textId="77777777" w:rsidR="004D1B29" w:rsidRDefault="004D1B29">
            <w:pPr>
              <w:rPr>
                <w:b/>
                <w:sz w:val="20"/>
                <w:szCs w:val="20"/>
              </w:rPr>
            </w:pPr>
          </w:p>
        </w:tc>
      </w:tr>
      <w:tr w:rsidR="002D58E4" w14:paraId="32660B17" w14:textId="77777777">
        <w:tc>
          <w:tcPr>
            <w:tcW w:w="1516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BB38E46" w14:textId="77777777" w:rsidR="002D58E4" w:rsidRDefault="00F721D4">
            <w:pPr>
              <w:rPr>
                <w:sz w:val="20"/>
                <w:szCs w:val="20"/>
              </w:rPr>
            </w:pPr>
            <w:r>
              <w:rPr>
                <w:b/>
                <w:sz w:val="20"/>
                <w:szCs w:val="20"/>
              </w:rPr>
              <w:t xml:space="preserve">Improvement of Neurologic Lyme symptoms </w:t>
            </w:r>
            <w:r>
              <w:rPr>
                <w:sz w:val="20"/>
                <w:szCs w:val="20"/>
              </w:rPr>
              <w:t>(at 12 months) *</w:t>
            </w:r>
          </w:p>
        </w:tc>
      </w:tr>
      <w:tr w:rsidR="002D58E4" w14:paraId="303C82B4" w14:textId="77777777">
        <w:tc>
          <w:tcPr>
            <w:tcW w:w="718" w:type="dxa"/>
            <w:vMerge w:val="restart"/>
            <w:tcBorders>
              <w:top w:val="single" w:sz="6" w:space="0" w:color="000000"/>
              <w:left w:val="single" w:sz="6" w:space="0" w:color="000000"/>
              <w:right w:val="single" w:sz="6" w:space="0" w:color="000000"/>
            </w:tcBorders>
          </w:tcPr>
          <w:p w14:paraId="0FC44E58" w14:textId="77777777" w:rsidR="002D58E4" w:rsidRDefault="00F721D4">
            <w:pPr>
              <w:rPr>
                <w:sz w:val="20"/>
                <w:szCs w:val="20"/>
              </w:rPr>
            </w:pPr>
            <w:r>
              <w:rPr>
                <w:sz w:val="20"/>
                <w:szCs w:val="20"/>
              </w:rPr>
              <w:t xml:space="preserve">1 </w:t>
            </w:r>
          </w:p>
        </w:tc>
        <w:tc>
          <w:tcPr>
            <w:tcW w:w="696" w:type="dxa"/>
            <w:vMerge w:val="restart"/>
            <w:tcBorders>
              <w:top w:val="single" w:sz="6" w:space="0" w:color="000000"/>
              <w:left w:val="single" w:sz="6" w:space="0" w:color="000000"/>
              <w:right w:val="single" w:sz="6" w:space="0" w:color="000000"/>
            </w:tcBorders>
          </w:tcPr>
          <w:p w14:paraId="78FE4967" w14:textId="77777777" w:rsidR="002D58E4" w:rsidRDefault="00F721D4">
            <w:pPr>
              <w:rPr>
                <w:sz w:val="20"/>
                <w:szCs w:val="20"/>
              </w:rPr>
            </w:pPr>
            <w:r>
              <w:rPr>
                <w:sz w:val="20"/>
                <w:szCs w:val="20"/>
              </w:rPr>
              <w:t>R</w:t>
            </w:r>
            <w:r>
              <w:t>CT</w:t>
            </w:r>
            <w:r>
              <w:rPr>
                <w:sz w:val="20"/>
                <w:szCs w:val="20"/>
              </w:rPr>
              <w:t xml:space="preserve"> </w:t>
            </w:r>
            <w:r>
              <w:rPr>
                <w:sz w:val="20"/>
                <w:szCs w:val="20"/>
                <w:vertAlign w:val="superscript"/>
              </w:rPr>
              <w:t>1</w:t>
            </w:r>
          </w:p>
        </w:tc>
        <w:tc>
          <w:tcPr>
            <w:tcW w:w="994" w:type="dxa"/>
            <w:vMerge w:val="restart"/>
            <w:tcBorders>
              <w:top w:val="single" w:sz="6" w:space="0" w:color="000000"/>
              <w:left w:val="single" w:sz="6" w:space="0" w:color="000000"/>
              <w:right w:val="single" w:sz="6" w:space="0" w:color="000000"/>
            </w:tcBorders>
          </w:tcPr>
          <w:p w14:paraId="4E52E08A" w14:textId="77777777" w:rsidR="002D58E4" w:rsidRDefault="00F721D4">
            <w:pPr>
              <w:rPr>
                <w:sz w:val="20"/>
                <w:szCs w:val="20"/>
              </w:rPr>
            </w:pPr>
            <w:r>
              <w:rPr>
                <w:sz w:val="20"/>
                <w:szCs w:val="20"/>
              </w:rPr>
              <w:t xml:space="preserve">not serious </w:t>
            </w:r>
          </w:p>
        </w:tc>
        <w:tc>
          <w:tcPr>
            <w:tcW w:w="1132" w:type="dxa"/>
            <w:vMerge w:val="restart"/>
            <w:tcBorders>
              <w:top w:val="single" w:sz="6" w:space="0" w:color="000000"/>
              <w:left w:val="single" w:sz="6" w:space="0" w:color="000000"/>
              <w:right w:val="single" w:sz="6" w:space="0" w:color="000000"/>
            </w:tcBorders>
          </w:tcPr>
          <w:p w14:paraId="5C7CEC2B" w14:textId="77777777" w:rsidR="002D58E4" w:rsidRDefault="00F721D4">
            <w:pPr>
              <w:rPr>
                <w:sz w:val="20"/>
                <w:szCs w:val="20"/>
              </w:rPr>
            </w:pPr>
            <w:r>
              <w:rPr>
                <w:sz w:val="20"/>
                <w:szCs w:val="20"/>
              </w:rPr>
              <w:t xml:space="preserve">not serious </w:t>
            </w:r>
          </w:p>
        </w:tc>
        <w:tc>
          <w:tcPr>
            <w:tcW w:w="1134" w:type="dxa"/>
            <w:vMerge w:val="restart"/>
            <w:tcBorders>
              <w:top w:val="single" w:sz="6" w:space="0" w:color="000000"/>
              <w:left w:val="single" w:sz="6" w:space="0" w:color="000000"/>
              <w:right w:val="single" w:sz="6" w:space="0" w:color="000000"/>
            </w:tcBorders>
          </w:tcPr>
          <w:p w14:paraId="3F7D05E3" w14:textId="77777777" w:rsidR="002D58E4" w:rsidRDefault="00F721D4">
            <w:pPr>
              <w:rPr>
                <w:sz w:val="20"/>
                <w:szCs w:val="20"/>
              </w:rPr>
            </w:pPr>
            <w:r>
              <w:rPr>
                <w:sz w:val="20"/>
                <w:szCs w:val="20"/>
              </w:rPr>
              <w:t>not serious</w:t>
            </w:r>
          </w:p>
        </w:tc>
        <w:tc>
          <w:tcPr>
            <w:tcW w:w="992" w:type="dxa"/>
            <w:vMerge w:val="restart"/>
            <w:tcBorders>
              <w:top w:val="single" w:sz="6" w:space="0" w:color="000000"/>
              <w:left w:val="single" w:sz="6" w:space="0" w:color="000000"/>
              <w:right w:val="single" w:sz="6" w:space="0" w:color="000000"/>
            </w:tcBorders>
          </w:tcPr>
          <w:p w14:paraId="3A57AE41" w14:textId="77777777" w:rsidR="002D58E4" w:rsidRDefault="00F721D4">
            <w:pPr>
              <w:rPr>
                <w:sz w:val="20"/>
                <w:szCs w:val="20"/>
              </w:rPr>
            </w:pPr>
            <w:r>
              <w:rPr>
                <w:sz w:val="20"/>
                <w:szCs w:val="20"/>
              </w:rPr>
              <w:t xml:space="preserve">serious </w:t>
            </w:r>
            <w:r>
              <w:rPr>
                <w:sz w:val="20"/>
                <w:szCs w:val="20"/>
                <w:vertAlign w:val="superscript"/>
              </w:rPr>
              <w:t>a</w:t>
            </w:r>
          </w:p>
        </w:tc>
        <w:tc>
          <w:tcPr>
            <w:tcW w:w="856" w:type="dxa"/>
            <w:vMerge w:val="restart"/>
            <w:tcBorders>
              <w:top w:val="single" w:sz="6" w:space="0" w:color="000000"/>
              <w:left w:val="single" w:sz="6" w:space="0" w:color="000000"/>
              <w:right w:val="single" w:sz="6" w:space="0" w:color="000000"/>
            </w:tcBorders>
          </w:tcPr>
          <w:p w14:paraId="50C4D6D1" w14:textId="77777777" w:rsidR="002D58E4" w:rsidRDefault="00F721D4">
            <w:pPr>
              <w:rPr>
                <w:sz w:val="20"/>
                <w:szCs w:val="20"/>
              </w:rPr>
            </w:pPr>
            <w:r>
              <w:rPr>
                <w:sz w:val="20"/>
                <w:szCs w:val="20"/>
              </w:rPr>
              <w:t xml:space="preserve">none </w:t>
            </w:r>
          </w:p>
        </w:tc>
        <w:tc>
          <w:tcPr>
            <w:tcW w:w="1331" w:type="dxa"/>
            <w:tcBorders>
              <w:top w:val="single" w:sz="6" w:space="0" w:color="000000"/>
              <w:left w:val="single" w:sz="6" w:space="0" w:color="000000"/>
              <w:bottom w:val="single" w:sz="6" w:space="0" w:color="000000"/>
              <w:right w:val="single" w:sz="6" w:space="0" w:color="000000"/>
            </w:tcBorders>
          </w:tcPr>
          <w:p w14:paraId="2A71FCA6" w14:textId="77777777" w:rsidR="002D58E4" w:rsidRDefault="00F721D4">
            <w:pPr>
              <w:jc w:val="center"/>
              <w:rPr>
                <w:sz w:val="20"/>
                <w:szCs w:val="20"/>
              </w:rPr>
            </w:pPr>
            <w:r>
              <w:rPr>
                <w:sz w:val="20"/>
                <w:szCs w:val="20"/>
              </w:rPr>
              <w:t xml:space="preserve">59/73 </w:t>
            </w:r>
          </w:p>
          <w:p w14:paraId="71F63548" w14:textId="77777777" w:rsidR="002D58E4" w:rsidRDefault="00F721D4">
            <w:pPr>
              <w:jc w:val="center"/>
              <w:rPr>
                <w:sz w:val="20"/>
                <w:szCs w:val="20"/>
              </w:rPr>
            </w:pPr>
            <w:r>
              <w:rPr>
                <w:sz w:val="20"/>
                <w:szCs w:val="20"/>
              </w:rPr>
              <w:t xml:space="preserve">(80.8%) </w:t>
            </w:r>
          </w:p>
          <w:p w14:paraId="0D670837" w14:textId="77777777" w:rsidR="002D58E4" w:rsidRDefault="002D58E4">
            <w:pPr>
              <w:jc w:val="center"/>
              <w:rPr>
                <w:sz w:val="20"/>
                <w:szCs w:val="20"/>
              </w:rPr>
            </w:pPr>
          </w:p>
        </w:tc>
        <w:tc>
          <w:tcPr>
            <w:tcW w:w="1224" w:type="dxa"/>
            <w:tcBorders>
              <w:top w:val="single" w:sz="6" w:space="0" w:color="000000"/>
              <w:left w:val="single" w:sz="6" w:space="0" w:color="000000"/>
              <w:bottom w:val="single" w:sz="6" w:space="0" w:color="000000"/>
              <w:right w:val="single" w:sz="6" w:space="0" w:color="000000"/>
            </w:tcBorders>
          </w:tcPr>
          <w:p w14:paraId="44B2DF9A" w14:textId="77777777" w:rsidR="002D58E4" w:rsidRDefault="00F721D4">
            <w:pPr>
              <w:jc w:val="center"/>
              <w:rPr>
                <w:sz w:val="20"/>
                <w:szCs w:val="20"/>
              </w:rPr>
            </w:pPr>
            <w:r>
              <w:rPr>
                <w:sz w:val="20"/>
                <w:szCs w:val="20"/>
              </w:rPr>
              <w:t xml:space="preserve">55/72 </w:t>
            </w:r>
          </w:p>
          <w:p w14:paraId="1D38E493" w14:textId="77777777" w:rsidR="002D58E4" w:rsidRDefault="00F721D4">
            <w:pPr>
              <w:jc w:val="center"/>
              <w:rPr>
                <w:sz w:val="20"/>
                <w:szCs w:val="20"/>
              </w:rPr>
            </w:pPr>
            <w:r>
              <w:rPr>
                <w:sz w:val="20"/>
                <w:szCs w:val="20"/>
              </w:rPr>
              <w:t xml:space="preserve">(76.4%) </w:t>
            </w:r>
          </w:p>
        </w:tc>
        <w:tc>
          <w:tcPr>
            <w:tcW w:w="1444" w:type="dxa"/>
            <w:tcBorders>
              <w:top w:val="single" w:sz="6" w:space="0" w:color="000000"/>
              <w:left w:val="single" w:sz="6" w:space="0" w:color="000000"/>
              <w:bottom w:val="single" w:sz="6" w:space="0" w:color="000000"/>
              <w:right w:val="single" w:sz="6" w:space="0" w:color="000000"/>
            </w:tcBorders>
          </w:tcPr>
          <w:p w14:paraId="2AA595C6" w14:textId="77777777" w:rsidR="002D58E4" w:rsidRDefault="00F721D4">
            <w:pPr>
              <w:jc w:val="center"/>
              <w:rPr>
                <w:sz w:val="20"/>
                <w:szCs w:val="20"/>
              </w:rPr>
            </w:pPr>
            <w:r>
              <w:rPr>
                <w:sz w:val="20"/>
                <w:szCs w:val="20"/>
              </w:rPr>
              <w:t>RR 1.06</w:t>
            </w:r>
            <w:r>
              <w:rPr>
                <w:sz w:val="20"/>
                <w:szCs w:val="20"/>
              </w:rPr>
              <w:br/>
              <w:t xml:space="preserve">(0.89 to 1.25) </w:t>
            </w:r>
          </w:p>
        </w:tc>
        <w:tc>
          <w:tcPr>
            <w:tcW w:w="2524" w:type="dxa"/>
            <w:tcBorders>
              <w:top w:val="single" w:sz="6" w:space="0" w:color="000000"/>
              <w:left w:val="single" w:sz="6" w:space="0" w:color="000000"/>
              <w:bottom w:val="single" w:sz="6" w:space="0" w:color="000000"/>
              <w:right w:val="single" w:sz="6" w:space="0" w:color="000000"/>
            </w:tcBorders>
          </w:tcPr>
          <w:p w14:paraId="2D6F9383" w14:textId="77777777" w:rsidR="002D58E4" w:rsidRDefault="00F721D4">
            <w:pPr>
              <w:jc w:val="center"/>
              <w:rPr>
                <w:sz w:val="20"/>
                <w:szCs w:val="20"/>
              </w:rPr>
            </w:pPr>
            <w:r>
              <w:rPr>
                <w:sz w:val="20"/>
                <w:szCs w:val="20"/>
              </w:rPr>
              <w:t>44 more per 1,000</w:t>
            </w:r>
            <w:r>
              <w:rPr>
                <w:sz w:val="20"/>
                <w:szCs w:val="20"/>
              </w:rPr>
              <w:br/>
              <w:t xml:space="preserve">(from 89 fewer to 178 more) </w:t>
            </w:r>
          </w:p>
        </w:tc>
        <w:tc>
          <w:tcPr>
            <w:tcW w:w="989" w:type="dxa"/>
            <w:tcBorders>
              <w:top w:val="single" w:sz="6" w:space="0" w:color="000000"/>
              <w:left w:val="single" w:sz="6" w:space="0" w:color="000000"/>
              <w:bottom w:val="single" w:sz="6" w:space="0" w:color="000000"/>
              <w:right w:val="single" w:sz="6" w:space="0" w:color="000000"/>
            </w:tcBorders>
          </w:tcPr>
          <w:p w14:paraId="2C7AE67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p w14:paraId="01E8A0A7" w14:textId="77777777" w:rsidR="002D58E4" w:rsidRDefault="002D58E4">
            <w:pPr>
              <w:jc w:val="center"/>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5467E156" w14:textId="77777777" w:rsidR="002D58E4" w:rsidRDefault="00F721D4">
            <w:pPr>
              <w:jc w:val="center"/>
              <w:rPr>
                <w:sz w:val="20"/>
                <w:szCs w:val="20"/>
              </w:rPr>
            </w:pPr>
            <w:r>
              <w:rPr>
                <w:sz w:val="20"/>
                <w:szCs w:val="20"/>
              </w:rPr>
              <w:t>CRITICAL</w:t>
            </w:r>
          </w:p>
        </w:tc>
      </w:tr>
      <w:tr w:rsidR="002D58E4" w14:paraId="3051397A" w14:textId="77777777">
        <w:tc>
          <w:tcPr>
            <w:tcW w:w="718" w:type="dxa"/>
            <w:vMerge/>
            <w:tcBorders>
              <w:top w:val="single" w:sz="6" w:space="0" w:color="000000"/>
              <w:left w:val="single" w:sz="6" w:space="0" w:color="000000"/>
              <w:right w:val="single" w:sz="6" w:space="0" w:color="000000"/>
            </w:tcBorders>
          </w:tcPr>
          <w:p w14:paraId="1C6EF16F" w14:textId="77777777" w:rsidR="002D58E4" w:rsidRDefault="002D58E4">
            <w:pPr>
              <w:widowControl w:val="0"/>
              <w:pBdr>
                <w:top w:val="nil"/>
                <w:left w:val="nil"/>
                <w:bottom w:val="nil"/>
                <w:right w:val="nil"/>
                <w:between w:val="nil"/>
              </w:pBdr>
              <w:spacing w:line="276" w:lineRule="auto"/>
              <w:rPr>
                <w:sz w:val="20"/>
                <w:szCs w:val="20"/>
              </w:rPr>
            </w:pPr>
          </w:p>
        </w:tc>
        <w:tc>
          <w:tcPr>
            <w:tcW w:w="696" w:type="dxa"/>
            <w:vMerge/>
            <w:tcBorders>
              <w:top w:val="single" w:sz="6" w:space="0" w:color="000000"/>
              <w:left w:val="single" w:sz="6" w:space="0" w:color="000000"/>
              <w:right w:val="single" w:sz="6" w:space="0" w:color="000000"/>
            </w:tcBorders>
          </w:tcPr>
          <w:p w14:paraId="6730F215" w14:textId="77777777" w:rsidR="002D58E4" w:rsidRDefault="002D58E4">
            <w:pPr>
              <w:widowControl w:val="0"/>
              <w:pBdr>
                <w:top w:val="nil"/>
                <w:left w:val="nil"/>
                <w:bottom w:val="nil"/>
                <w:right w:val="nil"/>
                <w:between w:val="nil"/>
              </w:pBdr>
              <w:spacing w:line="276" w:lineRule="auto"/>
              <w:rPr>
                <w:sz w:val="20"/>
                <w:szCs w:val="20"/>
              </w:rPr>
            </w:pPr>
          </w:p>
        </w:tc>
        <w:tc>
          <w:tcPr>
            <w:tcW w:w="994" w:type="dxa"/>
            <w:vMerge/>
            <w:tcBorders>
              <w:top w:val="single" w:sz="6" w:space="0" w:color="000000"/>
              <w:left w:val="single" w:sz="6" w:space="0" w:color="000000"/>
              <w:right w:val="single" w:sz="6" w:space="0" w:color="000000"/>
            </w:tcBorders>
          </w:tcPr>
          <w:p w14:paraId="5BC409C3" w14:textId="77777777" w:rsidR="002D58E4" w:rsidRDefault="002D58E4">
            <w:pPr>
              <w:widowControl w:val="0"/>
              <w:pBdr>
                <w:top w:val="nil"/>
                <w:left w:val="nil"/>
                <w:bottom w:val="nil"/>
                <w:right w:val="nil"/>
                <w:between w:val="nil"/>
              </w:pBdr>
              <w:spacing w:line="276" w:lineRule="auto"/>
              <w:rPr>
                <w:sz w:val="20"/>
                <w:szCs w:val="20"/>
              </w:rPr>
            </w:pPr>
          </w:p>
        </w:tc>
        <w:tc>
          <w:tcPr>
            <w:tcW w:w="1132" w:type="dxa"/>
            <w:vMerge/>
            <w:tcBorders>
              <w:top w:val="single" w:sz="6" w:space="0" w:color="000000"/>
              <w:left w:val="single" w:sz="6" w:space="0" w:color="000000"/>
              <w:right w:val="single" w:sz="6" w:space="0" w:color="000000"/>
            </w:tcBorders>
          </w:tcPr>
          <w:p w14:paraId="0AB75A88" w14:textId="77777777" w:rsidR="002D58E4" w:rsidRDefault="002D58E4">
            <w:pPr>
              <w:widowControl w:val="0"/>
              <w:pBdr>
                <w:top w:val="nil"/>
                <w:left w:val="nil"/>
                <w:bottom w:val="nil"/>
                <w:right w:val="nil"/>
                <w:between w:val="nil"/>
              </w:pBdr>
              <w:spacing w:line="276" w:lineRule="auto"/>
              <w:rPr>
                <w:sz w:val="20"/>
                <w:szCs w:val="20"/>
              </w:rPr>
            </w:pPr>
          </w:p>
        </w:tc>
        <w:tc>
          <w:tcPr>
            <w:tcW w:w="1134" w:type="dxa"/>
            <w:vMerge/>
            <w:tcBorders>
              <w:top w:val="single" w:sz="6" w:space="0" w:color="000000"/>
              <w:left w:val="single" w:sz="6" w:space="0" w:color="000000"/>
              <w:right w:val="single" w:sz="6" w:space="0" w:color="000000"/>
            </w:tcBorders>
          </w:tcPr>
          <w:p w14:paraId="3718BAF8" w14:textId="77777777" w:rsidR="002D58E4" w:rsidRDefault="002D58E4">
            <w:pPr>
              <w:widowControl w:val="0"/>
              <w:pBdr>
                <w:top w:val="nil"/>
                <w:left w:val="nil"/>
                <w:bottom w:val="nil"/>
                <w:right w:val="nil"/>
                <w:between w:val="nil"/>
              </w:pBdr>
              <w:spacing w:line="276" w:lineRule="auto"/>
              <w:rPr>
                <w:sz w:val="20"/>
                <w:szCs w:val="20"/>
              </w:rPr>
            </w:pPr>
          </w:p>
        </w:tc>
        <w:tc>
          <w:tcPr>
            <w:tcW w:w="992" w:type="dxa"/>
            <w:vMerge/>
            <w:tcBorders>
              <w:top w:val="single" w:sz="6" w:space="0" w:color="000000"/>
              <w:left w:val="single" w:sz="6" w:space="0" w:color="000000"/>
              <w:right w:val="single" w:sz="6" w:space="0" w:color="000000"/>
            </w:tcBorders>
          </w:tcPr>
          <w:p w14:paraId="4AC99256" w14:textId="77777777" w:rsidR="002D58E4" w:rsidRDefault="002D58E4">
            <w:pPr>
              <w:widowControl w:val="0"/>
              <w:pBdr>
                <w:top w:val="nil"/>
                <w:left w:val="nil"/>
                <w:bottom w:val="nil"/>
                <w:right w:val="nil"/>
                <w:between w:val="nil"/>
              </w:pBdr>
              <w:spacing w:line="276" w:lineRule="auto"/>
              <w:rPr>
                <w:sz w:val="20"/>
                <w:szCs w:val="20"/>
              </w:rPr>
            </w:pPr>
          </w:p>
        </w:tc>
        <w:tc>
          <w:tcPr>
            <w:tcW w:w="856" w:type="dxa"/>
            <w:vMerge/>
            <w:tcBorders>
              <w:top w:val="single" w:sz="6" w:space="0" w:color="000000"/>
              <w:left w:val="single" w:sz="6" w:space="0" w:color="000000"/>
              <w:right w:val="single" w:sz="6" w:space="0" w:color="000000"/>
            </w:tcBorders>
          </w:tcPr>
          <w:p w14:paraId="31FFC9B4" w14:textId="77777777" w:rsidR="002D58E4" w:rsidRDefault="002D58E4">
            <w:pPr>
              <w:widowControl w:val="0"/>
              <w:pBdr>
                <w:top w:val="nil"/>
                <w:left w:val="nil"/>
                <w:bottom w:val="nil"/>
                <w:right w:val="nil"/>
                <w:between w:val="nil"/>
              </w:pBdr>
              <w:spacing w:line="276" w:lineRule="auto"/>
              <w:rPr>
                <w:sz w:val="20"/>
                <w:szCs w:val="20"/>
              </w:rPr>
            </w:pPr>
          </w:p>
        </w:tc>
        <w:tc>
          <w:tcPr>
            <w:tcW w:w="1331" w:type="dxa"/>
            <w:tcBorders>
              <w:top w:val="single" w:sz="6" w:space="0" w:color="000000"/>
              <w:left w:val="single" w:sz="6" w:space="0" w:color="000000"/>
              <w:bottom w:val="single" w:sz="6" w:space="0" w:color="000000"/>
              <w:right w:val="single" w:sz="6" w:space="0" w:color="000000"/>
            </w:tcBorders>
          </w:tcPr>
          <w:p w14:paraId="3CE9DDC6" w14:textId="77777777" w:rsidR="002D58E4" w:rsidRDefault="00F721D4">
            <w:pPr>
              <w:jc w:val="center"/>
              <w:rPr>
                <w:sz w:val="20"/>
                <w:szCs w:val="20"/>
              </w:rPr>
            </w:pPr>
            <w:r>
              <w:rPr>
                <w:sz w:val="20"/>
                <w:szCs w:val="20"/>
              </w:rPr>
              <w:t>Definitive LB: 49/53 (92.5%)</w:t>
            </w:r>
          </w:p>
        </w:tc>
        <w:tc>
          <w:tcPr>
            <w:tcW w:w="1224" w:type="dxa"/>
            <w:tcBorders>
              <w:top w:val="single" w:sz="6" w:space="0" w:color="000000"/>
              <w:left w:val="single" w:sz="6" w:space="0" w:color="000000"/>
              <w:bottom w:val="single" w:sz="6" w:space="0" w:color="000000"/>
              <w:right w:val="single" w:sz="6" w:space="0" w:color="000000"/>
            </w:tcBorders>
          </w:tcPr>
          <w:p w14:paraId="72EDD788" w14:textId="77777777" w:rsidR="002D58E4" w:rsidRDefault="00F721D4">
            <w:pPr>
              <w:jc w:val="center"/>
              <w:rPr>
                <w:sz w:val="20"/>
                <w:szCs w:val="20"/>
              </w:rPr>
            </w:pPr>
            <w:r>
              <w:rPr>
                <w:sz w:val="20"/>
                <w:szCs w:val="20"/>
              </w:rPr>
              <w:t>Definitive LB: 47/54 (87.0%)</w:t>
            </w:r>
          </w:p>
        </w:tc>
        <w:tc>
          <w:tcPr>
            <w:tcW w:w="1444" w:type="dxa"/>
            <w:tcBorders>
              <w:top w:val="single" w:sz="6" w:space="0" w:color="000000"/>
              <w:left w:val="single" w:sz="6" w:space="0" w:color="000000"/>
              <w:bottom w:val="single" w:sz="6" w:space="0" w:color="000000"/>
              <w:right w:val="single" w:sz="6" w:space="0" w:color="000000"/>
            </w:tcBorders>
          </w:tcPr>
          <w:p w14:paraId="29727E1C" w14:textId="77777777" w:rsidR="002D58E4" w:rsidRDefault="00F721D4">
            <w:pPr>
              <w:jc w:val="center"/>
              <w:rPr>
                <w:sz w:val="20"/>
                <w:szCs w:val="20"/>
              </w:rPr>
            </w:pPr>
            <w:r>
              <w:rPr>
                <w:sz w:val="20"/>
                <w:szCs w:val="20"/>
              </w:rPr>
              <w:t xml:space="preserve">1.06 </w:t>
            </w:r>
          </w:p>
          <w:p w14:paraId="285CBBD5" w14:textId="77777777" w:rsidR="002D58E4" w:rsidRDefault="00F721D4">
            <w:pPr>
              <w:jc w:val="center"/>
              <w:rPr>
                <w:sz w:val="20"/>
                <w:szCs w:val="20"/>
              </w:rPr>
            </w:pPr>
            <w:r>
              <w:rPr>
                <w:sz w:val="20"/>
                <w:szCs w:val="20"/>
              </w:rPr>
              <w:t>(0.93 to 1.21)</w:t>
            </w:r>
          </w:p>
        </w:tc>
        <w:tc>
          <w:tcPr>
            <w:tcW w:w="2524" w:type="dxa"/>
            <w:tcBorders>
              <w:top w:val="single" w:sz="6" w:space="0" w:color="000000"/>
              <w:left w:val="single" w:sz="6" w:space="0" w:color="000000"/>
              <w:bottom w:val="single" w:sz="6" w:space="0" w:color="000000"/>
              <w:right w:val="single" w:sz="6" w:space="0" w:color="000000"/>
            </w:tcBorders>
          </w:tcPr>
          <w:p w14:paraId="089EB50C" w14:textId="77777777" w:rsidR="002D58E4" w:rsidRDefault="00F721D4">
            <w:pPr>
              <w:jc w:val="center"/>
              <w:rPr>
                <w:sz w:val="20"/>
                <w:szCs w:val="20"/>
              </w:rPr>
            </w:pPr>
            <w:r>
              <w:rPr>
                <w:sz w:val="20"/>
                <w:szCs w:val="20"/>
              </w:rPr>
              <w:t>54 more per 1,000</w:t>
            </w:r>
          </w:p>
          <w:p w14:paraId="4B943898" w14:textId="77777777" w:rsidR="002D58E4" w:rsidRDefault="00F721D4">
            <w:pPr>
              <w:jc w:val="center"/>
              <w:rPr>
                <w:sz w:val="20"/>
                <w:szCs w:val="20"/>
              </w:rPr>
            </w:pPr>
            <w:r>
              <w:rPr>
                <w:sz w:val="20"/>
                <w:szCs w:val="20"/>
              </w:rPr>
              <w:t>(from 60 fewer to 169 more)</w:t>
            </w:r>
          </w:p>
        </w:tc>
        <w:tc>
          <w:tcPr>
            <w:tcW w:w="989" w:type="dxa"/>
            <w:tcBorders>
              <w:top w:val="single" w:sz="6" w:space="0" w:color="000000"/>
              <w:left w:val="single" w:sz="6" w:space="0" w:color="000000"/>
              <w:bottom w:val="single" w:sz="6" w:space="0" w:color="000000"/>
              <w:right w:val="single" w:sz="6" w:space="0" w:color="000000"/>
            </w:tcBorders>
          </w:tcPr>
          <w:p w14:paraId="104BF1A5" w14:textId="77777777" w:rsidR="002D58E4" w:rsidRDefault="002D58E4">
            <w:pPr>
              <w:jc w:val="center"/>
              <w:rPr>
                <w:rFonts w:ascii="Cambria Math" w:eastAsia="Cambria Math" w:hAnsi="Cambria Math" w:cs="Cambria Math"/>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4C81F2ED" w14:textId="77777777" w:rsidR="002D58E4" w:rsidRDefault="002D58E4">
            <w:pPr>
              <w:rPr>
                <w:sz w:val="20"/>
                <w:szCs w:val="20"/>
              </w:rPr>
            </w:pPr>
          </w:p>
        </w:tc>
      </w:tr>
      <w:tr w:rsidR="002D58E4" w14:paraId="12FF1C55" w14:textId="77777777">
        <w:tc>
          <w:tcPr>
            <w:tcW w:w="718" w:type="dxa"/>
            <w:vMerge/>
            <w:tcBorders>
              <w:top w:val="single" w:sz="6" w:space="0" w:color="000000"/>
              <w:left w:val="single" w:sz="6" w:space="0" w:color="000000"/>
              <w:right w:val="single" w:sz="6" w:space="0" w:color="000000"/>
            </w:tcBorders>
          </w:tcPr>
          <w:p w14:paraId="3716CCD2" w14:textId="77777777" w:rsidR="002D58E4" w:rsidRDefault="002D58E4">
            <w:pPr>
              <w:widowControl w:val="0"/>
              <w:pBdr>
                <w:top w:val="nil"/>
                <w:left w:val="nil"/>
                <w:bottom w:val="nil"/>
                <w:right w:val="nil"/>
                <w:between w:val="nil"/>
              </w:pBdr>
              <w:spacing w:line="276" w:lineRule="auto"/>
              <w:rPr>
                <w:sz w:val="20"/>
                <w:szCs w:val="20"/>
              </w:rPr>
            </w:pPr>
          </w:p>
        </w:tc>
        <w:tc>
          <w:tcPr>
            <w:tcW w:w="696" w:type="dxa"/>
            <w:vMerge/>
            <w:tcBorders>
              <w:top w:val="single" w:sz="6" w:space="0" w:color="000000"/>
              <w:left w:val="single" w:sz="6" w:space="0" w:color="000000"/>
              <w:right w:val="single" w:sz="6" w:space="0" w:color="000000"/>
            </w:tcBorders>
          </w:tcPr>
          <w:p w14:paraId="00BC636B" w14:textId="77777777" w:rsidR="002D58E4" w:rsidRDefault="002D58E4">
            <w:pPr>
              <w:widowControl w:val="0"/>
              <w:pBdr>
                <w:top w:val="nil"/>
                <w:left w:val="nil"/>
                <w:bottom w:val="nil"/>
                <w:right w:val="nil"/>
                <w:between w:val="nil"/>
              </w:pBdr>
              <w:spacing w:line="276" w:lineRule="auto"/>
              <w:rPr>
                <w:sz w:val="20"/>
                <w:szCs w:val="20"/>
              </w:rPr>
            </w:pPr>
          </w:p>
        </w:tc>
        <w:tc>
          <w:tcPr>
            <w:tcW w:w="994" w:type="dxa"/>
            <w:vMerge/>
            <w:tcBorders>
              <w:top w:val="single" w:sz="6" w:space="0" w:color="000000"/>
              <w:left w:val="single" w:sz="6" w:space="0" w:color="000000"/>
              <w:right w:val="single" w:sz="6" w:space="0" w:color="000000"/>
            </w:tcBorders>
          </w:tcPr>
          <w:p w14:paraId="563EAC27" w14:textId="77777777" w:rsidR="002D58E4" w:rsidRDefault="002D58E4">
            <w:pPr>
              <w:widowControl w:val="0"/>
              <w:pBdr>
                <w:top w:val="nil"/>
                <w:left w:val="nil"/>
                <w:bottom w:val="nil"/>
                <w:right w:val="nil"/>
                <w:between w:val="nil"/>
              </w:pBdr>
              <w:spacing w:line="276" w:lineRule="auto"/>
              <w:rPr>
                <w:sz w:val="20"/>
                <w:szCs w:val="20"/>
              </w:rPr>
            </w:pPr>
          </w:p>
        </w:tc>
        <w:tc>
          <w:tcPr>
            <w:tcW w:w="1132" w:type="dxa"/>
            <w:vMerge/>
            <w:tcBorders>
              <w:top w:val="single" w:sz="6" w:space="0" w:color="000000"/>
              <w:left w:val="single" w:sz="6" w:space="0" w:color="000000"/>
              <w:right w:val="single" w:sz="6" w:space="0" w:color="000000"/>
            </w:tcBorders>
          </w:tcPr>
          <w:p w14:paraId="3D5F3B6C" w14:textId="77777777" w:rsidR="002D58E4" w:rsidRDefault="002D58E4">
            <w:pPr>
              <w:widowControl w:val="0"/>
              <w:pBdr>
                <w:top w:val="nil"/>
                <w:left w:val="nil"/>
                <w:bottom w:val="nil"/>
                <w:right w:val="nil"/>
                <w:between w:val="nil"/>
              </w:pBdr>
              <w:spacing w:line="276" w:lineRule="auto"/>
              <w:rPr>
                <w:sz w:val="20"/>
                <w:szCs w:val="20"/>
              </w:rPr>
            </w:pPr>
          </w:p>
        </w:tc>
        <w:tc>
          <w:tcPr>
            <w:tcW w:w="1134" w:type="dxa"/>
            <w:vMerge/>
            <w:tcBorders>
              <w:top w:val="single" w:sz="6" w:space="0" w:color="000000"/>
              <w:left w:val="single" w:sz="6" w:space="0" w:color="000000"/>
              <w:right w:val="single" w:sz="6" w:space="0" w:color="000000"/>
            </w:tcBorders>
          </w:tcPr>
          <w:p w14:paraId="097768B7" w14:textId="77777777" w:rsidR="002D58E4" w:rsidRDefault="002D58E4">
            <w:pPr>
              <w:widowControl w:val="0"/>
              <w:pBdr>
                <w:top w:val="nil"/>
                <w:left w:val="nil"/>
                <w:bottom w:val="nil"/>
                <w:right w:val="nil"/>
                <w:between w:val="nil"/>
              </w:pBdr>
              <w:spacing w:line="276" w:lineRule="auto"/>
              <w:rPr>
                <w:sz w:val="20"/>
                <w:szCs w:val="20"/>
              </w:rPr>
            </w:pPr>
          </w:p>
        </w:tc>
        <w:tc>
          <w:tcPr>
            <w:tcW w:w="992" w:type="dxa"/>
            <w:vMerge/>
            <w:tcBorders>
              <w:top w:val="single" w:sz="6" w:space="0" w:color="000000"/>
              <w:left w:val="single" w:sz="6" w:space="0" w:color="000000"/>
              <w:right w:val="single" w:sz="6" w:space="0" w:color="000000"/>
            </w:tcBorders>
          </w:tcPr>
          <w:p w14:paraId="44F8FD16" w14:textId="77777777" w:rsidR="002D58E4" w:rsidRDefault="002D58E4">
            <w:pPr>
              <w:widowControl w:val="0"/>
              <w:pBdr>
                <w:top w:val="nil"/>
                <w:left w:val="nil"/>
                <w:bottom w:val="nil"/>
                <w:right w:val="nil"/>
                <w:between w:val="nil"/>
              </w:pBdr>
              <w:spacing w:line="276" w:lineRule="auto"/>
              <w:rPr>
                <w:sz w:val="20"/>
                <w:szCs w:val="20"/>
              </w:rPr>
            </w:pPr>
          </w:p>
        </w:tc>
        <w:tc>
          <w:tcPr>
            <w:tcW w:w="856" w:type="dxa"/>
            <w:vMerge/>
            <w:tcBorders>
              <w:top w:val="single" w:sz="6" w:space="0" w:color="000000"/>
              <w:left w:val="single" w:sz="6" w:space="0" w:color="000000"/>
              <w:right w:val="single" w:sz="6" w:space="0" w:color="000000"/>
            </w:tcBorders>
          </w:tcPr>
          <w:p w14:paraId="1F120F35" w14:textId="77777777" w:rsidR="002D58E4" w:rsidRDefault="002D58E4">
            <w:pPr>
              <w:widowControl w:val="0"/>
              <w:pBdr>
                <w:top w:val="nil"/>
                <w:left w:val="nil"/>
                <w:bottom w:val="nil"/>
                <w:right w:val="nil"/>
                <w:between w:val="nil"/>
              </w:pBdr>
              <w:spacing w:line="276" w:lineRule="auto"/>
              <w:rPr>
                <w:sz w:val="20"/>
                <w:szCs w:val="20"/>
              </w:rPr>
            </w:pPr>
          </w:p>
        </w:tc>
        <w:tc>
          <w:tcPr>
            <w:tcW w:w="1331" w:type="dxa"/>
            <w:tcBorders>
              <w:top w:val="single" w:sz="6" w:space="0" w:color="000000"/>
              <w:left w:val="single" w:sz="6" w:space="0" w:color="000000"/>
              <w:bottom w:val="single" w:sz="6" w:space="0" w:color="000000"/>
              <w:right w:val="single" w:sz="6" w:space="0" w:color="000000"/>
            </w:tcBorders>
          </w:tcPr>
          <w:p w14:paraId="12DE3268" w14:textId="77777777" w:rsidR="002D58E4" w:rsidRDefault="00F721D4">
            <w:pPr>
              <w:jc w:val="center"/>
              <w:rPr>
                <w:sz w:val="20"/>
                <w:szCs w:val="20"/>
              </w:rPr>
            </w:pPr>
            <w:r>
              <w:rPr>
                <w:sz w:val="20"/>
                <w:szCs w:val="20"/>
              </w:rPr>
              <w:t>Possible LB: 10/20 (50.0%)</w:t>
            </w:r>
          </w:p>
        </w:tc>
        <w:tc>
          <w:tcPr>
            <w:tcW w:w="1224" w:type="dxa"/>
            <w:tcBorders>
              <w:top w:val="single" w:sz="6" w:space="0" w:color="000000"/>
              <w:left w:val="single" w:sz="6" w:space="0" w:color="000000"/>
              <w:bottom w:val="single" w:sz="6" w:space="0" w:color="000000"/>
              <w:right w:val="single" w:sz="6" w:space="0" w:color="000000"/>
            </w:tcBorders>
          </w:tcPr>
          <w:p w14:paraId="71408490" w14:textId="77777777" w:rsidR="002D58E4" w:rsidRDefault="00F721D4">
            <w:pPr>
              <w:jc w:val="center"/>
              <w:rPr>
                <w:sz w:val="20"/>
                <w:szCs w:val="20"/>
              </w:rPr>
            </w:pPr>
            <w:r>
              <w:rPr>
                <w:sz w:val="20"/>
                <w:szCs w:val="20"/>
              </w:rPr>
              <w:t xml:space="preserve">Possible LB: </w:t>
            </w:r>
          </w:p>
          <w:p w14:paraId="532A7EC6" w14:textId="77777777" w:rsidR="002D58E4" w:rsidRDefault="00F721D4">
            <w:pPr>
              <w:jc w:val="center"/>
              <w:rPr>
                <w:sz w:val="20"/>
                <w:szCs w:val="20"/>
              </w:rPr>
            </w:pPr>
            <w:r>
              <w:rPr>
                <w:sz w:val="20"/>
                <w:szCs w:val="20"/>
              </w:rPr>
              <w:t xml:space="preserve">8/18 (44.4%)  </w:t>
            </w:r>
          </w:p>
        </w:tc>
        <w:tc>
          <w:tcPr>
            <w:tcW w:w="1444" w:type="dxa"/>
            <w:tcBorders>
              <w:top w:val="single" w:sz="6" w:space="0" w:color="000000"/>
              <w:left w:val="single" w:sz="6" w:space="0" w:color="000000"/>
              <w:bottom w:val="single" w:sz="6" w:space="0" w:color="000000"/>
              <w:right w:val="single" w:sz="6" w:space="0" w:color="000000"/>
            </w:tcBorders>
          </w:tcPr>
          <w:p w14:paraId="204E5284" w14:textId="77777777" w:rsidR="002D58E4" w:rsidRDefault="00F721D4">
            <w:pPr>
              <w:jc w:val="center"/>
              <w:rPr>
                <w:sz w:val="20"/>
                <w:szCs w:val="20"/>
              </w:rPr>
            </w:pPr>
            <w:r>
              <w:rPr>
                <w:sz w:val="20"/>
                <w:szCs w:val="20"/>
              </w:rPr>
              <w:t xml:space="preserve">1.13 </w:t>
            </w:r>
          </w:p>
          <w:p w14:paraId="77C04A99" w14:textId="77777777" w:rsidR="002D58E4" w:rsidRDefault="00F721D4">
            <w:pPr>
              <w:jc w:val="center"/>
              <w:rPr>
                <w:sz w:val="20"/>
                <w:szCs w:val="20"/>
              </w:rPr>
            </w:pPr>
            <w:r>
              <w:rPr>
                <w:sz w:val="20"/>
                <w:szCs w:val="20"/>
              </w:rPr>
              <w:t>(0.57 to 2.21)</w:t>
            </w:r>
          </w:p>
        </w:tc>
        <w:tc>
          <w:tcPr>
            <w:tcW w:w="2524" w:type="dxa"/>
            <w:tcBorders>
              <w:top w:val="single" w:sz="6" w:space="0" w:color="000000"/>
              <w:left w:val="single" w:sz="6" w:space="0" w:color="000000"/>
              <w:bottom w:val="single" w:sz="6" w:space="0" w:color="000000"/>
              <w:right w:val="single" w:sz="6" w:space="0" w:color="000000"/>
            </w:tcBorders>
          </w:tcPr>
          <w:p w14:paraId="26FAB5B6" w14:textId="77777777" w:rsidR="002D58E4" w:rsidRDefault="00F721D4">
            <w:pPr>
              <w:jc w:val="center"/>
              <w:rPr>
                <w:sz w:val="20"/>
                <w:szCs w:val="20"/>
              </w:rPr>
            </w:pPr>
            <w:r>
              <w:rPr>
                <w:sz w:val="20"/>
                <w:szCs w:val="20"/>
              </w:rPr>
              <w:t>56 more per 1,000</w:t>
            </w:r>
          </w:p>
          <w:p w14:paraId="7B19D0C5" w14:textId="77777777" w:rsidR="002D58E4" w:rsidRDefault="00F721D4">
            <w:pPr>
              <w:jc w:val="center"/>
              <w:rPr>
                <w:sz w:val="20"/>
                <w:szCs w:val="20"/>
              </w:rPr>
            </w:pPr>
            <w:r>
              <w:rPr>
                <w:sz w:val="20"/>
                <w:szCs w:val="20"/>
              </w:rPr>
              <w:t>(from 262 fewer to 373 more)</w:t>
            </w:r>
          </w:p>
        </w:tc>
        <w:tc>
          <w:tcPr>
            <w:tcW w:w="989" w:type="dxa"/>
            <w:tcBorders>
              <w:top w:val="single" w:sz="6" w:space="0" w:color="000000"/>
              <w:left w:val="single" w:sz="6" w:space="0" w:color="000000"/>
              <w:bottom w:val="single" w:sz="6" w:space="0" w:color="000000"/>
              <w:right w:val="single" w:sz="6" w:space="0" w:color="000000"/>
            </w:tcBorders>
          </w:tcPr>
          <w:p w14:paraId="286B049D" w14:textId="77777777" w:rsidR="002D58E4" w:rsidRDefault="002D58E4">
            <w:pPr>
              <w:jc w:val="center"/>
              <w:rPr>
                <w:rFonts w:ascii="Cambria Math" w:eastAsia="Cambria Math" w:hAnsi="Cambria Math" w:cs="Cambria Math"/>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2C9CB601" w14:textId="77777777" w:rsidR="002D58E4" w:rsidRDefault="002D58E4">
            <w:pPr>
              <w:rPr>
                <w:sz w:val="20"/>
                <w:szCs w:val="20"/>
              </w:rPr>
            </w:pPr>
          </w:p>
        </w:tc>
      </w:tr>
      <w:tr w:rsidR="002D58E4" w14:paraId="615B506F" w14:textId="77777777">
        <w:tc>
          <w:tcPr>
            <w:tcW w:w="15168"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FEEA5CB" w14:textId="77777777" w:rsidR="002D58E4" w:rsidRDefault="00F721D4">
            <w:pPr>
              <w:rPr>
                <w:b/>
                <w:sz w:val="20"/>
                <w:szCs w:val="20"/>
              </w:rPr>
            </w:pPr>
            <w:r>
              <w:rPr>
                <w:b/>
                <w:sz w:val="20"/>
                <w:szCs w:val="20"/>
              </w:rPr>
              <w:t xml:space="preserve">Diarrhea </w:t>
            </w:r>
          </w:p>
        </w:tc>
      </w:tr>
      <w:tr w:rsidR="002D58E4" w14:paraId="43FFE403" w14:textId="77777777">
        <w:tc>
          <w:tcPr>
            <w:tcW w:w="718" w:type="dxa"/>
            <w:tcBorders>
              <w:top w:val="single" w:sz="6" w:space="0" w:color="000000"/>
              <w:left w:val="single" w:sz="6" w:space="0" w:color="000000"/>
              <w:bottom w:val="single" w:sz="6" w:space="0" w:color="000000"/>
              <w:right w:val="single" w:sz="6" w:space="0" w:color="000000"/>
            </w:tcBorders>
          </w:tcPr>
          <w:p w14:paraId="07299D8D" w14:textId="77777777" w:rsidR="002D58E4" w:rsidRDefault="00F721D4">
            <w:pPr>
              <w:rPr>
                <w:sz w:val="20"/>
                <w:szCs w:val="20"/>
              </w:rPr>
            </w:pPr>
            <w:r>
              <w:rPr>
                <w:sz w:val="20"/>
                <w:szCs w:val="20"/>
              </w:rPr>
              <w:t xml:space="preserve">1 </w:t>
            </w:r>
          </w:p>
        </w:tc>
        <w:tc>
          <w:tcPr>
            <w:tcW w:w="696" w:type="dxa"/>
            <w:tcBorders>
              <w:top w:val="single" w:sz="6" w:space="0" w:color="000000"/>
              <w:left w:val="single" w:sz="6" w:space="0" w:color="000000"/>
              <w:bottom w:val="single" w:sz="6" w:space="0" w:color="000000"/>
              <w:right w:val="single" w:sz="6" w:space="0" w:color="000000"/>
            </w:tcBorders>
          </w:tcPr>
          <w:p w14:paraId="628DDAED" w14:textId="77777777" w:rsidR="002D58E4" w:rsidRDefault="00F721D4">
            <w:pPr>
              <w:rPr>
                <w:sz w:val="20"/>
                <w:szCs w:val="20"/>
              </w:rPr>
            </w:pPr>
            <w:r>
              <w:rPr>
                <w:sz w:val="20"/>
                <w:szCs w:val="20"/>
              </w:rPr>
              <w:t>R</w:t>
            </w:r>
            <w:r>
              <w:t>CT</w:t>
            </w:r>
            <w:r>
              <w:rPr>
                <w:sz w:val="20"/>
                <w:szCs w:val="20"/>
              </w:rPr>
              <w:t xml:space="preserve"> </w:t>
            </w:r>
            <w:r>
              <w:rPr>
                <w:sz w:val="20"/>
                <w:szCs w:val="20"/>
                <w:vertAlign w:val="superscript"/>
              </w:rPr>
              <w:t>1</w:t>
            </w:r>
          </w:p>
        </w:tc>
        <w:tc>
          <w:tcPr>
            <w:tcW w:w="994" w:type="dxa"/>
            <w:tcBorders>
              <w:top w:val="single" w:sz="6" w:space="0" w:color="000000"/>
              <w:left w:val="single" w:sz="6" w:space="0" w:color="000000"/>
              <w:bottom w:val="single" w:sz="6" w:space="0" w:color="000000"/>
              <w:right w:val="single" w:sz="6" w:space="0" w:color="000000"/>
            </w:tcBorders>
          </w:tcPr>
          <w:p w14:paraId="7714927B" w14:textId="77777777" w:rsidR="002D58E4" w:rsidRDefault="00F721D4">
            <w:pPr>
              <w:rPr>
                <w:sz w:val="20"/>
                <w:szCs w:val="20"/>
              </w:rPr>
            </w:pPr>
            <w:r>
              <w:rPr>
                <w:sz w:val="20"/>
                <w:szCs w:val="20"/>
              </w:rPr>
              <w:t>not serious</w:t>
            </w:r>
          </w:p>
        </w:tc>
        <w:tc>
          <w:tcPr>
            <w:tcW w:w="1132" w:type="dxa"/>
            <w:tcBorders>
              <w:top w:val="single" w:sz="6" w:space="0" w:color="000000"/>
              <w:left w:val="single" w:sz="6" w:space="0" w:color="000000"/>
              <w:bottom w:val="single" w:sz="6" w:space="0" w:color="000000"/>
              <w:right w:val="single" w:sz="6" w:space="0" w:color="000000"/>
            </w:tcBorders>
          </w:tcPr>
          <w:p w14:paraId="6B447776" w14:textId="77777777" w:rsidR="002D58E4" w:rsidRDefault="00F721D4">
            <w:pPr>
              <w:rPr>
                <w:sz w:val="20"/>
                <w:szCs w:val="20"/>
              </w:rPr>
            </w:pPr>
            <w:r>
              <w:rPr>
                <w:sz w:val="20"/>
                <w:szCs w:val="20"/>
              </w:rPr>
              <w:t>not serious</w:t>
            </w:r>
          </w:p>
        </w:tc>
        <w:tc>
          <w:tcPr>
            <w:tcW w:w="1134" w:type="dxa"/>
            <w:tcBorders>
              <w:top w:val="single" w:sz="6" w:space="0" w:color="000000"/>
              <w:left w:val="single" w:sz="6" w:space="0" w:color="000000"/>
              <w:bottom w:val="single" w:sz="6" w:space="0" w:color="000000"/>
              <w:right w:val="single" w:sz="6" w:space="0" w:color="000000"/>
            </w:tcBorders>
          </w:tcPr>
          <w:p w14:paraId="3CA7D098" w14:textId="77777777" w:rsidR="002D58E4" w:rsidRDefault="00F721D4">
            <w:pPr>
              <w:rPr>
                <w:sz w:val="20"/>
                <w:szCs w:val="20"/>
              </w:rPr>
            </w:pPr>
            <w:r>
              <w:rPr>
                <w:sz w:val="20"/>
                <w:szCs w:val="20"/>
              </w:rPr>
              <w:t>not serious</w:t>
            </w:r>
          </w:p>
        </w:tc>
        <w:tc>
          <w:tcPr>
            <w:tcW w:w="992" w:type="dxa"/>
            <w:tcBorders>
              <w:top w:val="single" w:sz="6" w:space="0" w:color="000000"/>
              <w:left w:val="single" w:sz="6" w:space="0" w:color="000000"/>
              <w:bottom w:val="single" w:sz="6" w:space="0" w:color="000000"/>
              <w:right w:val="single" w:sz="6" w:space="0" w:color="000000"/>
            </w:tcBorders>
          </w:tcPr>
          <w:p w14:paraId="0CFA3243" w14:textId="77777777" w:rsidR="002D58E4" w:rsidRDefault="00F721D4">
            <w:pPr>
              <w:rPr>
                <w:sz w:val="20"/>
                <w:szCs w:val="20"/>
              </w:rPr>
            </w:pPr>
            <w:r>
              <w:rPr>
                <w:sz w:val="20"/>
                <w:szCs w:val="20"/>
              </w:rPr>
              <w:t xml:space="preserve">serious </w:t>
            </w:r>
            <w:r>
              <w:rPr>
                <w:sz w:val="20"/>
                <w:szCs w:val="20"/>
                <w:vertAlign w:val="superscript"/>
              </w:rPr>
              <w:t>b</w:t>
            </w:r>
          </w:p>
        </w:tc>
        <w:tc>
          <w:tcPr>
            <w:tcW w:w="856" w:type="dxa"/>
            <w:tcBorders>
              <w:top w:val="single" w:sz="6" w:space="0" w:color="000000"/>
              <w:left w:val="single" w:sz="6" w:space="0" w:color="000000"/>
              <w:bottom w:val="single" w:sz="6" w:space="0" w:color="000000"/>
              <w:right w:val="single" w:sz="6" w:space="0" w:color="000000"/>
            </w:tcBorders>
          </w:tcPr>
          <w:p w14:paraId="7566DC0D" w14:textId="77777777" w:rsidR="002D58E4" w:rsidRDefault="00F721D4">
            <w:pPr>
              <w:rPr>
                <w:sz w:val="20"/>
                <w:szCs w:val="20"/>
              </w:rPr>
            </w:pPr>
            <w:r>
              <w:rPr>
                <w:sz w:val="20"/>
                <w:szCs w:val="20"/>
              </w:rPr>
              <w:t xml:space="preserve">none </w:t>
            </w:r>
          </w:p>
        </w:tc>
        <w:tc>
          <w:tcPr>
            <w:tcW w:w="1331" w:type="dxa"/>
            <w:tcBorders>
              <w:top w:val="single" w:sz="6" w:space="0" w:color="000000"/>
              <w:left w:val="single" w:sz="6" w:space="0" w:color="000000"/>
              <w:bottom w:val="single" w:sz="6" w:space="0" w:color="000000"/>
              <w:right w:val="single" w:sz="6" w:space="0" w:color="000000"/>
            </w:tcBorders>
          </w:tcPr>
          <w:p w14:paraId="0614C2E8" w14:textId="77777777" w:rsidR="002D58E4" w:rsidRDefault="00F721D4">
            <w:pPr>
              <w:jc w:val="center"/>
              <w:rPr>
                <w:sz w:val="20"/>
                <w:szCs w:val="20"/>
              </w:rPr>
            </w:pPr>
            <w:r>
              <w:rPr>
                <w:sz w:val="20"/>
                <w:szCs w:val="20"/>
              </w:rPr>
              <w:t xml:space="preserve">15/73 </w:t>
            </w:r>
          </w:p>
          <w:p w14:paraId="6585EC36" w14:textId="77777777" w:rsidR="002D58E4" w:rsidRDefault="00F721D4">
            <w:pPr>
              <w:jc w:val="center"/>
              <w:rPr>
                <w:sz w:val="20"/>
                <w:szCs w:val="20"/>
              </w:rPr>
            </w:pPr>
            <w:r>
              <w:rPr>
                <w:sz w:val="20"/>
                <w:szCs w:val="20"/>
              </w:rPr>
              <w:t xml:space="preserve">(20.5%) </w:t>
            </w:r>
          </w:p>
        </w:tc>
        <w:tc>
          <w:tcPr>
            <w:tcW w:w="1224" w:type="dxa"/>
            <w:tcBorders>
              <w:top w:val="single" w:sz="6" w:space="0" w:color="000000"/>
              <w:left w:val="single" w:sz="6" w:space="0" w:color="000000"/>
              <w:bottom w:val="single" w:sz="6" w:space="0" w:color="000000"/>
              <w:right w:val="single" w:sz="6" w:space="0" w:color="000000"/>
            </w:tcBorders>
          </w:tcPr>
          <w:p w14:paraId="5DC3BAB8" w14:textId="77777777" w:rsidR="002D58E4" w:rsidRDefault="00F721D4">
            <w:pPr>
              <w:jc w:val="center"/>
              <w:rPr>
                <w:sz w:val="20"/>
                <w:szCs w:val="20"/>
              </w:rPr>
            </w:pPr>
            <w:r>
              <w:rPr>
                <w:sz w:val="20"/>
                <w:szCs w:val="20"/>
              </w:rPr>
              <w:t xml:space="preserve">4/72 </w:t>
            </w:r>
          </w:p>
          <w:p w14:paraId="38DEFC49" w14:textId="77777777" w:rsidR="002D58E4" w:rsidRDefault="00F721D4">
            <w:pPr>
              <w:jc w:val="center"/>
              <w:rPr>
                <w:sz w:val="20"/>
                <w:szCs w:val="20"/>
              </w:rPr>
            </w:pPr>
            <w:r>
              <w:rPr>
                <w:sz w:val="20"/>
                <w:szCs w:val="20"/>
              </w:rPr>
              <w:t xml:space="preserve">(5.6%) </w:t>
            </w:r>
          </w:p>
        </w:tc>
        <w:tc>
          <w:tcPr>
            <w:tcW w:w="1444" w:type="dxa"/>
            <w:tcBorders>
              <w:top w:val="single" w:sz="6" w:space="0" w:color="000000"/>
              <w:left w:val="single" w:sz="6" w:space="0" w:color="000000"/>
              <w:bottom w:val="single" w:sz="6" w:space="0" w:color="000000"/>
              <w:right w:val="single" w:sz="6" w:space="0" w:color="000000"/>
            </w:tcBorders>
          </w:tcPr>
          <w:p w14:paraId="5D815562" w14:textId="77777777" w:rsidR="002D58E4" w:rsidRDefault="00F721D4">
            <w:pPr>
              <w:jc w:val="center"/>
              <w:rPr>
                <w:b/>
                <w:sz w:val="20"/>
                <w:szCs w:val="20"/>
              </w:rPr>
            </w:pPr>
            <w:r>
              <w:rPr>
                <w:b/>
                <w:sz w:val="20"/>
                <w:szCs w:val="20"/>
              </w:rPr>
              <w:t>RR 3.70</w:t>
            </w:r>
            <w:r>
              <w:rPr>
                <w:b/>
                <w:sz w:val="20"/>
                <w:szCs w:val="20"/>
              </w:rPr>
              <w:br/>
              <w:t xml:space="preserve">(1.29 to 10.61) </w:t>
            </w:r>
          </w:p>
        </w:tc>
        <w:tc>
          <w:tcPr>
            <w:tcW w:w="2524" w:type="dxa"/>
            <w:tcBorders>
              <w:top w:val="single" w:sz="6" w:space="0" w:color="000000"/>
              <w:left w:val="single" w:sz="6" w:space="0" w:color="000000"/>
              <w:bottom w:val="single" w:sz="6" w:space="0" w:color="000000"/>
              <w:right w:val="single" w:sz="6" w:space="0" w:color="000000"/>
            </w:tcBorders>
          </w:tcPr>
          <w:p w14:paraId="45B57AC6" w14:textId="77777777" w:rsidR="002D58E4" w:rsidRDefault="00F721D4">
            <w:pPr>
              <w:jc w:val="center"/>
              <w:rPr>
                <w:sz w:val="20"/>
                <w:szCs w:val="20"/>
              </w:rPr>
            </w:pPr>
            <w:r>
              <w:rPr>
                <w:b/>
                <w:sz w:val="20"/>
                <w:szCs w:val="20"/>
              </w:rPr>
              <w:t>150 more per 1,000</w:t>
            </w:r>
            <w:r>
              <w:rPr>
                <w:sz w:val="20"/>
                <w:szCs w:val="20"/>
              </w:rPr>
              <w:br/>
            </w:r>
            <w:r>
              <w:rPr>
                <w:b/>
                <w:sz w:val="20"/>
                <w:szCs w:val="20"/>
              </w:rPr>
              <w:t>(from 16 more to 534 more)</w:t>
            </w:r>
            <w:r>
              <w:rPr>
                <w:sz w:val="20"/>
                <w:szCs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5E33E68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34" w:type="dxa"/>
            <w:tcBorders>
              <w:top w:val="single" w:sz="6" w:space="0" w:color="000000"/>
              <w:left w:val="single" w:sz="6" w:space="0" w:color="000000"/>
              <w:bottom w:val="single" w:sz="6" w:space="0" w:color="000000"/>
              <w:right w:val="single" w:sz="6" w:space="0" w:color="000000"/>
            </w:tcBorders>
          </w:tcPr>
          <w:p w14:paraId="081FB8C4" w14:textId="77777777" w:rsidR="002D58E4" w:rsidRDefault="00F721D4">
            <w:pPr>
              <w:jc w:val="center"/>
              <w:rPr>
                <w:sz w:val="20"/>
                <w:szCs w:val="20"/>
              </w:rPr>
            </w:pPr>
            <w:r>
              <w:rPr>
                <w:sz w:val="20"/>
                <w:szCs w:val="20"/>
              </w:rPr>
              <w:t>CRITICAL</w:t>
            </w:r>
          </w:p>
        </w:tc>
      </w:tr>
    </w:tbl>
    <w:p w14:paraId="4ADB1264" w14:textId="77777777" w:rsidR="002D58E4" w:rsidRDefault="00F721D4">
      <w:pPr>
        <w:pBdr>
          <w:top w:val="nil"/>
          <w:left w:val="nil"/>
          <w:bottom w:val="nil"/>
          <w:right w:val="nil"/>
          <w:between w:val="nil"/>
        </w:pBdr>
        <w:spacing w:before="100" w:after="100" w:line="240" w:lineRule="auto"/>
        <w:rPr>
          <w:color w:val="000000"/>
          <w:sz w:val="20"/>
          <w:szCs w:val="20"/>
        </w:rPr>
      </w:pPr>
      <w:r>
        <w:rPr>
          <w:color w:val="000000"/>
          <w:sz w:val="20"/>
          <w:szCs w:val="20"/>
        </w:rPr>
        <w:t>*Improvement of Neurologic Lyme Symptoms was defined according to the clinical status measured by VAS scale 1-100 (excellent or good clinical outcome=VAS &lt;30).</w:t>
      </w:r>
    </w:p>
    <w:p w14:paraId="515D7539"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47EA6FBD" w14:textId="77777777" w:rsidR="004D1B29" w:rsidRDefault="004D1B29" w:rsidP="004D1B29">
      <w:pPr>
        <w:spacing w:before="280" w:after="0"/>
        <w:rPr>
          <w:b/>
          <w:color w:val="000000"/>
          <w:sz w:val="24"/>
          <w:szCs w:val="24"/>
        </w:rPr>
      </w:pPr>
      <w:r>
        <w:rPr>
          <w:b/>
          <w:color w:val="000000"/>
          <w:sz w:val="24"/>
          <w:szCs w:val="24"/>
        </w:rPr>
        <w:t>Explanations</w:t>
      </w:r>
    </w:p>
    <w:p w14:paraId="0966DEF5" w14:textId="34863982" w:rsidR="002D58E4" w:rsidRDefault="00F721D4" w:rsidP="00034090">
      <w:pPr>
        <w:spacing w:after="0" w:line="240" w:lineRule="auto"/>
        <w:rPr>
          <w:color w:val="000000"/>
          <w:sz w:val="18"/>
          <w:szCs w:val="18"/>
        </w:rPr>
      </w:pPr>
      <w:r>
        <w:rPr>
          <w:color w:val="000000"/>
          <w:sz w:val="18"/>
          <w:szCs w:val="18"/>
        </w:rPr>
        <w:t>a. CI crossing the null value</w:t>
      </w:r>
      <w:r w:rsidR="00034090">
        <w:rPr>
          <w:color w:val="000000"/>
          <w:sz w:val="18"/>
          <w:szCs w:val="18"/>
        </w:rPr>
        <w:t>.</w:t>
      </w:r>
    </w:p>
    <w:p w14:paraId="4A8408E9" w14:textId="1F8218BD" w:rsidR="002D58E4" w:rsidRDefault="00F721D4" w:rsidP="00034090">
      <w:pPr>
        <w:spacing w:after="0" w:line="240" w:lineRule="auto"/>
        <w:rPr>
          <w:color w:val="000000"/>
          <w:sz w:val="18"/>
          <w:szCs w:val="18"/>
        </w:rPr>
      </w:pPr>
      <w:r>
        <w:rPr>
          <w:color w:val="000000"/>
          <w:sz w:val="18"/>
          <w:szCs w:val="18"/>
        </w:rPr>
        <w:t>b. Fragility due to low event rate</w:t>
      </w:r>
      <w:r w:rsidR="00034090">
        <w:rPr>
          <w:color w:val="000000"/>
          <w:sz w:val="18"/>
          <w:szCs w:val="18"/>
        </w:rPr>
        <w:t>.</w:t>
      </w:r>
    </w:p>
    <w:p w14:paraId="4656BD6B" w14:textId="77777777" w:rsidR="002D58E4" w:rsidRDefault="00F721D4">
      <w:pPr>
        <w:widowControl w:val="0"/>
        <w:pBdr>
          <w:top w:val="nil"/>
          <w:left w:val="nil"/>
          <w:bottom w:val="nil"/>
          <w:right w:val="nil"/>
          <w:between w:val="nil"/>
        </w:pBdr>
        <w:spacing w:after="0"/>
        <w:rPr>
          <w:color w:val="000000"/>
          <w:sz w:val="18"/>
          <w:szCs w:val="18"/>
        </w:rPr>
        <w:sectPr w:rsidR="002D58E4" w:rsidSect="00E14B2B">
          <w:type w:val="continuous"/>
          <w:pgSz w:w="15840" w:h="12240"/>
          <w:pgMar w:top="720" w:right="1239" w:bottom="720" w:left="720" w:header="720" w:footer="720" w:gutter="0"/>
          <w:cols w:space="720" w:equalWidth="0">
            <w:col w:w="13881"/>
          </w:cols>
        </w:sectPr>
      </w:pPr>
      <w:r>
        <w:br w:type="page"/>
      </w:r>
    </w:p>
    <w:p w14:paraId="08AD857F" w14:textId="77777777" w:rsidR="002D58E4" w:rsidRDefault="00F721D4">
      <w:pPr>
        <w:spacing w:after="0"/>
        <w:rPr>
          <w:b/>
          <w:color w:val="000000"/>
          <w:u w:val="single"/>
        </w:rPr>
      </w:pPr>
      <w:r>
        <w:rPr>
          <w:b/>
          <w:color w:val="000000"/>
          <w:u w:val="single"/>
        </w:rPr>
        <w:t>2 WEEKS OF IV CEFTRIAXONE followed by prolonged ORAL AMOXICILLIN (100 days) vs. prolonged ORAL CEFIXIME (100 days)</w:t>
      </w:r>
    </w:p>
    <w:p w14:paraId="03E70187" w14:textId="77777777" w:rsidR="002D58E4" w:rsidRDefault="00F721D4">
      <w:pPr>
        <w:spacing w:after="0"/>
        <w:rPr>
          <w:b/>
        </w:rPr>
      </w:pPr>
      <w:r>
        <w:rPr>
          <w:b/>
        </w:rPr>
        <w:t>In patients with Lyme neuroborreliosis, should extending initial IV Ceftriaxone with oral amoxicillin be used over prolonged oral Cefixime?</w:t>
      </w:r>
    </w:p>
    <w:p w14:paraId="503247D9" w14:textId="77777777" w:rsidR="002D58E4" w:rsidRDefault="00F721D4">
      <w:pPr>
        <w:spacing w:after="0"/>
      </w:pPr>
      <w:r>
        <w:t>P: In patients with Lyme neuroborreliosis</w:t>
      </w:r>
    </w:p>
    <w:p w14:paraId="33FB2554" w14:textId="77777777" w:rsidR="002D58E4" w:rsidRDefault="00F721D4">
      <w:pPr>
        <w:spacing w:after="0"/>
      </w:pPr>
      <w:r>
        <w:t>I: 2 weeks of IV Ceftriaxone followed by oral amoxicillin (100 days)</w:t>
      </w:r>
    </w:p>
    <w:p w14:paraId="44D3C4A8" w14:textId="77777777" w:rsidR="002D58E4" w:rsidRDefault="00F721D4">
      <w:pPr>
        <w:spacing w:after="0"/>
      </w:pPr>
      <w:r>
        <w:t>C: prolonged oral Cefixime (100 days)</w:t>
      </w:r>
    </w:p>
    <w:p w14:paraId="0B2C4344" w14:textId="77777777" w:rsidR="002D58E4" w:rsidRDefault="002D58E4">
      <w:pPr>
        <w:spacing w:after="0"/>
        <w:rPr>
          <w:b/>
          <w:color w:val="000000"/>
          <w:sz w:val="18"/>
          <w:szCs w:val="18"/>
        </w:rPr>
      </w:pPr>
    </w:p>
    <w:p w14:paraId="3C1D4033" w14:textId="77777777" w:rsidR="002D58E4" w:rsidRPr="002914A2" w:rsidRDefault="00F721D4" w:rsidP="00171735">
      <w:pPr>
        <w:rPr>
          <w:color w:val="000000"/>
          <w:sz w:val="18"/>
          <w:szCs w:val="18"/>
          <w:lang w:val="fr-CA"/>
        </w:rPr>
      </w:pPr>
      <w:r w:rsidRPr="002914A2">
        <w:rPr>
          <w:b/>
          <w:color w:val="000000"/>
          <w:sz w:val="18"/>
          <w:szCs w:val="18"/>
          <w:lang w:val="fr-CA"/>
        </w:rPr>
        <w:t>Bibliography</w:t>
      </w:r>
      <w:r w:rsidRPr="002914A2">
        <w:rPr>
          <w:color w:val="000000"/>
          <w:sz w:val="18"/>
          <w:szCs w:val="18"/>
          <w:lang w:val="fr-CA"/>
        </w:rPr>
        <w:t>: 1. Oksi, et al.  Eur J Clin Microbiol Infect Dis. 1998 Oct; 17(10): 715-9.</w:t>
      </w:r>
    </w:p>
    <w:tbl>
      <w:tblPr>
        <w:tblStyle w:val="aff6"/>
        <w:tblW w:w="14671" w:type="dxa"/>
        <w:tblInd w:w="-29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5"/>
        <w:gridCol w:w="691"/>
        <w:gridCol w:w="841"/>
        <w:gridCol w:w="1244"/>
        <w:gridCol w:w="1119"/>
        <w:gridCol w:w="1072"/>
        <w:gridCol w:w="829"/>
        <w:gridCol w:w="1316"/>
        <w:gridCol w:w="1135"/>
        <w:gridCol w:w="1281"/>
        <w:gridCol w:w="2409"/>
        <w:gridCol w:w="985"/>
        <w:gridCol w:w="1024"/>
      </w:tblGrid>
      <w:tr w:rsidR="00034090" w14:paraId="68177A29" w14:textId="77777777" w:rsidTr="00E343BA">
        <w:tc>
          <w:tcPr>
            <w:tcW w:w="6521"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4934BCB8" w14:textId="77777777" w:rsidR="00034090" w:rsidRDefault="00034090">
            <w:pPr>
              <w:jc w:val="center"/>
              <w:rPr>
                <w:b/>
                <w:sz w:val="20"/>
                <w:szCs w:val="20"/>
              </w:rPr>
            </w:pPr>
            <w:r>
              <w:rPr>
                <w:b/>
                <w:sz w:val="20"/>
                <w:szCs w:val="20"/>
              </w:rPr>
              <w:t>Certainty assessment</w:t>
            </w:r>
          </w:p>
        </w:tc>
        <w:tc>
          <w:tcPr>
            <w:tcW w:w="245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738B0AB" w14:textId="77777777" w:rsidR="00034090" w:rsidRDefault="00034090">
            <w:pPr>
              <w:jc w:val="center"/>
              <w:rPr>
                <w:b/>
                <w:sz w:val="20"/>
                <w:szCs w:val="20"/>
              </w:rPr>
            </w:pPr>
            <w:r>
              <w:rPr>
                <w:b/>
                <w:sz w:val="20"/>
                <w:szCs w:val="20"/>
              </w:rPr>
              <w:t>№ of events/№ of patients</w:t>
            </w:r>
          </w:p>
        </w:tc>
        <w:tc>
          <w:tcPr>
            <w:tcW w:w="369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4DE5116" w14:textId="77777777" w:rsidR="00034090" w:rsidRDefault="00034090">
            <w:pPr>
              <w:jc w:val="center"/>
              <w:rPr>
                <w:b/>
                <w:sz w:val="20"/>
                <w:szCs w:val="20"/>
              </w:rPr>
            </w:pPr>
            <w:r>
              <w:rPr>
                <w:b/>
                <w:sz w:val="20"/>
                <w:szCs w:val="20"/>
              </w:rPr>
              <w:t>Effect</w:t>
            </w:r>
          </w:p>
        </w:tc>
        <w:tc>
          <w:tcPr>
            <w:tcW w:w="985" w:type="dxa"/>
            <w:vMerge w:val="restart"/>
            <w:tcBorders>
              <w:top w:val="single" w:sz="6" w:space="0" w:color="000000"/>
              <w:left w:val="single" w:sz="6" w:space="0" w:color="000000"/>
              <w:right w:val="single" w:sz="6" w:space="0" w:color="000000"/>
            </w:tcBorders>
            <w:shd w:val="clear" w:color="auto" w:fill="D9D9D9"/>
            <w:vAlign w:val="center"/>
          </w:tcPr>
          <w:p w14:paraId="7FD97EF9" w14:textId="77777777" w:rsidR="00034090" w:rsidRDefault="00034090">
            <w:pPr>
              <w:jc w:val="center"/>
              <w:rPr>
                <w:b/>
                <w:sz w:val="20"/>
                <w:szCs w:val="20"/>
              </w:rPr>
            </w:pPr>
            <w:r>
              <w:rPr>
                <w:b/>
                <w:sz w:val="20"/>
                <w:szCs w:val="20"/>
              </w:rPr>
              <w:t>Certainty</w:t>
            </w:r>
          </w:p>
        </w:tc>
        <w:tc>
          <w:tcPr>
            <w:tcW w:w="1024" w:type="dxa"/>
            <w:vMerge w:val="restart"/>
            <w:tcBorders>
              <w:top w:val="single" w:sz="6" w:space="0" w:color="000000"/>
              <w:left w:val="single" w:sz="6" w:space="0" w:color="000000"/>
              <w:right w:val="single" w:sz="6" w:space="0" w:color="000000"/>
            </w:tcBorders>
            <w:shd w:val="clear" w:color="auto" w:fill="D9D9D9"/>
            <w:vAlign w:val="center"/>
          </w:tcPr>
          <w:p w14:paraId="55E90952" w14:textId="77777777" w:rsidR="00034090" w:rsidRDefault="00034090">
            <w:pPr>
              <w:jc w:val="center"/>
              <w:rPr>
                <w:b/>
                <w:sz w:val="20"/>
                <w:szCs w:val="20"/>
              </w:rPr>
            </w:pPr>
            <w:r>
              <w:rPr>
                <w:b/>
                <w:sz w:val="20"/>
                <w:szCs w:val="20"/>
              </w:rPr>
              <w:t>Importance</w:t>
            </w:r>
          </w:p>
        </w:tc>
      </w:tr>
      <w:tr w:rsidR="00034090" w14:paraId="29B6D410" w14:textId="77777777" w:rsidTr="00E343BA">
        <w:tc>
          <w:tcPr>
            <w:tcW w:w="7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7B65BE5" w14:textId="77777777" w:rsidR="00034090" w:rsidRDefault="00034090">
            <w:pPr>
              <w:jc w:val="center"/>
              <w:rPr>
                <w:b/>
                <w:sz w:val="20"/>
                <w:szCs w:val="20"/>
              </w:rPr>
            </w:pPr>
            <w:r>
              <w:rPr>
                <w:b/>
                <w:sz w:val="20"/>
                <w:szCs w:val="20"/>
              </w:rPr>
              <w:t>№ of studies</w:t>
            </w:r>
          </w:p>
        </w:tc>
        <w:tc>
          <w:tcPr>
            <w:tcW w:w="69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F05AB3" w14:textId="77777777" w:rsidR="00034090" w:rsidRDefault="00034090">
            <w:pPr>
              <w:jc w:val="center"/>
              <w:rPr>
                <w:b/>
                <w:sz w:val="20"/>
                <w:szCs w:val="20"/>
              </w:rPr>
            </w:pPr>
            <w:r>
              <w:rPr>
                <w:b/>
                <w:sz w:val="20"/>
                <w:szCs w:val="20"/>
              </w:rPr>
              <w:t>Study design</w:t>
            </w:r>
          </w:p>
        </w:tc>
        <w:tc>
          <w:tcPr>
            <w:tcW w:w="84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4D45E30" w14:textId="77777777" w:rsidR="00034090" w:rsidRDefault="00034090">
            <w:pPr>
              <w:jc w:val="center"/>
              <w:rPr>
                <w:b/>
                <w:sz w:val="20"/>
                <w:szCs w:val="20"/>
              </w:rPr>
            </w:pPr>
            <w:r>
              <w:rPr>
                <w:b/>
                <w:sz w:val="20"/>
                <w:szCs w:val="20"/>
              </w:rPr>
              <w:t>Risk of bias</w:t>
            </w:r>
          </w:p>
        </w:tc>
        <w:tc>
          <w:tcPr>
            <w:tcW w:w="124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22E5D7D" w14:textId="77777777" w:rsidR="00034090" w:rsidRDefault="00034090">
            <w:pPr>
              <w:jc w:val="center"/>
              <w:rPr>
                <w:b/>
                <w:sz w:val="20"/>
                <w:szCs w:val="20"/>
              </w:rPr>
            </w:pPr>
            <w:r>
              <w:rPr>
                <w:b/>
                <w:sz w:val="20"/>
                <w:szCs w:val="20"/>
              </w:rPr>
              <w:t>Inconsistency</w:t>
            </w:r>
          </w:p>
        </w:tc>
        <w:tc>
          <w:tcPr>
            <w:tcW w:w="111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7C5363E" w14:textId="77777777" w:rsidR="00034090" w:rsidRDefault="00034090">
            <w:pPr>
              <w:jc w:val="center"/>
              <w:rPr>
                <w:b/>
                <w:sz w:val="20"/>
                <w:szCs w:val="20"/>
              </w:rPr>
            </w:pPr>
            <w:r>
              <w:rPr>
                <w:b/>
                <w:sz w:val="20"/>
                <w:szCs w:val="20"/>
              </w:rPr>
              <w:t>Indirectness</w:t>
            </w:r>
          </w:p>
        </w:tc>
        <w:tc>
          <w:tcPr>
            <w:tcW w:w="107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3BE93FC" w14:textId="77777777" w:rsidR="00034090" w:rsidRDefault="00034090">
            <w:pPr>
              <w:jc w:val="center"/>
              <w:rPr>
                <w:b/>
                <w:sz w:val="20"/>
                <w:szCs w:val="20"/>
              </w:rPr>
            </w:pPr>
            <w:r>
              <w:rPr>
                <w:b/>
                <w:sz w:val="20"/>
                <w:szCs w:val="20"/>
              </w:rPr>
              <w:t>Imprecision</w:t>
            </w:r>
          </w:p>
        </w:tc>
        <w:tc>
          <w:tcPr>
            <w:tcW w:w="8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13FEB83" w14:textId="77777777" w:rsidR="00034090" w:rsidRDefault="00034090">
            <w:pPr>
              <w:jc w:val="center"/>
              <w:rPr>
                <w:b/>
                <w:sz w:val="20"/>
                <w:szCs w:val="20"/>
              </w:rPr>
            </w:pPr>
            <w:r>
              <w:rPr>
                <w:b/>
                <w:sz w:val="20"/>
                <w:szCs w:val="20"/>
              </w:rPr>
              <w:t>Other considerations</w:t>
            </w:r>
          </w:p>
        </w:tc>
        <w:tc>
          <w:tcPr>
            <w:tcW w:w="131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C3AC693" w14:textId="77777777" w:rsidR="00034090" w:rsidRDefault="00034090">
            <w:pPr>
              <w:jc w:val="center"/>
              <w:rPr>
                <w:b/>
                <w:sz w:val="20"/>
                <w:szCs w:val="20"/>
              </w:rPr>
            </w:pPr>
            <w:r>
              <w:rPr>
                <w:b/>
                <w:sz w:val="20"/>
                <w:szCs w:val="20"/>
              </w:rPr>
              <w:t>IV ceftriaxone followed by prolonged oral amoxicillin</w:t>
            </w:r>
          </w:p>
        </w:tc>
        <w:tc>
          <w:tcPr>
            <w:tcW w:w="11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E0C1E8" w14:textId="77777777" w:rsidR="00034090" w:rsidRDefault="00034090">
            <w:pPr>
              <w:jc w:val="center"/>
              <w:rPr>
                <w:b/>
                <w:sz w:val="20"/>
                <w:szCs w:val="20"/>
              </w:rPr>
            </w:pPr>
            <w:r>
              <w:rPr>
                <w:b/>
                <w:sz w:val="20"/>
                <w:szCs w:val="20"/>
              </w:rPr>
              <w:t>Prolonged oral cefixime</w:t>
            </w:r>
          </w:p>
        </w:tc>
        <w:tc>
          <w:tcPr>
            <w:tcW w:w="128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A7BA638" w14:textId="77777777" w:rsidR="00034090" w:rsidRDefault="00034090">
            <w:pPr>
              <w:jc w:val="center"/>
              <w:rPr>
                <w:b/>
                <w:sz w:val="20"/>
                <w:szCs w:val="20"/>
              </w:rPr>
            </w:pPr>
            <w:r>
              <w:rPr>
                <w:b/>
                <w:sz w:val="20"/>
                <w:szCs w:val="20"/>
              </w:rPr>
              <w:t>Relative</w:t>
            </w:r>
            <w:r>
              <w:rPr>
                <w:b/>
                <w:sz w:val="20"/>
                <w:szCs w:val="20"/>
              </w:rPr>
              <w:br/>
              <w:t>(95% CI)</w:t>
            </w:r>
          </w:p>
        </w:tc>
        <w:tc>
          <w:tcPr>
            <w:tcW w:w="24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A46A05" w14:textId="77777777" w:rsidR="00034090" w:rsidRDefault="00034090">
            <w:pPr>
              <w:jc w:val="center"/>
              <w:rPr>
                <w:b/>
                <w:sz w:val="20"/>
                <w:szCs w:val="20"/>
              </w:rPr>
            </w:pPr>
            <w:r>
              <w:rPr>
                <w:b/>
                <w:sz w:val="20"/>
                <w:szCs w:val="20"/>
              </w:rPr>
              <w:t>Absolute</w:t>
            </w:r>
            <w:r>
              <w:rPr>
                <w:b/>
                <w:sz w:val="20"/>
                <w:szCs w:val="20"/>
              </w:rPr>
              <w:br/>
              <w:t>(95% CI)</w:t>
            </w:r>
          </w:p>
        </w:tc>
        <w:tc>
          <w:tcPr>
            <w:tcW w:w="985" w:type="dxa"/>
            <w:vMerge/>
            <w:tcBorders>
              <w:left w:val="single" w:sz="6" w:space="0" w:color="000000"/>
              <w:bottom w:val="single" w:sz="6" w:space="0" w:color="000000"/>
              <w:right w:val="single" w:sz="6" w:space="0" w:color="000000"/>
            </w:tcBorders>
            <w:shd w:val="clear" w:color="auto" w:fill="D9D9D9"/>
            <w:vAlign w:val="center"/>
          </w:tcPr>
          <w:p w14:paraId="0283F3B9" w14:textId="77777777" w:rsidR="00034090" w:rsidRDefault="00034090">
            <w:pPr>
              <w:rPr>
                <w:b/>
                <w:sz w:val="20"/>
                <w:szCs w:val="20"/>
              </w:rPr>
            </w:pPr>
          </w:p>
        </w:tc>
        <w:tc>
          <w:tcPr>
            <w:tcW w:w="1024" w:type="dxa"/>
            <w:vMerge/>
            <w:tcBorders>
              <w:left w:val="single" w:sz="6" w:space="0" w:color="000000"/>
              <w:bottom w:val="single" w:sz="6" w:space="0" w:color="000000"/>
              <w:right w:val="single" w:sz="6" w:space="0" w:color="000000"/>
            </w:tcBorders>
            <w:shd w:val="clear" w:color="auto" w:fill="D9D9D9"/>
            <w:vAlign w:val="center"/>
          </w:tcPr>
          <w:p w14:paraId="1B29B2A3" w14:textId="77777777" w:rsidR="00034090" w:rsidRDefault="00034090">
            <w:pPr>
              <w:rPr>
                <w:b/>
                <w:sz w:val="20"/>
                <w:szCs w:val="20"/>
              </w:rPr>
            </w:pPr>
          </w:p>
        </w:tc>
      </w:tr>
      <w:tr w:rsidR="002D58E4" w14:paraId="14E18B7B" w14:textId="77777777" w:rsidTr="00E343BA">
        <w:tc>
          <w:tcPr>
            <w:tcW w:w="146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5F220CF" w14:textId="77777777" w:rsidR="002D58E4" w:rsidRDefault="00F721D4">
            <w:pPr>
              <w:rPr>
                <w:sz w:val="20"/>
                <w:szCs w:val="20"/>
              </w:rPr>
            </w:pPr>
            <w:bookmarkStart w:id="19" w:name="_35nkun2" w:colFirst="0" w:colLast="0"/>
            <w:bookmarkEnd w:id="19"/>
            <w:r>
              <w:rPr>
                <w:b/>
                <w:sz w:val="20"/>
                <w:szCs w:val="20"/>
              </w:rPr>
              <w:t xml:space="preserve">Improvement of Neurologic Lyme Symptoms </w:t>
            </w:r>
            <w:r>
              <w:rPr>
                <w:sz w:val="20"/>
                <w:szCs w:val="20"/>
              </w:rPr>
              <w:t>(at 12 months)</w:t>
            </w:r>
            <w:r>
              <w:rPr>
                <w:b/>
                <w:sz w:val="20"/>
                <w:szCs w:val="20"/>
              </w:rPr>
              <w:t xml:space="preserve"> </w:t>
            </w:r>
            <w:r>
              <w:rPr>
                <w:sz w:val="20"/>
                <w:szCs w:val="20"/>
              </w:rPr>
              <w:t xml:space="preserve">* </w:t>
            </w:r>
          </w:p>
        </w:tc>
      </w:tr>
      <w:tr w:rsidR="002D58E4" w14:paraId="2B4A4C5A" w14:textId="77777777" w:rsidTr="00E343BA">
        <w:tc>
          <w:tcPr>
            <w:tcW w:w="725" w:type="dxa"/>
            <w:tcBorders>
              <w:top w:val="single" w:sz="6" w:space="0" w:color="000000"/>
              <w:left w:val="single" w:sz="6" w:space="0" w:color="000000"/>
              <w:bottom w:val="single" w:sz="6" w:space="0" w:color="000000"/>
              <w:right w:val="single" w:sz="6" w:space="0" w:color="000000"/>
            </w:tcBorders>
          </w:tcPr>
          <w:p w14:paraId="2BB09ED7"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31CA5794" w14:textId="77777777" w:rsidR="002D58E4" w:rsidRDefault="00F721D4">
            <w:pPr>
              <w:rPr>
                <w:sz w:val="20"/>
                <w:szCs w:val="20"/>
              </w:rPr>
            </w:pPr>
            <w:r>
              <w:rPr>
                <w:sz w:val="20"/>
                <w:szCs w:val="20"/>
              </w:rPr>
              <w:t xml:space="preserve">RCT </w:t>
            </w:r>
            <w:r>
              <w:rPr>
                <w:sz w:val="20"/>
                <w:szCs w:val="20"/>
                <w:vertAlign w:val="superscript"/>
              </w:rPr>
              <w:t>1</w:t>
            </w:r>
          </w:p>
        </w:tc>
        <w:tc>
          <w:tcPr>
            <w:tcW w:w="841" w:type="dxa"/>
            <w:tcBorders>
              <w:top w:val="single" w:sz="6" w:space="0" w:color="000000"/>
              <w:left w:val="single" w:sz="6" w:space="0" w:color="000000"/>
              <w:bottom w:val="single" w:sz="6" w:space="0" w:color="000000"/>
              <w:right w:val="single" w:sz="6" w:space="0" w:color="000000"/>
            </w:tcBorders>
          </w:tcPr>
          <w:p w14:paraId="3A8E8875"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0915B31E" w14:textId="77777777" w:rsidR="002D58E4" w:rsidRDefault="00F721D4">
            <w:pPr>
              <w:rPr>
                <w:sz w:val="20"/>
                <w:szCs w:val="20"/>
              </w:rPr>
            </w:pPr>
            <w:r>
              <w:rPr>
                <w:sz w:val="20"/>
                <w:szCs w:val="20"/>
              </w:rPr>
              <w:t>not serious</w:t>
            </w:r>
          </w:p>
        </w:tc>
        <w:tc>
          <w:tcPr>
            <w:tcW w:w="1119" w:type="dxa"/>
            <w:tcBorders>
              <w:top w:val="single" w:sz="6" w:space="0" w:color="000000"/>
              <w:left w:val="single" w:sz="6" w:space="0" w:color="000000"/>
              <w:bottom w:val="single" w:sz="6" w:space="0" w:color="000000"/>
              <w:right w:val="single" w:sz="6" w:space="0" w:color="000000"/>
            </w:tcBorders>
          </w:tcPr>
          <w:p w14:paraId="20854BBC" w14:textId="77777777" w:rsidR="002D58E4" w:rsidRDefault="00F721D4">
            <w:pPr>
              <w:rPr>
                <w:sz w:val="20"/>
                <w:szCs w:val="20"/>
              </w:rPr>
            </w:pPr>
            <w:r>
              <w:rPr>
                <w:sz w:val="20"/>
                <w:szCs w:val="20"/>
              </w:rPr>
              <w:t>not serious</w:t>
            </w:r>
          </w:p>
        </w:tc>
        <w:tc>
          <w:tcPr>
            <w:tcW w:w="1072" w:type="dxa"/>
            <w:tcBorders>
              <w:top w:val="single" w:sz="6" w:space="0" w:color="000000"/>
              <w:left w:val="single" w:sz="6" w:space="0" w:color="000000"/>
              <w:bottom w:val="single" w:sz="6" w:space="0" w:color="000000"/>
              <w:right w:val="single" w:sz="6" w:space="0" w:color="000000"/>
            </w:tcBorders>
          </w:tcPr>
          <w:p w14:paraId="34B729DD" w14:textId="77777777" w:rsidR="002D58E4" w:rsidRDefault="00F721D4">
            <w:pPr>
              <w:rPr>
                <w:sz w:val="20"/>
                <w:szCs w:val="20"/>
              </w:rPr>
            </w:pPr>
            <w:r>
              <w:rPr>
                <w:sz w:val="20"/>
                <w:szCs w:val="20"/>
              </w:rPr>
              <w:t xml:space="preserve">serious </w:t>
            </w:r>
            <w:r>
              <w:rPr>
                <w:sz w:val="20"/>
                <w:szCs w:val="20"/>
                <w:vertAlign w:val="superscript"/>
              </w:rPr>
              <w:t>b</w:t>
            </w:r>
          </w:p>
        </w:tc>
        <w:tc>
          <w:tcPr>
            <w:tcW w:w="829" w:type="dxa"/>
            <w:tcBorders>
              <w:top w:val="single" w:sz="6" w:space="0" w:color="000000"/>
              <w:left w:val="single" w:sz="6" w:space="0" w:color="000000"/>
              <w:bottom w:val="single" w:sz="6" w:space="0" w:color="000000"/>
              <w:right w:val="single" w:sz="6" w:space="0" w:color="000000"/>
            </w:tcBorders>
          </w:tcPr>
          <w:p w14:paraId="71CDD075" w14:textId="77777777" w:rsidR="002D58E4" w:rsidRDefault="00F721D4">
            <w:pPr>
              <w:rPr>
                <w:sz w:val="20"/>
                <w:szCs w:val="20"/>
              </w:rPr>
            </w:pPr>
            <w:r>
              <w:rPr>
                <w:sz w:val="20"/>
                <w:szCs w:val="20"/>
              </w:rPr>
              <w:t xml:space="preserve">none </w:t>
            </w:r>
          </w:p>
        </w:tc>
        <w:tc>
          <w:tcPr>
            <w:tcW w:w="1316" w:type="dxa"/>
            <w:tcBorders>
              <w:top w:val="single" w:sz="6" w:space="0" w:color="000000"/>
              <w:left w:val="single" w:sz="6" w:space="0" w:color="000000"/>
              <w:bottom w:val="single" w:sz="6" w:space="0" w:color="000000"/>
              <w:right w:val="single" w:sz="6" w:space="0" w:color="000000"/>
            </w:tcBorders>
          </w:tcPr>
          <w:p w14:paraId="7FC31C26" w14:textId="77777777" w:rsidR="002D58E4" w:rsidRDefault="00F721D4">
            <w:pPr>
              <w:jc w:val="center"/>
              <w:rPr>
                <w:sz w:val="20"/>
                <w:szCs w:val="20"/>
              </w:rPr>
            </w:pPr>
            <w:r>
              <w:rPr>
                <w:sz w:val="20"/>
                <w:szCs w:val="20"/>
              </w:rPr>
              <w:t xml:space="preserve">12/30 </w:t>
            </w:r>
          </w:p>
          <w:p w14:paraId="7B1BE38C" w14:textId="77777777" w:rsidR="002D58E4" w:rsidRDefault="00F721D4">
            <w:pPr>
              <w:jc w:val="center"/>
              <w:rPr>
                <w:sz w:val="20"/>
                <w:szCs w:val="20"/>
              </w:rPr>
            </w:pPr>
            <w:r>
              <w:rPr>
                <w:sz w:val="20"/>
                <w:szCs w:val="20"/>
              </w:rPr>
              <w:t xml:space="preserve">(40.0%) </w:t>
            </w:r>
          </w:p>
        </w:tc>
        <w:tc>
          <w:tcPr>
            <w:tcW w:w="1135" w:type="dxa"/>
            <w:tcBorders>
              <w:top w:val="single" w:sz="6" w:space="0" w:color="000000"/>
              <w:left w:val="single" w:sz="6" w:space="0" w:color="000000"/>
              <w:bottom w:val="single" w:sz="6" w:space="0" w:color="000000"/>
              <w:right w:val="single" w:sz="6" w:space="0" w:color="000000"/>
            </w:tcBorders>
          </w:tcPr>
          <w:p w14:paraId="77F57AE6" w14:textId="77777777" w:rsidR="002D58E4" w:rsidRDefault="00F721D4">
            <w:pPr>
              <w:jc w:val="center"/>
              <w:rPr>
                <w:sz w:val="20"/>
                <w:szCs w:val="20"/>
              </w:rPr>
            </w:pPr>
            <w:r>
              <w:rPr>
                <w:sz w:val="20"/>
                <w:szCs w:val="20"/>
              </w:rPr>
              <w:t xml:space="preserve">12/30 (40.0%) </w:t>
            </w:r>
          </w:p>
        </w:tc>
        <w:tc>
          <w:tcPr>
            <w:tcW w:w="1281" w:type="dxa"/>
            <w:tcBorders>
              <w:top w:val="single" w:sz="6" w:space="0" w:color="000000"/>
              <w:left w:val="single" w:sz="6" w:space="0" w:color="000000"/>
              <w:bottom w:val="single" w:sz="6" w:space="0" w:color="000000"/>
              <w:right w:val="single" w:sz="6" w:space="0" w:color="000000"/>
            </w:tcBorders>
          </w:tcPr>
          <w:p w14:paraId="1F78D24D" w14:textId="77777777" w:rsidR="002D58E4" w:rsidRDefault="00F721D4">
            <w:pPr>
              <w:jc w:val="center"/>
              <w:rPr>
                <w:sz w:val="20"/>
                <w:szCs w:val="20"/>
              </w:rPr>
            </w:pPr>
            <w:r>
              <w:rPr>
                <w:sz w:val="20"/>
                <w:szCs w:val="20"/>
              </w:rPr>
              <w:t>RR 1.00</w:t>
            </w:r>
            <w:r>
              <w:rPr>
                <w:sz w:val="20"/>
                <w:szCs w:val="20"/>
              </w:rPr>
              <w:br/>
              <w:t xml:space="preserve">(0.54 to 1.86) </w:t>
            </w:r>
          </w:p>
        </w:tc>
        <w:tc>
          <w:tcPr>
            <w:tcW w:w="2409" w:type="dxa"/>
            <w:tcBorders>
              <w:top w:val="single" w:sz="6" w:space="0" w:color="000000"/>
              <w:left w:val="single" w:sz="6" w:space="0" w:color="000000"/>
              <w:bottom w:val="single" w:sz="6" w:space="0" w:color="000000"/>
              <w:right w:val="single" w:sz="6" w:space="0" w:color="000000"/>
            </w:tcBorders>
          </w:tcPr>
          <w:p w14:paraId="79289A7A" w14:textId="77777777" w:rsidR="002D58E4" w:rsidRDefault="00F721D4">
            <w:pPr>
              <w:jc w:val="center"/>
              <w:rPr>
                <w:sz w:val="20"/>
                <w:szCs w:val="20"/>
              </w:rPr>
            </w:pPr>
            <w:r>
              <w:rPr>
                <w:sz w:val="20"/>
                <w:szCs w:val="20"/>
              </w:rPr>
              <w:t>0 fewer per 1,000</w:t>
            </w:r>
            <w:r>
              <w:rPr>
                <w:sz w:val="20"/>
                <w:szCs w:val="20"/>
              </w:rPr>
              <w:br/>
              <w:t xml:space="preserve">(from 184 fewer to 344 more) </w:t>
            </w:r>
          </w:p>
        </w:tc>
        <w:tc>
          <w:tcPr>
            <w:tcW w:w="985" w:type="dxa"/>
            <w:tcBorders>
              <w:top w:val="single" w:sz="6" w:space="0" w:color="000000"/>
              <w:left w:val="single" w:sz="6" w:space="0" w:color="000000"/>
              <w:bottom w:val="single" w:sz="6" w:space="0" w:color="000000"/>
              <w:right w:val="single" w:sz="6" w:space="0" w:color="000000"/>
            </w:tcBorders>
          </w:tcPr>
          <w:p w14:paraId="25BB379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24" w:type="dxa"/>
            <w:tcBorders>
              <w:top w:val="single" w:sz="6" w:space="0" w:color="000000"/>
              <w:left w:val="single" w:sz="6" w:space="0" w:color="000000"/>
              <w:bottom w:val="single" w:sz="6" w:space="0" w:color="000000"/>
              <w:right w:val="single" w:sz="6" w:space="0" w:color="000000"/>
            </w:tcBorders>
          </w:tcPr>
          <w:p w14:paraId="1A50DD66" w14:textId="77777777" w:rsidR="002D58E4" w:rsidRDefault="00F721D4">
            <w:pPr>
              <w:rPr>
                <w:sz w:val="20"/>
                <w:szCs w:val="20"/>
              </w:rPr>
            </w:pPr>
            <w:r>
              <w:rPr>
                <w:sz w:val="20"/>
                <w:szCs w:val="20"/>
              </w:rPr>
              <w:t xml:space="preserve">CRITICAL </w:t>
            </w:r>
          </w:p>
        </w:tc>
      </w:tr>
      <w:tr w:rsidR="002D58E4" w14:paraId="63FA30B4" w14:textId="77777777" w:rsidTr="00E343BA">
        <w:tc>
          <w:tcPr>
            <w:tcW w:w="146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C5FD84F" w14:textId="77777777" w:rsidR="002D58E4" w:rsidRDefault="00F721D4">
            <w:pPr>
              <w:rPr>
                <w:sz w:val="20"/>
                <w:szCs w:val="20"/>
              </w:rPr>
            </w:pPr>
            <w:r>
              <w:rPr>
                <w:b/>
                <w:sz w:val="20"/>
                <w:szCs w:val="20"/>
              </w:rPr>
              <w:t xml:space="preserve">Clinical Relapse after good clinical response OR no clinical response </w:t>
            </w:r>
            <w:r>
              <w:rPr>
                <w:sz w:val="20"/>
                <w:szCs w:val="20"/>
              </w:rPr>
              <w:t>(at 12 months) *</w:t>
            </w:r>
          </w:p>
        </w:tc>
      </w:tr>
      <w:tr w:rsidR="002D58E4" w14:paraId="0329FC50" w14:textId="77777777" w:rsidTr="00E343BA">
        <w:tc>
          <w:tcPr>
            <w:tcW w:w="725" w:type="dxa"/>
            <w:tcBorders>
              <w:top w:val="single" w:sz="6" w:space="0" w:color="000000"/>
              <w:left w:val="single" w:sz="6" w:space="0" w:color="000000"/>
              <w:bottom w:val="single" w:sz="6" w:space="0" w:color="000000"/>
              <w:right w:val="single" w:sz="6" w:space="0" w:color="000000"/>
            </w:tcBorders>
          </w:tcPr>
          <w:p w14:paraId="102B59B6"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6A1D594E" w14:textId="77777777" w:rsidR="002D58E4" w:rsidRDefault="00F721D4">
            <w:pPr>
              <w:rPr>
                <w:sz w:val="20"/>
                <w:szCs w:val="20"/>
              </w:rPr>
            </w:pPr>
            <w:r>
              <w:rPr>
                <w:sz w:val="20"/>
                <w:szCs w:val="20"/>
              </w:rPr>
              <w:t xml:space="preserve">RCT </w:t>
            </w:r>
            <w:r>
              <w:rPr>
                <w:sz w:val="20"/>
                <w:szCs w:val="20"/>
                <w:vertAlign w:val="superscript"/>
              </w:rPr>
              <w:t>1</w:t>
            </w:r>
          </w:p>
        </w:tc>
        <w:tc>
          <w:tcPr>
            <w:tcW w:w="841" w:type="dxa"/>
            <w:tcBorders>
              <w:top w:val="single" w:sz="6" w:space="0" w:color="000000"/>
              <w:left w:val="single" w:sz="6" w:space="0" w:color="000000"/>
              <w:bottom w:val="single" w:sz="6" w:space="0" w:color="000000"/>
              <w:right w:val="single" w:sz="6" w:space="0" w:color="000000"/>
            </w:tcBorders>
          </w:tcPr>
          <w:p w14:paraId="02F7FC67"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7E9AA094" w14:textId="77777777" w:rsidR="002D58E4" w:rsidRDefault="00F721D4">
            <w:pPr>
              <w:rPr>
                <w:sz w:val="20"/>
                <w:szCs w:val="20"/>
              </w:rPr>
            </w:pPr>
            <w:r>
              <w:rPr>
                <w:sz w:val="20"/>
                <w:szCs w:val="20"/>
              </w:rPr>
              <w:t>not serious</w:t>
            </w:r>
          </w:p>
        </w:tc>
        <w:tc>
          <w:tcPr>
            <w:tcW w:w="1119" w:type="dxa"/>
            <w:tcBorders>
              <w:top w:val="single" w:sz="6" w:space="0" w:color="000000"/>
              <w:left w:val="single" w:sz="6" w:space="0" w:color="000000"/>
              <w:bottom w:val="single" w:sz="6" w:space="0" w:color="000000"/>
              <w:right w:val="single" w:sz="6" w:space="0" w:color="000000"/>
            </w:tcBorders>
          </w:tcPr>
          <w:p w14:paraId="0D0F5192" w14:textId="77777777" w:rsidR="002D58E4" w:rsidRDefault="00F721D4">
            <w:pPr>
              <w:rPr>
                <w:sz w:val="20"/>
                <w:szCs w:val="20"/>
              </w:rPr>
            </w:pPr>
            <w:r>
              <w:rPr>
                <w:sz w:val="20"/>
                <w:szCs w:val="20"/>
              </w:rPr>
              <w:t>not serious</w:t>
            </w:r>
          </w:p>
        </w:tc>
        <w:tc>
          <w:tcPr>
            <w:tcW w:w="1072" w:type="dxa"/>
            <w:tcBorders>
              <w:top w:val="single" w:sz="6" w:space="0" w:color="000000"/>
              <w:left w:val="single" w:sz="6" w:space="0" w:color="000000"/>
              <w:bottom w:val="single" w:sz="6" w:space="0" w:color="000000"/>
              <w:right w:val="single" w:sz="6" w:space="0" w:color="000000"/>
            </w:tcBorders>
          </w:tcPr>
          <w:p w14:paraId="1FB90590" w14:textId="77777777" w:rsidR="002D58E4" w:rsidRDefault="00F721D4">
            <w:pPr>
              <w:rPr>
                <w:sz w:val="20"/>
                <w:szCs w:val="20"/>
              </w:rPr>
            </w:pPr>
            <w:r>
              <w:rPr>
                <w:sz w:val="20"/>
                <w:szCs w:val="20"/>
              </w:rPr>
              <w:t xml:space="preserve">serious </w:t>
            </w:r>
            <w:r>
              <w:rPr>
                <w:sz w:val="20"/>
                <w:szCs w:val="20"/>
                <w:vertAlign w:val="superscript"/>
              </w:rPr>
              <w:t>b</w:t>
            </w:r>
          </w:p>
        </w:tc>
        <w:tc>
          <w:tcPr>
            <w:tcW w:w="829" w:type="dxa"/>
            <w:tcBorders>
              <w:top w:val="single" w:sz="6" w:space="0" w:color="000000"/>
              <w:left w:val="single" w:sz="6" w:space="0" w:color="000000"/>
              <w:bottom w:val="single" w:sz="6" w:space="0" w:color="000000"/>
              <w:right w:val="single" w:sz="6" w:space="0" w:color="000000"/>
            </w:tcBorders>
          </w:tcPr>
          <w:p w14:paraId="18172FA5" w14:textId="77777777" w:rsidR="002D58E4" w:rsidRDefault="00F721D4">
            <w:pPr>
              <w:rPr>
                <w:sz w:val="20"/>
                <w:szCs w:val="20"/>
              </w:rPr>
            </w:pPr>
            <w:r>
              <w:rPr>
                <w:sz w:val="20"/>
                <w:szCs w:val="20"/>
              </w:rPr>
              <w:t xml:space="preserve">none </w:t>
            </w:r>
          </w:p>
        </w:tc>
        <w:tc>
          <w:tcPr>
            <w:tcW w:w="1316" w:type="dxa"/>
            <w:tcBorders>
              <w:top w:val="single" w:sz="6" w:space="0" w:color="000000"/>
              <w:left w:val="single" w:sz="6" w:space="0" w:color="000000"/>
              <w:bottom w:val="single" w:sz="6" w:space="0" w:color="000000"/>
              <w:right w:val="single" w:sz="6" w:space="0" w:color="000000"/>
            </w:tcBorders>
          </w:tcPr>
          <w:p w14:paraId="4C8B879C" w14:textId="77777777" w:rsidR="002D58E4" w:rsidRDefault="00F721D4">
            <w:pPr>
              <w:jc w:val="center"/>
              <w:rPr>
                <w:sz w:val="20"/>
                <w:szCs w:val="20"/>
              </w:rPr>
            </w:pPr>
            <w:r>
              <w:rPr>
                <w:sz w:val="20"/>
                <w:szCs w:val="20"/>
              </w:rPr>
              <w:t xml:space="preserve">2/30 </w:t>
            </w:r>
          </w:p>
          <w:p w14:paraId="1FDE4E21" w14:textId="77777777" w:rsidR="002D58E4" w:rsidRDefault="00F721D4">
            <w:pPr>
              <w:jc w:val="center"/>
              <w:rPr>
                <w:sz w:val="20"/>
                <w:szCs w:val="20"/>
              </w:rPr>
            </w:pPr>
            <w:r>
              <w:rPr>
                <w:sz w:val="20"/>
                <w:szCs w:val="20"/>
              </w:rPr>
              <w:t xml:space="preserve">(6.7%) </w:t>
            </w:r>
          </w:p>
        </w:tc>
        <w:tc>
          <w:tcPr>
            <w:tcW w:w="1135" w:type="dxa"/>
            <w:tcBorders>
              <w:top w:val="single" w:sz="6" w:space="0" w:color="000000"/>
              <w:left w:val="single" w:sz="6" w:space="0" w:color="000000"/>
              <w:bottom w:val="single" w:sz="6" w:space="0" w:color="000000"/>
              <w:right w:val="single" w:sz="6" w:space="0" w:color="000000"/>
            </w:tcBorders>
          </w:tcPr>
          <w:p w14:paraId="2E681564" w14:textId="77777777" w:rsidR="002D58E4" w:rsidRDefault="00F721D4">
            <w:pPr>
              <w:jc w:val="center"/>
              <w:rPr>
                <w:sz w:val="20"/>
                <w:szCs w:val="20"/>
              </w:rPr>
            </w:pPr>
            <w:r>
              <w:rPr>
                <w:sz w:val="20"/>
                <w:szCs w:val="20"/>
              </w:rPr>
              <w:t xml:space="preserve">6/30 </w:t>
            </w:r>
          </w:p>
          <w:p w14:paraId="6A096927" w14:textId="77777777" w:rsidR="002D58E4" w:rsidRDefault="00F721D4">
            <w:pPr>
              <w:jc w:val="center"/>
              <w:rPr>
                <w:sz w:val="20"/>
                <w:szCs w:val="20"/>
              </w:rPr>
            </w:pPr>
            <w:r>
              <w:rPr>
                <w:sz w:val="20"/>
                <w:szCs w:val="20"/>
              </w:rPr>
              <w:t xml:space="preserve">(20.0%) </w:t>
            </w:r>
          </w:p>
        </w:tc>
        <w:tc>
          <w:tcPr>
            <w:tcW w:w="1281" w:type="dxa"/>
            <w:tcBorders>
              <w:top w:val="single" w:sz="6" w:space="0" w:color="000000"/>
              <w:left w:val="single" w:sz="6" w:space="0" w:color="000000"/>
              <w:bottom w:val="single" w:sz="6" w:space="0" w:color="000000"/>
              <w:right w:val="single" w:sz="6" w:space="0" w:color="000000"/>
            </w:tcBorders>
          </w:tcPr>
          <w:p w14:paraId="0613F67B" w14:textId="77777777" w:rsidR="002D58E4" w:rsidRDefault="00F721D4">
            <w:pPr>
              <w:jc w:val="center"/>
              <w:rPr>
                <w:sz w:val="20"/>
                <w:szCs w:val="20"/>
              </w:rPr>
            </w:pPr>
            <w:r>
              <w:rPr>
                <w:sz w:val="20"/>
                <w:szCs w:val="20"/>
              </w:rPr>
              <w:t>RR 0.33</w:t>
            </w:r>
            <w:r>
              <w:rPr>
                <w:sz w:val="20"/>
                <w:szCs w:val="20"/>
              </w:rPr>
              <w:br/>
              <w:t xml:space="preserve">(0.07 to 1.52) </w:t>
            </w:r>
          </w:p>
        </w:tc>
        <w:tc>
          <w:tcPr>
            <w:tcW w:w="2409" w:type="dxa"/>
            <w:tcBorders>
              <w:top w:val="single" w:sz="6" w:space="0" w:color="000000"/>
              <w:left w:val="single" w:sz="6" w:space="0" w:color="000000"/>
              <w:bottom w:val="single" w:sz="6" w:space="0" w:color="000000"/>
              <w:right w:val="single" w:sz="6" w:space="0" w:color="000000"/>
            </w:tcBorders>
          </w:tcPr>
          <w:p w14:paraId="46E38315" w14:textId="77777777" w:rsidR="002D58E4" w:rsidRDefault="00F721D4">
            <w:pPr>
              <w:jc w:val="center"/>
              <w:rPr>
                <w:sz w:val="20"/>
                <w:szCs w:val="20"/>
              </w:rPr>
            </w:pPr>
            <w:r>
              <w:rPr>
                <w:sz w:val="20"/>
                <w:szCs w:val="20"/>
              </w:rPr>
              <w:t>134 fewer per 1,000</w:t>
            </w:r>
            <w:r>
              <w:rPr>
                <w:sz w:val="20"/>
                <w:szCs w:val="20"/>
              </w:rPr>
              <w:br/>
              <w:t xml:space="preserve">(from 104 more to 186 fewer) </w:t>
            </w:r>
          </w:p>
        </w:tc>
        <w:tc>
          <w:tcPr>
            <w:tcW w:w="985" w:type="dxa"/>
            <w:tcBorders>
              <w:top w:val="single" w:sz="6" w:space="0" w:color="000000"/>
              <w:left w:val="single" w:sz="6" w:space="0" w:color="000000"/>
              <w:bottom w:val="single" w:sz="6" w:space="0" w:color="000000"/>
              <w:right w:val="single" w:sz="6" w:space="0" w:color="000000"/>
            </w:tcBorders>
          </w:tcPr>
          <w:p w14:paraId="2128918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24" w:type="dxa"/>
            <w:tcBorders>
              <w:top w:val="single" w:sz="6" w:space="0" w:color="000000"/>
              <w:left w:val="single" w:sz="6" w:space="0" w:color="000000"/>
              <w:bottom w:val="single" w:sz="6" w:space="0" w:color="000000"/>
              <w:right w:val="single" w:sz="6" w:space="0" w:color="000000"/>
            </w:tcBorders>
          </w:tcPr>
          <w:p w14:paraId="2C6393CD" w14:textId="77777777" w:rsidR="002D58E4" w:rsidRDefault="00F721D4">
            <w:pPr>
              <w:rPr>
                <w:sz w:val="20"/>
                <w:szCs w:val="20"/>
              </w:rPr>
            </w:pPr>
            <w:r>
              <w:rPr>
                <w:sz w:val="20"/>
                <w:szCs w:val="20"/>
              </w:rPr>
              <w:t xml:space="preserve">CRITICAL </w:t>
            </w:r>
          </w:p>
        </w:tc>
      </w:tr>
      <w:tr w:rsidR="002D58E4" w14:paraId="1C89E851" w14:textId="77777777" w:rsidTr="00E343BA">
        <w:tc>
          <w:tcPr>
            <w:tcW w:w="146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CC13E8F" w14:textId="77777777" w:rsidR="002D58E4" w:rsidRDefault="00F721D4">
            <w:pPr>
              <w:rPr>
                <w:b/>
                <w:sz w:val="20"/>
                <w:szCs w:val="20"/>
              </w:rPr>
            </w:pPr>
            <w:r>
              <w:rPr>
                <w:b/>
                <w:sz w:val="20"/>
                <w:szCs w:val="20"/>
              </w:rPr>
              <w:t xml:space="preserve">Treatment-Related Adverse Events </w:t>
            </w:r>
          </w:p>
        </w:tc>
      </w:tr>
      <w:tr w:rsidR="002D58E4" w14:paraId="55CCABF7" w14:textId="77777777" w:rsidTr="00E343BA">
        <w:tc>
          <w:tcPr>
            <w:tcW w:w="725" w:type="dxa"/>
            <w:tcBorders>
              <w:top w:val="single" w:sz="6" w:space="0" w:color="000000"/>
              <w:left w:val="single" w:sz="6" w:space="0" w:color="000000"/>
              <w:bottom w:val="single" w:sz="6" w:space="0" w:color="000000"/>
              <w:right w:val="single" w:sz="6" w:space="0" w:color="000000"/>
            </w:tcBorders>
          </w:tcPr>
          <w:p w14:paraId="71A23946"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777C2810" w14:textId="77777777" w:rsidR="002D58E4" w:rsidRDefault="00F721D4">
            <w:pPr>
              <w:rPr>
                <w:sz w:val="20"/>
                <w:szCs w:val="20"/>
              </w:rPr>
            </w:pPr>
            <w:r>
              <w:rPr>
                <w:sz w:val="20"/>
                <w:szCs w:val="20"/>
              </w:rPr>
              <w:t xml:space="preserve">RCT </w:t>
            </w:r>
            <w:r>
              <w:rPr>
                <w:sz w:val="20"/>
                <w:szCs w:val="20"/>
                <w:vertAlign w:val="superscript"/>
              </w:rPr>
              <w:t>1</w:t>
            </w:r>
          </w:p>
        </w:tc>
        <w:tc>
          <w:tcPr>
            <w:tcW w:w="841" w:type="dxa"/>
            <w:tcBorders>
              <w:top w:val="single" w:sz="6" w:space="0" w:color="000000"/>
              <w:left w:val="single" w:sz="6" w:space="0" w:color="000000"/>
              <w:bottom w:val="single" w:sz="6" w:space="0" w:color="000000"/>
              <w:right w:val="single" w:sz="6" w:space="0" w:color="000000"/>
            </w:tcBorders>
          </w:tcPr>
          <w:p w14:paraId="7119F4E8"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0BD5554E" w14:textId="77777777" w:rsidR="002D58E4" w:rsidRDefault="00F721D4">
            <w:pPr>
              <w:rPr>
                <w:sz w:val="20"/>
                <w:szCs w:val="20"/>
              </w:rPr>
            </w:pPr>
            <w:r>
              <w:rPr>
                <w:sz w:val="20"/>
                <w:szCs w:val="20"/>
              </w:rPr>
              <w:t>not serious</w:t>
            </w:r>
          </w:p>
        </w:tc>
        <w:tc>
          <w:tcPr>
            <w:tcW w:w="1119" w:type="dxa"/>
            <w:tcBorders>
              <w:top w:val="single" w:sz="6" w:space="0" w:color="000000"/>
              <w:left w:val="single" w:sz="6" w:space="0" w:color="000000"/>
              <w:bottom w:val="single" w:sz="6" w:space="0" w:color="000000"/>
              <w:right w:val="single" w:sz="6" w:space="0" w:color="000000"/>
            </w:tcBorders>
          </w:tcPr>
          <w:p w14:paraId="12364FE7" w14:textId="77777777" w:rsidR="002D58E4" w:rsidRDefault="00F721D4">
            <w:pPr>
              <w:rPr>
                <w:sz w:val="20"/>
                <w:szCs w:val="20"/>
              </w:rPr>
            </w:pPr>
            <w:r>
              <w:rPr>
                <w:sz w:val="20"/>
                <w:szCs w:val="20"/>
              </w:rPr>
              <w:t>not serious</w:t>
            </w:r>
          </w:p>
        </w:tc>
        <w:tc>
          <w:tcPr>
            <w:tcW w:w="1072" w:type="dxa"/>
            <w:tcBorders>
              <w:top w:val="single" w:sz="6" w:space="0" w:color="000000"/>
              <w:left w:val="single" w:sz="6" w:space="0" w:color="000000"/>
              <w:bottom w:val="single" w:sz="6" w:space="0" w:color="000000"/>
              <w:right w:val="single" w:sz="6" w:space="0" w:color="000000"/>
            </w:tcBorders>
          </w:tcPr>
          <w:p w14:paraId="48A41E18" w14:textId="77777777" w:rsidR="002D58E4" w:rsidRDefault="00F721D4">
            <w:pPr>
              <w:rPr>
                <w:sz w:val="20"/>
                <w:szCs w:val="20"/>
              </w:rPr>
            </w:pPr>
            <w:r>
              <w:rPr>
                <w:sz w:val="20"/>
                <w:szCs w:val="20"/>
              </w:rPr>
              <w:t xml:space="preserve">serious </w:t>
            </w:r>
            <w:r>
              <w:rPr>
                <w:sz w:val="20"/>
                <w:szCs w:val="20"/>
                <w:vertAlign w:val="superscript"/>
              </w:rPr>
              <w:t>c</w:t>
            </w:r>
          </w:p>
        </w:tc>
        <w:tc>
          <w:tcPr>
            <w:tcW w:w="829" w:type="dxa"/>
            <w:tcBorders>
              <w:top w:val="single" w:sz="6" w:space="0" w:color="000000"/>
              <w:left w:val="single" w:sz="6" w:space="0" w:color="000000"/>
              <w:bottom w:val="single" w:sz="6" w:space="0" w:color="000000"/>
              <w:right w:val="single" w:sz="6" w:space="0" w:color="000000"/>
            </w:tcBorders>
          </w:tcPr>
          <w:p w14:paraId="5B235C01" w14:textId="77777777" w:rsidR="002D58E4" w:rsidRDefault="00F721D4">
            <w:pPr>
              <w:rPr>
                <w:sz w:val="20"/>
                <w:szCs w:val="20"/>
              </w:rPr>
            </w:pPr>
            <w:r>
              <w:rPr>
                <w:sz w:val="20"/>
                <w:szCs w:val="20"/>
              </w:rPr>
              <w:t xml:space="preserve">none </w:t>
            </w:r>
          </w:p>
        </w:tc>
        <w:tc>
          <w:tcPr>
            <w:tcW w:w="1316" w:type="dxa"/>
            <w:tcBorders>
              <w:top w:val="single" w:sz="6" w:space="0" w:color="000000"/>
              <w:left w:val="single" w:sz="6" w:space="0" w:color="000000"/>
              <w:bottom w:val="single" w:sz="6" w:space="0" w:color="000000"/>
              <w:right w:val="single" w:sz="6" w:space="0" w:color="000000"/>
            </w:tcBorders>
          </w:tcPr>
          <w:p w14:paraId="768D71AB" w14:textId="77777777" w:rsidR="002D58E4" w:rsidRDefault="00F721D4">
            <w:pPr>
              <w:jc w:val="center"/>
              <w:rPr>
                <w:sz w:val="20"/>
                <w:szCs w:val="20"/>
              </w:rPr>
            </w:pPr>
            <w:r>
              <w:rPr>
                <w:sz w:val="20"/>
                <w:szCs w:val="20"/>
              </w:rPr>
              <w:t xml:space="preserve">22/30 </w:t>
            </w:r>
          </w:p>
          <w:p w14:paraId="2B4EAF20" w14:textId="77777777" w:rsidR="002D58E4" w:rsidRDefault="00F721D4">
            <w:pPr>
              <w:jc w:val="center"/>
              <w:rPr>
                <w:sz w:val="20"/>
                <w:szCs w:val="20"/>
              </w:rPr>
            </w:pPr>
            <w:r>
              <w:rPr>
                <w:sz w:val="20"/>
                <w:szCs w:val="20"/>
              </w:rPr>
              <w:t xml:space="preserve">(73.3%) </w:t>
            </w:r>
          </w:p>
        </w:tc>
        <w:tc>
          <w:tcPr>
            <w:tcW w:w="1135" w:type="dxa"/>
            <w:tcBorders>
              <w:top w:val="single" w:sz="6" w:space="0" w:color="000000"/>
              <w:left w:val="single" w:sz="6" w:space="0" w:color="000000"/>
              <w:bottom w:val="single" w:sz="6" w:space="0" w:color="000000"/>
              <w:right w:val="single" w:sz="6" w:space="0" w:color="000000"/>
            </w:tcBorders>
          </w:tcPr>
          <w:p w14:paraId="04A117CD" w14:textId="77777777" w:rsidR="002D58E4" w:rsidRDefault="00F721D4">
            <w:pPr>
              <w:jc w:val="center"/>
              <w:rPr>
                <w:sz w:val="20"/>
                <w:szCs w:val="20"/>
              </w:rPr>
            </w:pPr>
            <w:r>
              <w:rPr>
                <w:sz w:val="20"/>
                <w:szCs w:val="20"/>
              </w:rPr>
              <w:t xml:space="preserve">14/30 (46.7%) </w:t>
            </w:r>
          </w:p>
        </w:tc>
        <w:tc>
          <w:tcPr>
            <w:tcW w:w="1281" w:type="dxa"/>
            <w:tcBorders>
              <w:top w:val="single" w:sz="6" w:space="0" w:color="000000"/>
              <w:left w:val="single" w:sz="6" w:space="0" w:color="000000"/>
              <w:bottom w:val="single" w:sz="6" w:space="0" w:color="000000"/>
              <w:right w:val="single" w:sz="6" w:space="0" w:color="000000"/>
            </w:tcBorders>
          </w:tcPr>
          <w:p w14:paraId="331AB74A" w14:textId="77777777" w:rsidR="002D58E4" w:rsidRDefault="00F721D4">
            <w:pPr>
              <w:jc w:val="center"/>
              <w:rPr>
                <w:b/>
                <w:sz w:val="20"/>
                <w:szCs w:val="20"/>
              </w:rPr>
            </w:pPr>
            <w:r>
              <w:rPr>
                <w:b/>
                <w:sz w:val="20"/>
                <w:szCs w:val="20"/>
              </w:rPr>
              <w:t>RR 1.57</w:t>
            </w:r>
            <w:r>
              <w:rPr>
                <w:b/>
                <w:sz w:val="20"/>
                <w:szCs w:val="20"/>
              </w:rPr>
              <w:br/>
              <w:t xml:space="preserve">(1.01 to 2.44) </w:t>
            </w:r>
          </w:p>
        </w:tc>
        <w:tc>
          <w:tcPr>
            <w:tcW w:w="2409" w:type="dxa"/>
            <w:tcBorders>
              <w:top w:val="single" w:sz="6" w:space="0" w:color="000000"/>
              <w:left w:val="single" w:sz="6" w:space="0" w:color="000000"/>
              <w:bottom w:val="single" w:sz="6" w:space="0" w:color="000000"/>
              <w:right w:val="single" w:sz="6" w:space="0" w:color="000000"/>
            </w:tcBorders>
          </w:tcPr>
          <w:p w14:paraId="22F664FB" w14:textId="77777777" w:rsidR="002D58E4" w:rsidRDefault="00F721D4">
            <w:pPr>
              <w:jc w:val="center"/>
              <w:rPr>
                <w:b/>
                <w:sz w:val="20"/>
                <w:szCs w:val="20"/>
              </w:rPr>
            </w:pPr>
            <w:r>
              <w:rPr>
                <w:b/>
                <w:sz w:val="20"/>
                <w:szCs w:val="20"/>
              </w:rPr>
              <w:t>266 more per 1,000</w:t>
            </w:r>
            <w:r>
              <w:rPr>
                <w:b/>
                <w:sz w:val="20"/>
                <w:szCs w:val="20"/>
              </w:rPr>
              <w:br/>
              <w:t xml:space="preserve">(from 5 more to 672 more) </w:t>
            </w:r>
          </w:p>
        </w:tc>
        <w:tc>
          <w:tcPr>
            <w:tcW w:w="985" w:type="dxa"/>
            <w:tcBorders>
              <w:top w:val="single" w:sz="6" w:space="0" w:color="000000"/>
              <w:left w:val="single" w:sz="6" w:space="0" w:color="000000"/>
              <w:bottom w:val="single" w:sz="6" w:space="0" w:color="000000"/>
              <w:right w:val="single" w:sz="6" w:space="0" w:color="000000"/>
            </w:tcBorders>
          </w:tcPr>
          <w:p w14:paraId="618CB584"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24" w:type="dxa"/>
            <w:tcBorders>
              <w:top w:val="single" w:sz="6" w:space="0" w:color="000000"/>
              <w:left w:val="single" w:sz="6" w:space="0" w:color="000000"/>
              <w:bottom w:val="single" w:sz="6" w:space="0" w:color="000000"/>
              <w:right w:val="single" w:sz="6" w:space="0" w:color="000000"/>
            </w:tcBorders>
          </w:tcPr>
          <w:p w14:paraId="6E1C7BF7" w14:textId="77777777" w:rsidR="002D58E4" w:rsidRDefault="00F721D4">
            <w:pPr>
              <w:rPr>
                <w:sz w:val="20"/>
                <w:szCs w:val="20"/>
              </w:rPr>
            </w:pPr>
            <w:r>
              <w:rPr>
                <w:sz w:val="20"/>
                <w:szCs w:val="20"/>
              </w:rPr>
              <w:t xml:space="preserve">CRITICAL </w:t>
            </w:r>
          </w:p>
        </w:tc>
      </w:tr>
      <w:tr w:rsidR="002D58E4" w14:paraId="6F69C56F" w14:textId="77777777" w:rsidTr="00E343BA">
        <w:tc>
          <w:tcPr>
            <w:tcW w:w="146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7EDF8AD" w14:textId="77777777" w:rsidR="002D58E4" w:rsidRDefault="00F721D4">
            <w:pPr>
              <w:rPr>
                <w:b/>
                <w:sz w:val="20"/>
                <w:szCs w:val="20"/>
              </w:rPr>
            </w:pPr>
            <w:r>
              <w:rPr>
                <w:b/>
                <w:sz w:val="20"/>
                <w:szCs w:val="20"/>
              </w:rPr>
              <w:t xml:space="preserve">Gastrointestinal Adverse Events </w:t>
            </w:r>
          </w:p>
        </w:tc>
      </w:tr>
      <w:tr w:rsidR="002D58E4" w14:paraId="73C23527" w14:textId="77777777" w:rsidTr="00E343BA">
        <w:tc>
          <w:tcPr>
            <w:tcW w:w="725" w:type="dxa"/>
            <w:tcBorders>
              <w:top w:val="single" w:sz="6" w:space="0" w:color="000000"/>
              <w:left w:val="single" w:sz="6" w:space="0" w:color="000000"/>
              <w:bottom w:val="single" w:sz="6" w:space="0" w:color="000000"/>
              <w:right w:val="single" w:sz="6" w:space="0" w:color="000000"/>
            </w:tcBorders>
          </w:tcPr>
          <w:p w14:paraId="47C82331"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63FAEFFB" w14:textId="77777777" w:rsidR="002D58E4" w:rsidRDefault="00F721D4">
            <w:pPr>
              <w:rPr>
                <w:sz w:val="20"/>
                <w:szCs w:val="20"/>
              </w:rPr>
            </w:pPr>
            <w:r>
              <w:rPr>
                <w:sz w:val="20"/>
                <w:szCs w:val="20"/>
              </w:rPr>
              <w:t xml:space="preserve">RCT </w:t>
            </w:r>
            <w:r>
              <w:rPr>
                <w:sz w:val="20"/>
                <w:szCs w:val="20"/>
                <w:vertAlign w:val="superscript"/>
              </w:rPr>
              <w:t>1</w:t>
            </w:r>
          </w:p>
        </w:tc>
        <w:tc>
          <w:tcPr>
            <w:tcW w:w="841" w:type="dxa"/>
            <w:tcBorders>
              <w:top w:val="single" w:sz="6" w:space="0" w:color="000000"/>
              <w:left w:val="single" w:sz="6" w:space="0" w:color="000000"/>
              <w:bottom w:val="single" w:sz="6" w:space="0" w:color="000000"/>
              <w:right w:val="single" w:sz="6" w:space="0" w:color="000000"/>
            </w:tcBorders>
          </w:tcPr>
          <w:p w14:paraId="2CD56094"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10E6D2ED" w14:textId="77777777" w:rsidR="002D58E4" w:rsidRDefault="00F721D4">
            <w:pPr>
              <w:rPr>
                <w:sz w:val="20"/>
                <w:szCs w:val="20"/>
              </w:rPr>
            </w:pPr>
            <w:r>
              <w:rPr>
                <w:sz w:val="20"/>
                <w:szCs w:val="20"/>
              </w:rPr>
              <w:t>not serious</w:t>
            </w:r>
          </w:p>
        </w:tc>
        <w:tc>
          <w:tcPr>
            <w:tcW w:w="1119" w:type="dxa"/>
            <w:tcBorders>
              <w:top w:val="single" w:sz="6" w:space="0" w:color="000000"/>
              <w:left w:val="single" w:sz="6" w:space="0" w:color="000000"/>
              <w:bottom w:val="single" w:sz="6" w:space="0" w:color="000000"/>
              <w:right w:val="single" w:sz="6" w:space="0" w:color="000000"/>
            </w:tcBorders>
          </w:tcPr>
          <w:p w14:paraId="02369AAE" w14:textId="77777777" w:rsidR="002D58E4" w:rsidRDefault="00F721D4">
            <w:pPr>
              <w:rPr>
                <w:sz w:val="20"/>
                <w:szCs w:val="20"/>
              </w:rPr>
            </w:pPr>
            <w:r>
              <w:rPr>
                <w:sz w:val="20"/>
                <w:szCs w:val="20"/>
              </w:rPr>
              <w:t>not serious</w:t>
            </w:r>
          </w:p>
        </w:tc>
        <w:tc>
          <w:tcPr>
            <w:tcW w:w="1072" w:type="dxa"/>
            <w:tcBorders>
              <w:top w:val="single" w:sz="6" w:space="0" w:color="000000"/>
              <w:left w:val="single" w:sz="6" w:space="0" w:color="000000"/>
              <w:bottom w:val="single" w:sz="6" w:space="0" w:color="000000"/>
              <w:right w:val="single" w:sz="6" w:space="0" w:color="000000"/>
            </w:tcBorders>
          </w:tcPr>
          <w:p w14:paraId="03D8AAC1" w14:textId="77777777" w:rsidR="002D58E4" w:rsidRDefault="00F721D4">
            <w:pPr>
              <w:rPr>
                <w:sz w:val="20"/>
                <w:szCs w:val="20"/>
              </w:rPr>
            </w:pPr>
            <w:r>
              <w:rPr>
                <w:sz w:val="20"/>
                <w:szCs w:val="20"/>
              </w:rPr>
              <w:t xml:space="preserve">serious </w:t>
            </w:r>
            <w:r>
              <w:rPr>
                <w:sz w:val="20"/>
                <w:szCs w:val="20"/>
                <w:vertAlign w:val="superscript"/>
              </w:rPr>
              <w:t>b</w:t>
            </w:r>
          </w:p>
        </w:tc>
        <w:tc>
          <w:tcPr>
            <w:tcW w:w="829" w:type="dxa"/>
            <w:tcBorders>
              <w:top w:val="single" w:sz="6" w:space="0" w:color="000000"/>
              <w:left w:val="single" w:sz="6" w:space="0" w:color="000000"/>
              <w:bottom w:val="single" w:sz="6" w:space="0" w:color="000000"/>
              <w:right w:val="single" w:sz="6" w:space="0" w:color="000000"/>
            </w:tcBorders>
          </w:tcPr>
          <w:p w14:paraId="2A1B61AB" w14:textId="77777777" w:rsidR="002D58E4" w:rsidRDefault="00F721D4">
            <w:pPr>
              <w:rPr>
                <w:sz w:val="20"/>
                <w:szCs w:val="20"/>
              </w:rPr>
            </w:pPr>
            <w:r>
              <w:rPr>
                <w:sz w:val="20"/>
                <w:szCs w:val="20"/>
              </w:rPr>
              <w:t xml:space="preserve">none </w:t>
            </w:r>
          </w:p>
        </w:tc>
        <w:tc>
          <w:tcPr>
            <w:tcW w:w="1316" w:type="dxa"/>
            <w:tcBorders>
              <w:top w:val="single" w:sz="6" w:space="0" w:color="000000"/>
              <w:left w:val="single" w:sz="6" w:space="0" w:color="000000"/>
              <w:bottom w:val="single" w:sz="6" w:space="0" w:color="000000"/>
              <w:right w:val="single" w:sz="6" w:space="0" w:color="000000"/>
            </w:tcBorders>
          </w:tcPr>
          <w:p w14:paraId="777EA663" w14:textId="77777777" w:rsidR="002D58E4" w:rsidRDefault="00F721D4">
            <w:pPr>
              <w:jc w:val="center"/>
              <w:rPr>
                <w:sz w:val="20"/>
                <w:szCs w:val="20"/>
              </w:rPr>
            </w:pPr>
            <w:r>
              <w:rPr>
                <w:sz w:val="20"/>
                <w:szCs w:val="20"/>
              </w:rPr>
              <w:t xml:space="preserve">4/30 </w:t>
            </w:r>
          </w:p>
          <w:p w14:paraId="50C22DA5" w14:textId="77777777" w:rsidR="002D58E4" w:rsidRDefault="00F721D4">
            <w:pPr>
              <w:jc w:val="center"/>
              <w:rPr>
                <w:sz w:val="20"/>
                <w:szCs w:val="20"/>
              </w:rPr>
            </w:pPr>
            <w:r>
              <w:rPr>
                <w:sz w:val="20"/>
                <w:szCs w:val="20"/>
              </w:rPr>
              <w:t xml:space="preserve">(13.3%) </w:t>
            </w:r>
          </w:p>
        </w:tc>
        <w:tc>
          <w:tcPr>
            <w:tcW w:w="1135" w:type="dxa"/>
            <w:tcBorders>
              <w:top w:val="single" w:sz="6" w:space="0" w:color="000000"/>
              <w:left w:val="single" w:sz="6" w:space="0" w:color="000000"/>
              <w:bottom w:val="single" w:sz="6" w:space="0" w:color="000000"/>
              <w:right w:val="single" w:sz="6" w:space="0" w:color="000000"/>
            </w:tcBorders>
          </w:tcPr>
          <w:p w14:paraId="445DF6F9" w14:textId="77777777" w:rsidR="002D58E4" w:rsidRDefault="00F721D4">
            <w:pPr>
              <w:jc w:val="center"/>
              <w:rPr>
                <w:sz w:val="20"/>
                <w:szCs w:val="20"/>
              </w:rPr>
            </w:pPr>
            <w:r>
              <w:rPr>
                <w:sz w:val="20"/>
                <w:szCs w:val="20"/>
              </w:rPr>
              <w:t>2/30</w:t>
            </w:r>
          </w:p>
          <w:p w14:paraId="63D874BD" w14:textId="77777777" w:rsidR="002D58E4" w:rsidRDefault="00F721D4">
            <w:pPr>
              <w:jc w:val="center"/>
              <w:rPr>
                <w:sz w:val="20"/>
                <w:szCs w:val="20"/>
              </w:rPr>
            </w:pPr>
            <w:r>
              <w:rPr>
                <w:sz w:val="20"/>
                <w:szCs w:val="20"/>
              </w:rPr>
              <w:t xml:space="preserve"> (6.7%) </w:t>
            </w:r>
          </w:p>
        </w:tc>
        <w:tc>
          <w:tcPr>
            <w:tcW w:w="1281" w:type="dxa"/>
            <w:tcBorders>
              <w:top w:val="single" w:sz="6" w:space="0" w:color="000000"/>
              <w:left w:val="single" w:sz="6" w:space="0" w:color="000000"/>
              <w:bottom w:val="single" w:sz="6" w:space="0" w:color="000000"/>
              <w:right w:val="single" w:sz="6" w:space="0" w:color="000000"/>
            </w:tcBorders>
          </w:tcPr>
          <w:p w14:paraId="02035F0A" w14:textId="77777777" w:rsidR="002D58E4" w:rsidRDefault="00F721D4">
            <w:pPr>
              <w:jc w:val="center"/>
              <w:rPr>
                <w:sz w:val="20"/>
                <w:szCs w:val="20"/>
              </w:rPr>
            </w:pPr>
            <w:r>
              <w:rPr>
                <w:sz w:val="20"/>
                <w:szCs w:val="20"/>
              </w:rPr>
              <w:t>RR 2.00</w:t>
            </w:r>
            <w:r>
              <w:rPr>
                <w:sz w:val="20"/>
                <w:szCs w:val="20"/>
              </w:rPr>
              <w:br/>
              <w:t xml:space="preserve">(0.40 to 10.11) </w:t>
            </w:r>
          </w:p>
        </w:tc>
        <w:tc>
          <w:tcPr>
            <w:tcW w:w="2409" w:type="dxa"/>
            <w:tcBorders>
              <w:top w:val="single" w:sz="6" w:space="0" w:color="000000"/>
              <w:left w:val="single" w:sz="6" w:space="0" w:color="000000"/>
              <w:bottom w:val="single" w:sz="6" w:space="0" w:color="000000"/>
              <w:right w:val="single" w:sz="6" w:space="0" w:color="000000"/>
            </w:tcBorders>
          </w:tcPr>
          <w:p w14:paraId="5661B715" w14:textId="77777777" w:rsidR="002D58E4" w:rsidRDefault="00F721D4">
            <w:pPr>
              <w:jc w:val="center"/>
              <w:rPr>
                <w:sz w:val="20"/>
                <w:szCs w:val="20"/>
              </w:rPr>
            </w:pPr>
            <w:r>
              <w:rPr>
                <w:sz w:val="20"/>
                <w:szCs w:val="20"/>
              </w:rPr>
              <w:t>67 more per 1,000</w:t>
            </w:r>
            <w:r>
              <w:rPr>
                <w:sz w:val="20"/>
                <w:szCs w:val="20"/>
              </w:rPr>
              <w:br/>
              <w:t xml:space="preserve">(from 40 fewer to 607 more) </w:t>
            </w:r>
          </w:p>
        </w:tc>
        <w:tc>
          <w:tcPr>
            <w:tcW w:w="985" w:type="dxa"/>
            <w:tcBorders>
              <w:top w:val="single" w:sz="6" w:space="0" w:color="000000"/>
              <w:left w:val="single" w:sz="6" w:space="0" w:color="000000"/>
              <w:bottom w:val="single" w:sz="6" w:space="0" w:color="000000"/>
              <w:right w:val="single" w:sz="6" w:space="0" w:color="000000"/>
            </w:tcBorders>
          </w:tcPr>
          <w:p w14:paraId="7DB9802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24" w:type="dxa"/>
            <w:tcBorders>
              <w:top w:val="single" w:sz="6" w:space="0" w:color="000000"/>
              <w:left w:val="single" w:sz="6" w:space="0" w:color="000000"/>
              <w:bottom w:val="single" w:sz="6" w:space="0" w:color="000000"/>
              <w:right w:val="single" w:sz="6" w:space="0" w:color="000000"/>
            </w:tcBorders>
          </w:tcPr>
          <w:p w14:paraId="5076AC70" w14:textId="77777777" w:rsidR="002D58E4" w:rsidRDefault="00F721D4">
            <w:pPr>
              <w:rPr>
                <w:sz w:val="20"/>
                <w:szCs w:val="20"/>
                <w:highlight w:val="yellow"/>
              </w:rPr>
            </w:pPr>
            <w:r>
              <w:rPr>
                <w:sz w:val="20"/>
                <w:szCs w:val="20"/>
              </w:rPr>
              <w:t>CRITICAL</w:t>
            </w:r>
          </w:p>
        </w:tc>
      </w:tr>
      <w:tr w:rsidR="002D58E4" w14:paraId="0A921ADB" w14:textId="77777777" w:rsidTr="00E343BA">
        <w:tc>
          <w:tcPr>
            <w:tcW w:w="1467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C7E0BA8" w14:textId="77777777" w:rsidR="002D58E4" w:rsidRDefault="00F721D4">
            <w:pPr>
              <w:rPr>
                <w:b/>
                <w:sz w:val="20"/>
                <w:szCs w:val="20"/>
              </w:rPr>
            </w:pPr>
            <w:r>
              <w:rPr>
                <w:b/>
                <w:sz w:val="20"/>
                <w:szCs w:val="20"/>
              </w:rPr>
              <w:t xml:space="preserve">Diarrhea </w:t>
            </w:r>
          </w:p>
        </w:tc>
      </w:tr>
      <w:tr w:rsidR="002D58E4" w14:paraId="1D1D8B2A" w14:textId="77777777" w:rsidTr="00E343BA">
        <w:tc>
          <w:tcPr>
            <w:tcW w:w="725" w:type="dxa"/>
            <w:tcBorders>
              <w:top w:val="single" w:sz="6" w:space="0" w:color="000000"/>
              <w:left w:val="single" w:sz="6" w:space="0" w:color="000000"/>
              <w:bottom w:val="single" w:sz="6" w:space="0" w:color="000000"/>
              <w:right w:val="single" w:sz="6" w:space="0" w:color="000000"/>
            </w:tcBorders>
          </w:tcPr>
          <w:p w14:paraId="221CE98D" w14:textId="77777777" w:rsidR="002D58E4" w:rsidRDefault="00F721D4">
            <w:pPr>
              <w:rPr>
                <w:sz w:val="20"/>
                <w:szCs w:val="20"/>
              </w:rPr>
            </w:pPr>
            <w:r>
              <w:rPr>
                <w:sz w:val="20"/>
                <w:szCs w:val="20"/>
              </w:rPr>
              <w:t xml:space="preserve">1 </w:t>
            </w:r>
          </w:p>
        </w:tc>
        <w:tc>
          <w:tcPr>
            <w:tcW w:w="691" w:type="dxa"/>
            <w:tcBorders>
              <w:top w:val="single" w:sz="6" w:space="0" w:color="000000"/>
              <w:left w:val="single" w:sz="6" w:space="0" w:color="000000"/>
              <w:bottom w:val="single" w:sz="6" w:space="0" w:color="000000"/>
              <w:right w:val="single" w:sz="6" w:space="0" w:color="000000"/>
            </w:tcBorders>
          </w:tcPr>
          <w:p w14:paraId="4A387D38"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41" w:type="dxa"/>
            <w:tcBorders>
              <w:top w:val="single" w:sz="6" w:space="0" w:color="000000"/>
              <w:left w:val="single" w:sz="6" w:space="0" w:color="000000"/>
              <w:bottom w:val="single" w:sz="6" w:space="0" w:color="000000"/>
              <w:right w:val="single" w:sz="6" w:space="0" w:color="000000"/>
            </w:tcBorders>
          </w:tcPr>
          <w:p w14:paraId="7428B39E" w14:textId="77777777" w:rsidR="002D58E4" w:rsidRDefault="00F721D4">
            <w:pPr>
              <w:rPr>
                <w:sz w:val="20"/>
                <w:szCs w:val="20"/>
              </w:rPr>
            </w:pPr>
            <w:r>
              <w:rPr>
                <w:sz w:val="20"/>
                <w:szCs w:val="20"/>
              </w:rPr>
              <w:t xml:space="preserve">serious </w:t>
            </w:r>
            <w:r>
              <w:rPr>
                <w:sz w:val="20"/>
                <w:szCs w:val="20"/>
                <w:vertAlign w:val="superscript"/>
              </w:rPr>
              <w:t>a</w:t>
            </w:r>
          </w:p>
        </w:tc>
        <w:tc>
          <w:tcPr>
            <w:tcW w:w="1244" w:type="dxa"/>
            <w:tcBorders>
              <w:top w:val="single" w:sz="6" w:space="0" w:color="000000"/>
              <w:left w:val="single" w:sz="6" w:space="0" w:color="000000"/>
              <w:bottom w:val="single" w:sz="6" w:space="0" w:color="000000"/>
              <w:right w:val="single" w:sz="6" w:space="0" w:color="000000"/>
            </w:tcBorders>
          </w:tcPr>
          <w:p w14:paraId="587FB247" w14:textId="77777777" w:rsidR="002D58E4" w:rsidRDefault="00F721D4">
            <w:pPr>
              <w:rPr>
                <w:sz w:val="20"/>
                <w:szCs w:val="20"/>
              </w:rPr>
            </w:pPr>
            <w:r>
              <w:rPr>
                <w:sz w:val="20"/>
                <w:szCs w:val="20"/>
              </w:rPr>
              <w:t>not serious</w:t>
            </w:r>
          </w:p>
        </w:tc>
        <w:tc>
          <w:tcPr>
            <w:tcW w:w="1119" w:type="dxa"/>
            <w:tcBorders>
              <w:top w:val="single" w:sz="6" w:space="0" w:color="000000"/>
              <w:left w:val="single" w:sz="6" w:space="0" w:color="000000"/>
              <w:bottom w:val="single" w:sz="6" w:space="0" w:color="000000"/>
              <w:right w:val="single" w:sz="6" w:space="0" w:color="000000"/>
            </w:tcBorders>
          </w:tcPr>
          <w:p w14:paraId="35E72DA1" w14:textId="77777777" w:rsidR="002D58E4" w:rsidRDefault="00F721D4">
            <w:pPr>
              <w:rPr>
                <w:sz w:val="20"/>
                <w:szCs w:val="20"/>
              </w:rPr>
            </w:pPr>
            <w:r>
              <w:rPr>
                <w:sz w:val="20"/>
                <w:szCs w:val="20"/>
              </w:rPr>
              <w:t>not serious</w:t>
            </w:r>
          </w:p>
        </w:tc>
        <w:tc>
          <w:tcPr>
            <w:tcW w:w="1072" w:type="dxa"/>
            <w:tcBorders>
              <w:top w:val="single" w:sz="6" w:space="0" w:color="000000"/>
              <w:left w:val="single" w:sz="6" w:space="0" w:color="000000"/>
              <w:bottom w:val="single" w:sz="6" w:space="0" w:color="000000"/>
              <w:right w:val="single" w:sz="6" w:space="0" w:color="000000"/>
            </w:tcBorders>
          </w:tcPr>
          <w:p w14:paraId="00CE392E" w14:textId="77777777" w:rsidR="002D58E4" w:rsidRDefault="00F721D4">
            <w:pPr>
              <w:rPr>
                <w:sz w:val="20"/>
                <w:szCs w:val="20"/>
              </w:rPr>
            </w:pPr>
            <w:r>
              <w:rPr>
                <w:sz w:val="20"/>
                <w:szCs w:val="20"/>
              </w:rPr>
              <w:t xml:space="preserve">serious </w:t>
            </w:r>
            <w:r>
              <w:rPr>
                <w:sz w:val="20"/>
                <w:szCs w:val="20"/>
                <w:vertAlign w:val="superscript"/>
              </w:rPr>
              <w:t>b</w:t>
            </w:r>
          </w:p>
        </w:tc>
        <w:tc>
          <w:tcPr>
            <w:tcW w:w="829" w:type="dxa"/>
            <w:tcBorders>
              <w:top w:val="single" w:sz="6" w:space="0" w:color="000000"/>
              <w:left w:val="single" w:sz="6" w:space="0" w:color="000000"/>
              <w:bottom w:val="single" w:sz="6" w:space="0" w:color="000000"/>
              <w:right w:val="single" w:sz="6" w:space="0" w:color="000000"/>
            </w:tcBorders>
          </w:tcPr>
          <w:p w14:paraId="02745C54" w14:textId="77777777" w:rsidR="002D58E4" w:rsidRDefault="00F721D4">
            <w:pPr>
              <w:rPr>
                <w:sz w:val="20"/>
                <w:szCs w:val="20"/>
              </w:rPr>
            </w:pPr>
            <w:r>
              <w:rPr>
                <w:sz w:val="20"/>
                <w:szCs w:val="20"/>
              </w:rPr>
              <w:t xml:space="preserve">none </w:t>
            </w:r>
          </w:p>
        </w:tc>
        <w:tc>
          <w:tcPr>
            <w:tcW w:w="1316" w:type="dxa"/>
            <w:tcBorders>
              <w:top w:val="single" w:sz="6" w:space="0" w:color="000000"/>
              <w:left w:val="single" w:sz="6" w:space="0" w:color="000000"/>
              <w:bottom w:val="single" w:sz="6" w:space="0" w:color="000000"/>
              <w:right w:val="single" w:sz="6" w:space="0" w:color="000000"/>
            </w:tcBorders>
          </w:tcPr>
          <w:p w14:paraId="4506A1FD" w14:textId="77777777" w:rsidR="002D58E4" w:rsidRDefault="00F721D4">
            <w:pPr>
              <w:jc w:val="center"/>
              <w:rPr>
                <w:sz w:val="20"/>
                <w:szCs w:val="20"/>
              </w:rPr>
            </w:pPr>
            <w:r>
              <w:rPr>
                <w:sz w:val="20"/>
                <w:szCs w:val="20"/>
              </w:rPr>
              <w:t xml:space="preserve">3/30 </w:t>
            </w:r>
          </w:p>
          <w:p w14:paraId="2A8130FA" w14:textId="77777777" w:rsidR="002D58E4" w:rsidRDefault="00F721D4">
            <w:pPr>
              <w:jc w:val="center"/>
              <w:rPr>
                <w:sz w:val="20"/>
                <w:szCs w:val="20"/>
              </w:rPr>
            </w:pPr>
            <w:r>
              <w:rPr>
                <w:sz w:val="20"/>
                <w:szCs w:val="20"/>
              </w:rPr>
              <w:t xml:space="preserve">(10.0%) </w:t>
            </w:r>
          </w:p>
        </w:tc>
        <w:tc>
          <w:tcPr>
            <w:tcW w:w="1135" w:type="dxa"/>
            <w:tcBorders>
              <w:top w:val="single" w:sz="6" w:space="0" w:color="000000"/>
              <w:left w:val="single" w:sz="6" w:space="0" w:color="000000"/>
              <w:bottom w:val="single" w:sz="6" w:space="0" w:color="000000"/>
              <w:right w:val="single" w:sz="6" w:space="0" w:color="000000"/>
            </w:tcBorders>
          </w:tcPr>
          <w:p w14:paraId="3940ABAE" w14:textId="77777777" w:rsidR="002D58E4" w:rsidRDefault="00F721D4">
            <w:pPr>
              <w:jc w:val="center"/>
              <w:rPr>
                <w:sz w:val="20"/>
                <w:szCs w:val="20"/>
              </w:rPr>
            </w:pPr>
            <w:r>
              <w:rPr>
                <w:sz w:val="20"/>
                <w:szCs w:val="20"/>
              </w:rPr>
              <w:t xml:space="preserve">2/30 </w:t>
            </w:r>
          </w:p>
          <w:p w14:paraId="01070948" w14:textId="77777777" w:rsidR="002D58E4" w:rsidRDefault="00F721D4">
            <w:pPr>
              <w:jc w:val="center"/>
              <w:rPr>
                <w:sz w:val="20"/>
                <w:szCs w:val="20"/>
              </w:rPr>
            </w:pPr>
            <w:r>
              <w:rPr>
                <w:sz w:val="20"/>
                <w:szCs w:val="20"/>
              </w:rPr>
              <w:t xml:space="preserve">(6.7%) </w:t>
            </w:r>
          </w:p>
        </w:tc>
        <w:tc>
          <w:tcPr>
            <w:tcW w:w="1281" w:type="dxa"/>
            <w:tcBorders>
              <w:top w:val="single" w:sz="6" w:space="0" w:color="000000"/>
              <w:left w:val="single" w:sz="6" w:space="0" w:color="000000"/>
              <w:bottom w:val="single" w:sz="6" w:space="0" w:color="000000"/>
              <w:right w:val="single" w:sz="6" w:space="0" w:color="000000"/>
            </w:tcBorders>
          </w:tcPr>
          <w:p w14:paraId="05FBC52F" w14:textId="77777777" w:rsidR="002D58E4" w:rsidRDefault="00F721D4">
            <w:pPr>
              <w:jc w:val="center"/>
              <w:rPr>
                <w:sz w:val="20"/>
                <w:szCs w:val="20"/>
              </w:rPr>
            </w:pPr>
            <w:r>
              <w:rPr>
                <w:sz w:val="20"/>
                <w:szCs w:val="20"/>
              </w:rPr>
              <w:t>RR 1.50</w:t>
            </w:r>
            <w:r>
              <w:rPr>
                <w:sz w:val="20"/>
                <w:szCs w:val="20"/>
              </w:rPr>
              <w:br/>
              <w:t xml:space="preserve">(0.27 to 8.34) </w:t>
            </w:r>
          </w:p>
        </w:tc>
        <w:tc>
          <w:tcPr>
            <w:tcW w:w="2409" w:type="dxa"/>
            <w:tcBorders>
              <w:top w:val="single" w:sz="6" w:space="0" w:color="000000"/>
              <w:left w:val="single" w:sz="6" w:space="0" w:color="000000"/>
              <w:bottom w:val="single" w:sz="6" w:space="0" w:color="000000"/>
              <w:right w:val="single" w:sz="6" w:space="0" w:color="000000"/>
            </w:tcBorders>
          </w:tcPr>
          <w:p w14:paraId="26C84E21" w14:textId="77777777" w:rsidR="002D58E4" w:rsidRDefault="00F721D4">
            <w:pPr>
              <w:jc w:val="center"/>
              <w:rPr>
                <w:sz w:val="20"/>
                <w:szCs w:val="20"/>
              </w:rPr>
            </w:pPr>
            <w:r>
              <w:rPr>
                <w:sz w:val="20"/>
                <w:szCs w:val="20"/>
              </w:rPr>
              <w:t>33 more per 1,000</w:t>
            </w:r>
            <w:r>
              <w:rPr>
                <w:sz w:val="20"/>
                <w:szCs w:val="20"/>
              </w:rPr>
              <w:br/>
              <w:t xml:space="preserve">(from 49 fewer to 489 more) </w:t>
            </w:r>
          </w:p>
        </w:tc>
        <w:tc>
          <w:tcPr>
            <w:tcW w:w="985" w:type="dxa"/>
            <w:tcBorders>
              <w:top w:val="single" w:sz="6" w:space="0" w:color="000000"/>
              <w:left w:val="single" w:sz="6" w:space="0" w:color="000000"/>
              <w:bottom w:val="single" w:sz="6" w:space="0" w:color="000000"/>
              <w:right w:val="single" w:sz="6" w:space="0" w:color="000000"/>
            </w:tcBorders>
          </w:tcPr>
          <w:p w14:paraId="6D6A13D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24" w:type="dxa"/>
            <w:tcBorders>
              <w:top w:val="single" w:sz="6" w:space="0" w:color="000000"/>
              <w:left w:val="single" w:sz="6" w:space="0" w:color="000000"/>
              <w:bottom w:val="single" w:sz="6" w:space="0" w:color="000000"/>
              <w:right w:val="single" w:sz="6" w:space="0" w:color="000000"/>
            </w:tcBorders>
          </w:tcPr>
          <w:p w14:paraId="19884DCE" w14:textId="77777777" w:rsidR="002D58E4" w:rsidRDefault="00F721D4">
            <w:pPr>
              <w:rPr>
                <w:sz w:val="20"/>
                <w:szCs w:val="20"/>
              </w:rPr>
            </w:pPr>
            <w:r>
              <w:rPr>
                <w:sz w:val="20"/>
                <w:szCs w:val="20"/>
              </w:rPr>
              <w:t xml:space="preserve">CRITICAL </w:t>
            </w:r>
          </w:p>
        </w:tc>
      </w:tr>
    </w:tbl>
    <w:p w14:paraId="11708DFF" w14:textId="77777777" w:rsidR="002D58E4" w:rsidRDefault="00F721D4">
      <w:pPr>
        <w:pBdr>
          <w:top w:val="nil"/>
          <w:left w:val="nil"/>
          <w:bottom w:val="nil"/>
          <w:right w:val="nil"/>
          <w:between w:val="nil"/>
        </w:pBdr>
        <w:spacing w:before="100" w:after="100" w:line="240" w:lineRule="auto"/>
        <w:rPr>
          <w:b/>
          <w:color w:val="000000"/>
          <w:sz w:val="18"/>
          <w:szCs w:val="18"/>
        </w:rPr>
      </w:pPr>
      <w:r>
        <w:rPr>
          <w:color w:val="000000"/>
          <w:sz w:val="20"/>
          <w:szCs w:val="20"/>
        </w:rPr>
        <w:t>*Improvement of Neurologic Lyme Symptoms correspond to an “excellent clinical response= asymptomatic”, while “good clinical response = markedly milder symptoms, or negligible residual symptoms”.</w:t>
      </w:r>
      <w:r>
        <w:rPr>
          <w:b/>
          <w:color w:val="000000"/>
          <w:sz w:val="18"/>
          <w:szCs w:val="18"/>
        </w:rPr>
        <w:t xml:space="preserve"> </w:t>
      </w:r>
    </w:p>
    <w:p w14:paraId="26042AE8"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712283CE" w14:textId="77777777" w:rsidR="002305C5" w:rsidRDefault="002305C5" w:rsidP="002305C5">
      <w:pPr>
        <w:spacing w:before="280" w:after="0"/>
        <w:rPr>
          <w:b/>
          <w:color w:val="000000"/>
          <w:sz w:val="24"/>
          <w:szCs w:val="24"/>
        </w:rPr>
      </w:pPr>
      <w:r>
        <w:rPr>
          <w:b/>
          <w:color w:val="000000"/>
          <w:sz w:val="24"/>
          <w:szCs w:val="24"/>
        </w:rPr>
        <w:t>Explanations</w:t>
      </w:r>
    </w:p>
    <w:p w14:paraId="08EED3C3" w14:textId="086F74D1" w:rsidR="002D58E4" w:rsidRDefault="00F721D4">
      <w:pPr>
        <w:spacing w:after="0"/>
        <w:rPr>
          <w:color w:val="000000"/>
          <w:sz w:val="18"/>
          <w:szCs w:val="18"/>
        </w:rPr>
      </w:pPr>
      <w:r>
        <w:rPr>
          <w:color w:val="000000"/>
          <w:sz w:val="18"/>
          <w:szCs w:val="18"/>
        </w:rPr>
        <w:t xml:space="preserve">a. Study received a high risk of bias due to inadequate or compromised blinding. </w:t>
      </w:r>
    </w:p>
    <w:p w14:paraId="4D3E8C46" w14:textId="77777777" w:rsidR="002D58E4" w:rsidRDefault="00F721D4">
      <w:pPr>
        <w:spacing w:after="0"/>
        <w:rPr>
          <w:color w:val="000000"/>
          <w:sz w:val="18"/>
          <w:szCs w:val="18"/>
        </w:rPr>
      </w:pPr>
      <w:r>
        <w:rPr>
          <w:color w:val="000000"/>
          <w:sz w:val="18"/>
          <w:szCs w:val="18"/>
        </w:rPr>
        <w:t>b. 95% CI is wide and crossing the null value.</w:t>
      </w:r>
    </w:p>
    <w:p w14:paraId="73982840" w14:textId="77777777" w:rsidR="002D58E4" w:rsidRDefault="00F721D4">
      <w:pPr>
        <w:rPr>
          <w:color w:val="000000"/>
          <w:sz w:val="18"/>
          <w:szCs w:val="18"/>
        </w:rPr>
      </w:pPr>
      <w:r>
        <w:rPr>
          <w:color w:val="000000"/>
          <w:sz w:val="18"/>
          <w:szCs w:val="18"/>
        </w:rPr>
        <w:t>c. Fragility due to low event rate and small sample size.</w:t>
      </w:r>
    </w:p>
    <w:p w14:paraId="2F4D22C0" w14:textId="77777777" w:rsidR="002D58E4" w:rsidRDefault="002D58E4">
      <w:pPr>
        <w:spacing w:after="0"/>
        <w:rPr>
          <w:b/>
          <w:sz w:val="32"/>
          <w:szCs w:val="32"/>
        </w:rPr>
      </w:pPr>
    </w:p>
    <w:p w14:paraId="3D3AF133" w14:textId="77777777" w:rsidR="002D58E4" w:rsidRDefault="00F721D4">
      <w:r>
        <w:br w:type="page"/>
      </w:r>
    </w:p>
    <w:tbl>
      <w:tblPr>
        <w:tblStyle w:val="aff7"/>
        <w:tblW w:w="14468" w:type="dxa"/>
        <w:tblLayout w:type="fixed"/>
        <w:tblLook w:val="0600" w:firstRow="0" w:lastRow="0" w:firstColumn="0" w:lastColumn="0" w:noHBand="1" w:noVBand="1"/>
      </w:tblPr>
      <w:tblGrid>
        <w:gridCol w:w="839"/>
        <w:gridCol w:w="1003"/>
        <w:gridCol w:w="720"/>
        <w:gridCol w:w="4100"/>
        <w:gridCol w:w="2551"/>
        <w:gridCol w:w="1559"/>
        <w:gridCol w:w="3685"/>
        <w:gridCol w:w="11"/>
      </w:tblGrid>
      <w:tr w:rsidR="002D58E4" w14:paraId="17E79AA7" w14:textId="77777777">
        <w:trPr>
          <w:trHeight w:val="500"/>
        </w:trPr>
        <w:tc>
          <w:tcPr>
            <w:tcW w:w="14468" w:type="dxa"/>
            <w:gridSpan w:val="8"/>
            <w:tcBorders>
              <w:bottom w:val="single" w:sz="6" w:space="0" w:color="AEAEAE"/>
            </w:tcBorders>
            <w:shd w:val="clear" w:color="auto" w:fill="auto"/>
            <w:tcMar>
              <w:top w:w="15" w:type="dxa"/>
              <w:left w:w="30" w:type="dxa"/>
              <w:bottom w:w="0" w:type="dxa"/>
              <w:right w:w="30" w:type="dxa"/>
            </w:tcMar>
          </w:tcPr>
          <w:p w14:paraId="1943F604" w14:textId="15893E63" w:rsidR="002D58E4" w:rsidRDefault="00F721D4">
            <w:pPr>
              <w:rPr>
                <w:b/>
                <w:sz w:val="32"/>
                <w:szCs w:val="32"/>
              </w:rPr>
            </w:pPr>
            <w:r>
              <w:rPr>
                <w:b/>
                <w:sz w:val="32"/>
                <w:szCs w:val="32"/>
              </w:rPr>
              <w:t>XV. Should patients with Lyme disease and facial nerve palsy receive corticosteroids in addition to antimicrobial therapy?</w:t>
            </w:r>
          </w:p>
          <w:p w14:paraId="5F41ABAD" w14:textId="77777777" w:rsidR="002D58E4" w:rsidRDefault="002D58E4">
            <w:pPr>
              <w:rPr>
                <w:b/>
                <w:sz w:val="32"/>
                <w:szCs w:val="32"/>
              </w:rPr>
            </w:pPr>
          </w:p>
          <w:p w14:paraId="2BD3261E" w14:textId="77777777" w:rsidR="002D58E4" w:rsidRDefault="00F721D4" w:rsidP="00171735">
            <w:pPr>
              <w:rPr>
                <w:color w:val="000000"/>
                <w:sz w:val="18"/>
                <w:szCs w:val="18"/>
              </w:rPr>
            </w:pPr>
            <w:r w:rsidRPr="00171735">
              <w:rPr>
                <w:b/>
                <w:color w:val="000000"/>
                <w:sz w:val="18"/>
                <w:szCs w:val="18"/>
                <w:lang w:val="fr-CA"/>
              </w:rPr>
              <w:t xml:space="preserve">Bibliography: </w:t>
            </w:r>
            <w:r w:rsidRPr="00171735">
              <w:rPr>
                <w:color w:val="000000"/>
                <w:sz w:val="18"/>
                <w:szCs w:val="18"/>
                <w:lang w:val="fr-CA"/>
              </w:rPr>
              <w:t xml:space="preserve">1. Clark, et al. Laryngoscope. </w:t>
            </w:r>
            <w:r w:rsidRPr="00171735">
              <w:rPr>
                <w:color w:val="000000"/>
                <w:sz w:val="18"/>
                <w:szCs w:val="18"/>
              </w:rPr>
              <w:t>1985 Nov; 95(11): 1341-5; 2. Pfister, et al. Annals of the New York Academy of Sciences, 1988, 539(1): 485–487; 3. Hydén, et al. Am J Otolaryngol. 1993 May-Jun; 14(3): 179-86; 4. Jowett, et al. Laryngoscope, 2016 Sep 6; 5. Wormser, et al. Diagn Microbiol Infect Dis. 2018 Aug;91(4):336-338.</w:t>
            </w:r>
          </w:p>
          <w:p w14:paraId="7563FCD6" w14:textId="490DA72C" w:rsidR="00171735" w:rsidRPr="00171735" w:rsidRDefault="00171735" w:rsidP="00171735">
            <w:pPr>
              <w:rPr>
                <w:b/>
                <w:color w:val="000000"/>
                <w:sz w:val="18"/>
                <w:szCs w:val="18"/>
              </w:rPr>
            </w:pPr>
          </w:p>
        </w:tc>
      </w:tr>
      <w:tr w:rsidR="002D58E4" w14:paraId="3639372E" w14:textId="77777777">
        <w:trPr>
          <w:gridAfter w:val="1"/>
          <w:wAfter w:w="11" w:type="dxa"/>
          <w:trHeight w:val="698"/>
        </w:trPr>
        <w:tc>
          <w:tcPr>
            <w:tcW w:w="83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B24A45A" w14:textId="77777777" w:rsidR="002D58E4" w:rsidRDefault="00F721D4">
            <w:pPr>
              <w:jc w:val="center"/>
              <w:rPr>
                <w:b/>
                <w:color w:val="000000"/>
                <w:sz w:val="20"/>
                <w:szCs w:val="20"/>
              </w:rPr>
            </w:pPr>
            <w:r>
              <w:rPr>
                <w:b/>
                <w:color w:val="000000"/>
                <w:sz w:val="20"/>
                <w:szCs w:val="20"/>
              </w:rPr>
              <w:t>Study, Location</w:t>
            </w:r>
          </w:p>
        </w:tc>
        <w:tc>
          <w:tcPr>
            <w:tcW w:w="1003" w:type="dxa"/>
            <w:tcBorders>
              <w:top w:val="single" w:sz="6" w:space="0" w:color="AEAEAE"/>
              <w:left w:val="single" w:sz="6" w:space="0" w:color="AEAEAE"/>
              <w:bottom w:val="single" w:sz="6" w:space="0" w:color="AEAEAE"/>
              <w:right w:val="single" w:sz="6" w:space="0" w:color="AEAEAE"/>
            </w:tcBorders>
            <w:shd w:val="clear" w:color="auto" w:fill="D9D9D9"/>
          </w:tcPr>
          <w:p w14:paraId="37C1E690" w14:textId="77777777" w:rsidR="002D58E4" w:rsidRDefault="00F721D4">
            <w:pPr>
              <w:jc w:val="center"/>
              <w:rPr>
                <w:b/>
                <w:color w:val="000000"/>
                <w:sz w:val="20"/>
                <w:szCs w:val="20"/>
              </w:rPr>
            </w:pPr>
            <w:r>
              <w:rPr>
                <w:b/>
                <w:color w:val="000000"/>
                <w:sz w:val="20"/>
                <w:szCs w:val="20"/>
              </w:rPr>
              <w:t>Study Design</w:t>
            </w:r>
          </w:p>
        </w:tc>
        <w:tc>
          <w:tcPr>
            <w:tcW w:w="720" w:type="dxa"/>
            <w:tcBorders>
              <w:top w:val="single" w:sz="6" w:space="0" w:color="AEAEAE"/>
              <w:left w:val="single" w:sz="6" w:space="0" w:color="AEAEAE"/>
              <w:bottom w:val="single" w:sz="6" w:space="0" w:color="AEAEAE"/>
              <w:right w:val="single" w:sz="6" w:space="0" w:color="AEAEAE"/>
            </w:tcBorders>
            <w:shd w:val="clear" w:color="auto" w:fill="D9D9D9"/>
          </w:tcPr>
          <w:p w14:paraId="24B7024C" w14:textId="77777777" w:rsidR="002D58E4" w:rsidRDefault="00F721D4">
            <w:pPr>
              <w:jc w:val="center"/>
              <w:rPr>
                <w:b/>
                <w:color w:val="000000"/>
                <w:sz w:val="20"/>
                <w:szCs w:val="20"/>
              </w:rPr>
            </w:pPr>
            <w:r>
              <w:rPr>
                <w:b/>
                <w:color w:val="000000"/>
                <w:sz w:val="20"/>
                <w:szCs w:val="20"/>
              </w:rPr>
              <w:t>Risk of Bias*</w:t>
            </w:r>
          </w:p>
        </w:tc>
        <w:tc>
          <w:tcPr>
            <w:tcW w:w="4100" w:type="dxa"/>
            <w:tcBorders>
              <w:top w:val="single" w:sz="6" w:space="0" w:color="AEAEAE"/>
              <w:left w:val="single" w:sz="6" w:space="0" w:color="AEAEAE"/>
              <w:bottom w:val="single" w:sz="6" w:space="0" w:color="AEAEAE"/>
              <w:right w:val="single" w:sz="6" w:space="0" w:color="AEAEAE"/>
            </w:tcBorders>
            <w:shd w:val="clear" w:color="auto" w:fill="D9D9D9"/>
          </w:tcPr>
          <w:p w14:paraId="1BDFEB3D" w14:textId="77777777" w:rsidR="002D58E4" w:rsidRDefault="00F721D4">
            <w:pPr>
              <w:jc w:val="center"/>
              <w:rPr>
                <w:b/>
                <w:color w:val="000000"/>
                <w:sz w:val="20"/>
                <w:szCs w:val="20"/>
              </w:rPr>
            </w:pPr>
            <w:r>
              <w:rPr>
                <w:b/>
                <w:color w:val="000000"/>
                <w:sz w:val="20"/>
                <w:szCs w:val="20"/>
              </w:rPr>
              <w:t>Population characteristics and Diagnostic method</w:t>
            </w:r>
          </w:p>
        </w:tc>
        <w:tc>
          <w:tcPr>
            <w:tcW w:w="2551"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8503D87" w14:textId="77777777" w:rsidR="002D58E4" w:rsidRDefault="00F721D4">
            <w:pPr>
              <w:jc w:val="center"/>
              <w:rPr>
                <w:sz w:val="20"/>
                <w:szCs w:val="20"/>
              </w:rPr>
            </w:pPr>
            <w:r>
              <w:rPr>
                <w:b/>
                <w:color w:val="000000"/>
                <w:sz w:val="20"/>
                <w:szCs w:val="20"/>
              </w:rPr>
              <w:t>Treatment(s) administered</w:t>
            </w:r>
          </w:p>
        </w:tc>
        <w:tc>
          <w:tcPr>
            <w:tcW w:w="155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95550FD" w14:textId="77777777" w:rsidR="002D58E4" w:rsidRDefault="00F721D4">
            <w:pPr>
              <w:jc w:val="center"/>
              <w:rPr>
                <w:sz w:val="20"/>
                <w:szCs w:val="20"/>
              </w:rPr>
            </w:pPr>
            <w:r>
              <w:rPr>
                <w:b/>
                <w:color w:val="000000"/>
                <w:sz w:val="20"/>
                <w:szCs w:val="20"/>
              </w:rPr>
              <w:t>% Taking Corticosteroid</w:t>
            </w:r>
          </w:p>
        </w:tc>
        <w:tc>
          <w:tcPr>
            <w:tcW w:w="3685"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1910D7F3" w14:textId="77777777" w:rsidR="002D58E4" w:rsidRDefault="00F721D4">
            <w:pPr>
              <w:jc w:val="center"/>
              <w:rPr>
                <w:sz w:val="20"/>
                <w:szCs w:val="20"/>
              </w:rPr>
            </w:pPr>
            <w:r>
              <w:rPr>
                <w:b/>
                <w:color w:val="000000"/>
                <w:sz w:val="20"/>
                <w:szCs w:val="20"/>
              </w:rPr>
              <w:t>Outcome: Resolution or improvement of facial palsy; Improvement of CSF pleocytosis; Prevention of subsequent neurologic events</w:t>
            </w:r>
          </w:p>
        </w:tc>
      </w:tr>
      <w:tr w:rsidR="002D58E4" w14:paraId="27ECD6A1" w14:textId="77777777">
        <w:trPr>
          <w:gridAfter w:val="1"/>
          <w:wAfter w:w="11" w:type="dxa"/>
          <w:trHeight w:val="1440"/>
        </w:trPr>
        <w:tc>
          <w:tcPr>
            <w:tcW w:w="83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C06B880" w14:textId="77777777" w:rsidR="002D58E4" w:rsidRDefault="00F721D4">
            <w:pPr>
              <w:rPr>
                <w:sz w:val="20"/>
                <w:szCs w:val="20"/>
              </w:rPr>
            </w:pPr>
            <w:r>
              <w:rPr>
                <w:sz w:val="20"/>
                <w:szCs w:val="20"/>
              </w:rPr>
              <w:t>Clark, et al., 1985</w:t>
            </w:r>
          </w:p>
          <w:p w14:paraId="38E0E9B5" w14:textId="77777777" w:rsidR="002D58E4" w:rsidRDefault="002D58E4">
            <w:pPr>
              <w:rPr>
                <w:sz w:val="20"/>
                <w:szCs w:val="20"/>
              </w:rPr>
            </w:pPr>
          </w:p>
          <w:p w14:paraId="27728B1D" w14:textId="77777777" w:rsidR="002D58E4" w:rsidRDefault="00F721D4">
            <w:pPr>
              <w:rPr>
                <w:sz w:val="20"/>
                <w:szCs w:val="20"/>
              </w:rPr>
            </w:pPr>
            <w:r>
              <w:rPr>
                <w:sz w:val="20"/>
                <w:szCs w:val="20"/>
              </w:rPr>
              <w:t>New Haven, CT</w:t>
            </w:r>
          </w:p>
        </w:tc>
        <w:tc>
          <w:tcPr>
            <w:tcW w:w="1003" w:type="dxa"/>
            <w:tcBorders>
              <w:top w:val="single" w:sz="6" w:space="0" w:color="AEAEAE"/>
              <w:left w:val="single" w:sz="6" w:space="0" w:color="AEAEAE"/>
              <w:bottom w:val="single" w:sz="6" w:space="0" w:color="AEAEAE"/>
              <w:right w:val="single" w:sz="6" w:space="0" w:color="AEAEAE"/>
            </w:tcBorders>
            <w:vAlign w:val="center"/>
          </w:tcPr>
          <w:p w14:paraId="704FA083" w14:textId="77777777" w:rsidR="002D58E4" w:rsidRDefault="00F721D4">
            <w:pPr>
              <w:rPr>
                <w:sz w:val="20"/>
                <w:szCs w:val="20"/>
              </w:rPr>
            </w:pPr>
            <w:r>
              <w:rPr>
                <w:sz w:val="20"/>
                <w:szCs w:val="20"/>
              </w:rPr>
              <w:t>Prospective cohort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39CDBEA5" w14:textId="77777777" w:rsidR="002D58E4" w:rsidRDefault="00F721D4">
            <w:pPr>
              <w:jc w:val="center"/>
              <w:rPr>
                <w:sz w:val="20"/>
                <w:szCs w:val="20"/>
              </w:rPr>
            </w:pPr>
            <w:r>
              <w:rPr>
                <w:sz w:val="20"/>
                <w:szCs w:val="20"/>
              </w:rPr>
              <w:t>4</w:t>
            </w:r>
          </w:p>
        </w:tc>
        <w:tc>
          <w:tcPr>
            <w:tcW w:w="4100" w:type="dxa"/>
            <w:tcBorders>
              <w:top w:val="single" w:sz="6" w:space="0" w:color="AEAEAE"/>
              <w:left w:val="single" w:sz="6" w:space="0" w:color="AEAEAE"/>
              <w:bottom w:val="single" w:sz="6" w:space="0" w:color="AEAEAE"/>
              <w:right w:val="single" w:sz="6" w:space="0" w:color="AEAEAE"/>
            </w:tcBorders>
            <w:vAlign w:val="center"/>
          </w:tcPr>
          <w:p w14:paraId="25179FED" w14:textId="77777777" w:rsidR="002D58E4" w:rsidRDefault="00F721D4">
            <w:pPr>
              <w:rPr>
                <w:sz w:val="20"/>
                <w:szCs w:val="20"/>
              </w:rPr>
            </w:pPr>
            <w:r>
              <w:rPr>
                <w:sz w:val="20"/>
                <w:szCs w:val="20"/>
              </w:rPr>
              <w:t xml:space="preserve">Of 951 patients with Lyme disease, 101 presented with 124 facial nerve palsies. 23 patients (22.8%) had bilateral facial palsy.  </w:t>
            </w:r>
          </w:p>
          <w:p w14:paraId="165F14BA" w14:textId="77777777" w:rsidR="002D58E4" w:rsidRDefault="002D58E4">
            <w:pPr>
              <w:rPr>
                <w:sz w:val="20"/>
                <w:szCs w:val="20"/>
              </w:rPr>
            </w:pPr>
          </w:p>
          <w:p w14:paraId="58AADDF0" w14:textId="77777777" w:rsidR="002D58E4" w:rsidRDefault="00F721D4">
            <w:pPr>
              <w:rPr>
                <w:sz w:val="20"/>
                <w:szCs w:val="20"/>
              </w:rPr>
            </w:pPr>
            <w:r>
              <w:rPr>
                <w:sz w:val="20"/>
                <w:szCs w:val="20"/>
              </w:rPr>
              <w:t xml:space="preserve">The diagnosis of Lyme disease was established on the basis of clinical and physical findings. 37.6% (38 of 101) of patients recalled a tick bite. 84.2% (85 of 101) of patients had documented erythema migrans. In 38 patients (37.6%), facial palsy was associated with other neurologic abnormalities, including radiculoneuritis or meningoencephalitis. </w:t>
            </w:r>
          </w:p>
        </w:tc>
        <w:tc>
          <w:tcPr>
            <w:tcW w:w="2551"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E112D22" w14:textId="77777777" w:rsidR="002D58E4" w:rsidRDefault="00F721D4">
            <w:pPr>
              <w:rPr>
                <w:sz w:val="20"/>
                <w:szCs w:val="20"/>
              </w:rPr>
            </w:pPr>
            <w:r>
              <w:rPr>
                <w:sz w:val="20"/>
                <w:szCs w:val="20"/>
              </w:rPr>
              <w:t>Antibiotics: 19 patients received oral penicillin; 4 patients received IV penicillin; 6 patients received oral tetracycline; 3 patients received oral erythromycin.</w:t>
            </w:r>
          </w:p>
          <w:p w14:paraId="63FD4F3C" w14:textId="77777777" w:rsidR="002D58E4" w:rsidRDefault="002D58E4">
            <w:pPr>
              <w:rPr>
                <w:sz w:val="20"/>
                <w:szCs w:val="20"/>
              </w:rPr>
            </w:pPr>
          </w:p>
          <w:p w14:paraId="07D5A17E" w14:textId="77777777" w:rsidR="002D58E4" w:rsidRDefault="00F721D4">
            <w:pPr>
              <w:rPr>
                <w:sz w:val="20"/>
                <w:szCs w:val="20"/>
              </w:rPr>
            </w:pPr>
            <w:r>
              <w:rPr>
                <w:sz w:val="20"/>
                <w:szCs w:val="20"/>
              </w:rPr>
              <w:t>24 patients received no treatment.</w:t>
            </w:r>
          </w:p>
        </w:tc>
        <w:tc>
          <w:tcPr>
            <w:tcW w:w="155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9A11972" w14:textId="77777777" w:rsidR="002D58E4" w:rsidRDefault="00F721D4">
            <w:pPr>
              <w:rPr>
                <w:sz w:val="20"/>
                <w:szCs w:val="20"/>
              </w:rPr>
            </w:pPr>
            <w:r>
              <w:rPr>
                <w:sz w:val="20"/>
                <w:szCs w:val="20"/>
              </w:rPr>
              <w:t>33 patients (32.7%) received steroids with or without antibiotics.</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459E682" w14:textId="77777777" w:rsidR="002D58E4" w:rsidRDefault="00F721D4">
            <w:pPr>
              <w:rPr>
                <w:sz w:val="20"/>
                <w:szCs w:val="20"/>
              </w:rPr>
            </w:pPr>
            <w:r>
              <w:rPr>
                <w:sz w:val="20"/>
                <w:szCs w:val="20"/>
              </w:rPr>
              <w:t xml:space="preserve">33 patients who received steroids with or without antibiotics had initially reported 44 facial palsies. 41 of 44 (93.2%) facial palsies completely resolved.  The median time to recovery was 24 days. One patient receiving steroids had a severe residual facial palsy and another had a recurrence of facial palsy after steroids were tapered. </w:t>
            </w:r>
          </w:p>
        </w:tc>
      </w:tr>
      <w:tr w:rsidR="002D58E4" w14:paraId="101B2F46" w14:textId="77777777">
        <w:trPr>
          <w:gridAfter w:val="1"/>
          <w:wAfter w:w="11" w:type="dxa"/>
          <w:trHeight w:val="1440"/>
        </w:trPr>
        <w:tc>
          <w:tcPr>
            <w:tcW w:w="83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3F2AA51" w14:textId="77777777" w:rsidR="002D58E4" w:rsidRDefault="00F721D4">
            <w:pPr>
              <w:rPr>
                <w:sz w:val="20"/>
                <w:szCs w:val="20"/>
              </w:rPr>
            </w:pPr>
            <w:r>
              <w:rPr>
                <w:sz w:val="20"/>
                <w:szCs w:val="20"/>
              </w:rPr>
              <w:t>Pfister, 1988</w:t>
            </w:r>
          </w:p>
          <w:p w14:paraId="4F7CB85F" w14:textId="77777777" w:rsidR="002D58E4" w:rsidRDefault="002D58E4">
            <w:pPr>
              <w:rPr>
                <w:sz w:val="20"/>
                <w:szCs w:val="20"/>
              </w:rPr>
            </w:pPr>
          </w:p>
          <w:p w14:paraId="7EB9F145" w14:textId="77777777" w:rsidR="002D58E4" w:rsidRDefault="00F721D4">
            <w:pPr>
              <w:rPr>
                <w:sz w:val="20"/>
                <w:szCs w:val="20"/>
              </w:rPr>
            </w:pPr>
            <w:r>
              <w:rPr>
                <w:sz w:val="20"/>
                <w:szCs w:val="20"/>
              </w:rPr>
              <w:t>Germany</w:t>
            </w:r>
          </w:p>
        </w:tc>
        <w:tc>
          <w:tcPr>
            <w:tcW w:w="1003" w:type="dxa"/>
            <w:tcBorders>
              <w:top w:val="single" w:sz="6" w:space="0" w:color="AEAEAE"/>
              <w:left w:val="single" w:sz="6" w:space="0" w:color="AEAEAE"/>
              <w:bottom w:val="single" w:sz="6" w:space="0" w:color="AEAEAE"/>
              <w:right w:val="single" w:sz="6" w:space="0" w:color="AEAEAE"/>
            </w:tcBorders>
            <w:vAlign w:val="center"/>
          </w:tcPr>
          <w:p w14:paraId="3E69DF53" w14:textId="77777777" w:rsidR="002D58E4" w:rsidRDefault="00F721D4">
            <w:pPr>
              <w:rPr>
                <w:sz w:val="20"/>
                <w:szCs w:val="20"/>
              </w:rPr>
            </w:pPr>
            <w:r>
              <w:rPr>
                <w:sz w:val="20"/>
                <w:szCs w:val="20"/>
              </w:rPr>
              <w:t xml:space="preserve">Randomized, double-blind placebo-controlled trial </w:t>
            </w:r>
          </w:p>
        </w:tc>
        <w:tc>
          <w:tcPr>
            <w:tcW w:w="720" w:type="dxa"/>
            <w:tcBorders>
              <w:top w:val="single" w:sz="6" w:space="0" w:color="AEAEAE"/>
              <w:left w:val="single" w:sz="6" w:space="0" w:color="AEAEAE"/>
              <w:bottom w:val="single" w:sz="6" w:space="0" w:color="AEAEAE"/>
              <w:right w:val="single" w:sz="6" w:space="0" w:color="AEAEAE"/>
            </w:tcBorders>
            <w:vAlign w:val="center"/>
          </w:tcPr>
          <w:p w14:paraId="7EA94558" w14:textId="77777777" w:rsidR="002D58E4" w:rsidRDefault="00F721D4">
            <w:pPr>
              <w:rPr>
                <w:sz w:val="20"/>
                <w:szCs w:val="20"/>
              </w:rPr>
            </w:pPr>
            <w:r>
              <w:rPr>
                <w:sz w:val="20"/>
                <w:szCs w:val="20"/>
              </w:rPr>
              <w:t>Unclear Risk of Bias</w:t>
            </w:r>
          </w:p>
        </w:tc>
        <w:tc>
          <w:tcPr>
            <w:tcW w:w="4100" w:type="dxa"/>
            <w:tcBorders>
              <w:top w:val="single" w:sz="6" w:space="0" w:color="AEAEAE"/>
              <w:left w:val="single" w:sz="6" w:space="0" w:color="AEAEAE"/>
              <w:bottom w:val="single" w:sz="6" w:space="0" w:color="AEAEAE"/>
              <w:right w:val="single" w:sz="6" w:space="0" w:color="AEAEAE"/>
            </w:tcBorders>
            <w:vAlign w:val="center"/>
          </w:tcPr>
          <w:p w14:paraId="3ED64B23" w14:textId="77777777" w:rsidR="002D58E4" w:rsidRDefault="00F721D4">
            <w:pPr>
              <w:rPr>
                <w:sz w:val="20"/>
                <w:szCs w:val="20"/>
              </w:rPr>
            </w:pPr>
            <w:r>
              <w:rPr>
                <w:sz w:val="20"/>
                <w:szCs w:val="20"/>
              </w:rPr>
              <w:t xml:space="preserve">21 patients with Bannwarth’s syndrome who complained of intense radicular pain. </w:t>
            </w:r>
          </w:p>
          <w:p w14:paraId="3E0D5575" w14:textId="77777777" w:rsidR="002D58E4" w:rsidRDefault="002D58E4">
            <w:pPr>
              <w:rPr>
                <w:sz w:val="20"/>
                <w:szCs w:val="20"/>
              </w:rPr>
            </w:pPr>
          </w:p>
          <w:p w14:paraId="209437E2" w14:textId="77777777" w:rsidR="002D58E4" w:rsidRDefault="00F721D4">
            <w:pPr>
              <w:rPr>
                <w:sz w:val="20"/>
                <w:szCs w:val="20"/>
              </w:rPr>
            </w:pPr>
            <w:r>
              <w:rPr>
                <w:sz w:val="20"/>
                <w:szCs w:val="20"/>
              </w:rPr>
              <w:t>27% (3 of 11) of penicillin/corticosteroids patients and 20% (2 of 10) of penicillin/placebo patients presented with facial palsy. All patients had also presented with radicular pain.</w:t>
            </w:r>
          </w:p>
        </w:tc>
        <w:tc>
          <w:tcPr>
            <w:tcW w:w="2551"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1308C6D" w14:textId="77777777" w:rsidR="002D58E4" w:rsidRDefault="00F721D4">
            <w:pPr>
              <w:rPr>
                <w:sz w:val="20"/>
                <w:szCs w:val="20"/>
              </w:rPr>
            </w:pPr>
            <w:r>
              <w:rPr>
                <w:sz w:val="20"/>
                <w:szCs w:val="20"/>
              </w:rPr>
              <w:t>10 days IV penicillin* + 7 days oral methylprednisolone vs. 10 days IV penicillin* + 7 days oral placebo</w:t>
            </w:r>
          </w:p>
          <w:p w14:paraId="6E881BB2" w14:textId="77777777" w:rsidR="002D58E4" w:rsidRDefault="002D58E4">
            <w:pPr>
              <w:rPr>
                <w:sz w:val="20"/>
                <w:szCs w:val="20"/>
              </w:rPr>
            </w:pPr>
          </w:p>
          <w:p w14:paraId="769B5D4B" w14:textId="77777777" w:rsidR="002D58E4" w:rsidRDefault="00F721D4">
            <w:pPr>
              <w:rPr>
                <w:sz w:val="20"/>
                <w:szCs w:val="20"/>
              </w:rPr>
            </w:pPr>
            <w:r>
              <w:rPr>
                <w:sz w:val="20"/>
                <w:szCs w:val="20"/>
              </w:rPr>
              <w:t>*2 patients who were allergic to penicillin received doxycycline</w:t>
            </w:r>
          </w:p>
        </w:tc>
        <w:tc>
          <w:tcPr>
            <w:tcW w:w="155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156FA29" w14:textId="77777777" w:rsidR="002D58E4" w:rsidRDefault="00F721D4">
            <w:pPr>
              <w:rPr>
                <w:sz w:val="20"/>
                <w:szCs w:val="20"/>
              </w:rPr>
            </w:pPr>
            <w:r>
              <w:rPr>
                <w:sz w:val="20"/>
                <w:szCs w:val="20"/>
              </w:rPr>
              <w:t>52%</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0C7D0BC" w14:textId="77777777" w:rsidR="002D58E4" w:rsidRDefault="00F721D4">
            <w:pPr>
              <w:rPr>
                <w:sz w:val="20"/>
                <w:szCs w:val="20"/>
              </w:rPr>
            </w:pPr>
            <w:r>
              <w:rPr>
                <w:sz w:val="20"/>
                <w:szCs w:val="20"/>
              </w:rPr>
              <w:t xml:space="preserve">During the first two nights of treatment, improvement of radicular pain occurred faster with added CS. No patient in either group experienced relapse or functional motor deficits in the 3-18 month follow up. </w:t>
            </w:r>
          </w:p>
          <w:p w14:paraId="4C9F8DF8" w14:textId="77777777" w:rsidR="002D58E4" w:rsidRDefault="002D58E4">
            <w:pPr>
              <w:rPr>
                <w:sz w:val="20"/>
                <w:szCs w:val="20"/>
              </w:rPr>
            </w:pPr>
          </w:p>
          <w:p w14:paraId="20163C7C" w14:textId="77777777" w:rsidR="002D58E4" w:rsidRDefault="00F721D4">
            <w:pPr>
              <w:rPr>
                <w:sz w:val="20"/>
                <w:szCs w:val="20"/>
              </w:rPr>
            </w:pPr>
            <w:r>
              <w:rPr>
                <w:sz w:val="20"/>
                <w:szCs w:val="20"/>
              </w:rPr>
              <w:t>The authors suggest that additional corticosteroids should be taken into consideration only in selected cases in which intense radicular pain does not respond to analgesics and non-steroidal anti-inflammatory drugs since radicular pain improves very quickly by therapy with penicillin alone.</w:t>
            </w:r>
          </w:p>
        </w:tc>
      </w:tr>
      <w:tr w:rsidR="002D58E4" w14:paraId="4E40A80D" w14:textId="77777777">
        <w:trPr>
          <w:gridAfter w:val="1"/>
          <w:wAfter w:w="11" w:type="dxa"/>
          <w:trHeight w:val="320"/>
        </w:trPr>
        <w:tc>
          <w:tcPr>
            <w:tcW w:w="83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DF15C2E" w14:textId="77777777" w:rsidR="002D58E4" w:rsidRDefault="00F721D4">
            <w:pPr>
              <w:rPr>
                <w:sz w:val="20"/>
                <w:szCs w:val="20"/>
              </w:rPr>
            </w:pPr>
            <w:r>
              <w:rPr>
                <w:sz w:val="20"/>
                <w:szCs w:val="20"/>
              </w:rPr>
              <w:t>Hydén, 1993</w:t>
            </w:r>
          </w:p>
          <w:p w14:paraId="2F6A430E" w14:textId="77777777" w:rsidR="002D58E4" w:rsidRDefault="002D58E4">
            <w:pPr>
              <w:rPr>
                <w:sz w:val="20"/>
                <w:szCs w:val="20"/>
              </w:rPr>
            </w:pPr>
          </w:p>
          <w:p w14:paraId="1A9B2AC2" w14:textId="77777777" w:rsidR="002D58E4" w:rsidRDefault="00F721D4">
            <w:pPr>
              <w:rPr>
                <w:sz w:val="20"/>
                <w:szCs w:val="20"/>
              </w:rPr>
            </w:pPr>
            <w:r>
              <w:rPr>
                <w:sz w:val="20"/>
                <w:szCs w:val="20"/>
              </w:rPr>
              <w:t>Sweden</w:t>
            </w:r>
          </w:p>
        </w:tc>
        <w:tc>
          <w:tcPr>
            <w:tcW w:w="1003" w:type="dxa"/>
            <w:tcBorders>
              <w:top w:val="single" w:sz="6" w:space="0" w:color="AEAEAE"/>
              <w:left w:val="single" w:sz="6" w:space="0" w:color="AEAEAE"/>
              <w:bottom w:val="single" w:sz="6" w:space="0" w:color="AEAEAE"/>
              <w:right w:val="single" w:sz="6" w:space="0" w:color="AEAEAE"/>
            </w:tcBorders>
            <w:vAlign w:val="center"/>
          </w:tcPr>
          <w:p w14:paraId="4DC41092" w14:textId="77777777" w:rsidR="002D58E4" w:rsidRDefault="00F721D4">
            <w:pPr>
              <w:rPr>
                <w:sz w:val="20"/>
                <w:szCs w:val="20"/>
              </w:rPr>
            </w:pPr>
            <w:r>
              <w:rPr>
                <w:sz w:val="20"/>
                <w:szCs w:val="20"/>
              </w:rPr>
              <w:t>Prospective cohort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75BC7E70" w14:textId="77777777" w:rsidR="002D58E4" w:rsidRDefault="00F721D4">
            <w:pPr>
              <w:jc w:val="center"/>
              <w:rPr>
                <w:sz w:val="20"/>
                <w:szCs w:val="20"/>
              </w:rPr>
            </w:pPr>
            <w:r>
              <w:rPr>
                <w:sz w:val="20"/>
                <w:szCs w:val="20"/>
              </w:rPr>
              <w:t>6</w:t>
            </w:r>
          </w:p>
        </w:tc>
        <w:tc>
          <w:tcPr>
            <w:tcW w:w="4100" w:type="dxa"/>
            <w:tcBorders>
              <w:top w:val="single" w:sz="6" w:space="0" w:color="AEAEAE"/>
              <w:left w:val="single" w:sz="6" w:space="0" w:color="AEAEAE"/>
              <w:bottom w:val="single" w:sz="6" w:space="0" w:color="AEAEAE"/>
              <w:right w:val="single" w:sz="6" w:space="0" w:color="AEAEAE"/>
            </w:tcBorders>
            <w:vAlign w:val="center"/>
          </w:tcPr>
          <w:p w14:paraId="5B4B80E0" w14:textId="77777777" w:rsidR="002D58E4" w:rsidRDefault="00F721D4">
            <w:pPr>
              <w:rPr>
                <w:sz w:val="20"/>
                <w:szCs w:val="20"/>
              </w:rPr>
            </w:pPr>
            <w:r>
              <w:rPr>
                <w:sz w:val="20"/>
                <w:szCs w:val="20"/>
              </w:rPr>
              <w:t xml:space="preserve">142 Patients with acute peripheral facial palsy of primarily unknown origin within one week of onset. </w:t>
            </w:r>
          </w:p>
          <w:p w14:paraId="7A9C0AAE" w14:textId="77777777" w:rsidR="002D58E4" w:rsidRDefault="002D58E4">
            <w:pPr>
              <w:rPr>
                <w:sz w:val="20"/>
                <w:szCs w:val="20"/>
              </w:rPr>
            </w:pPr>
          </w:p>
          <w:p w14:paraId="4F52B856" w14:textId="77777777" w:rsidR="002D58E4" w:rsidRDefault="00F721D4">
            <w:pPr>
              <w:rPr>
                <w:sz w:val="20"/>
                <w:szCs w:val="20"/>
              </w:rPr>
            </w:pPr>
            <w:r>
              <w:rPr>
                <w:sz w:val="20"/>
                <w:szCs w:val="20"/>
              </w:rPr>
              <w:t>Only 11 of 16 patients with suspected Borreliosis were diagnosed with Borreliosis due to elevated titers by ELISA.</w:t>
            </w:r>
          </w:p>
        </w:tc>
        <w:tc>
          <w:tcPr>
            <w:tcW w:w="2551"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3769049" w14:textId="77777777" w:rsidR="002D58E4" w:rsidRDefault="00F721D4">
            <w:pPr>
              <w:rPr>
                <w:sz w:val="20"/>
                <w:szCs w:val="20"/>
              </w:rPr>
            </w:pPr>
            <w:r>
              <w:rPr>
                <w:sz w:val="20"/>
                <w:szCs w:val="20"/>
              </w:rPr>
              <w:t xml:space="preserve">Patients with confirmed </w:t>
            </w:r>
            <w:r>
              <w:rPr>
                <w:i/>
                <w:sz w:val="20"/>
                <w:szCs w:val="20"/>
              </w:rPr>
              <w:t>Borrelia</w:t>
            </w:r>
            <w:r>
              <w:rPr>
                <w:sz w:val="20"/>
                <w:szCs w:val="20"/>
              </w:rPr>
              <w:t xml:space="preserve"> diagnosis received 10 days of IV Penicillin (patients allergic to Penicillin received Cefuroxime), with or without cortisone. </w:t>
            </w:r>
          </w:p>
        </w:tc>
        <w:tc>
          <w:tcPr>
            <w:tcW w:w="155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68A2093" w14:textId="77777777" w:rsidR="002D58E4" w:rsidRDefault="00F721D4">
            <w:pPr>
              <w:rPr>
                <w:sz w:val="20"/>
                <w:szCs w:val="20"/>
              </w:rPr>
            </w:pPr>
            <w:r>
              <w:rPr>
                <w:sz w:val="20"/>
                <w:szCs w:val="20"/>
              </w:rPr>
              <w:t xml:space="preserve">44% (63/142) of total sample </w:t>
            </w:r>
          </w:p>
          <w:p w14:paraId="5C10A25C" w14:textId="77777777" w:rsidR="002D58E4" w:rsidRDefault="002D58E4">
            <w:pPr>
              <w:rPr>
                <w:sz w:val="20"/>
                <w:szCs w:val="20"/>
              </w:rPr>
            </w:pPr>
          </w:p>
          <w:p w14:paraId="0531800A" w14:textId="77777777" w:rsidR="002D58E4" w:rsidRDefault="00F721D4">
            <w:pPr>
              <w:rPr>
                <w:sz w:val="20"/>
                <w:szCs w:val="20"/>
              </w:rPr>
            </w:pPr>
            <w:r>
              <w:rPr>
                <w:sz w:val="20"/>
                <w:szCs w:val="20"/>
              </w:rPr>
              <w:t>55% (6/11) of patients classified with “</w:t>
            </w:r>
            <w:r>
              <w:rPr>
                <w:i/>
                <w:sz w:val="20"/>
                <w:szCs w:val="20"/>
              </w:rPr>
              <w:t>Borrelia</w:t>
            </w:r>
            <w:r>
              <w:rPr>
                <w:sz w:val="20"/>
                <w:szCs w:val="20"/>
              </w:rPr>
              <w:t xml:space="preserve"> palsies”</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709A03A" w14:textId="77777777" w:rsidR="002D58E4" w:rsidRDefault="00F721D4">
            <w:pPr>
              <w:rPr>
                <w:sz w:val="20"/>
                <w:szCs w:val="20"/>
              </w:rPr>
            </w:pPr>
            <w:r>
              <w:rPr>
                <w:sz w:val="20"/>
                <w:szCs w:val="20"/>
              </w:rPr>
              <w:t xml:space="preserve">Patients in the </w:t>
            </w:r>
            <w:r>
              <w:rPr>
                <w:i/>
                <w:sz w:val="20"/>
                <w:szCs w:val="20"/>
              </w:rPr>
              <w:t>Borrelia</w:t>
            </w:r>
            <w:r>
              <w:rPr>
                <w:sz w:val="20"/>
                <w:szCs w:val="20"/>
              </w:rPr>
              <w:t xml:space="preserve"> group typically experienced better healing and shorter healing time with corticosteroid treatment, but the effect was not statistically significant.</w:t>
            </w:r>
          </w:p>
          <w:p w14:paraId="2754AB70" w14:textId="77777777" w:rsidR="002D58E4" w:rsidRDefault="002D58E4">
            <w:pPr>
              <w:rPr>
                <w:sz w:val="20"/>
                <w:szCs w:val="20"/>
              </w:rPr>
            </w:pPr>
          </w:p>
          <w:p w14:paraId="76419D68" w14:textId="77777777" w:rsidR="002D58E4" w:rsidRDefault="00F721D4">
            <w:pPr>
              <w:rPr>
                <w:sz w:val="20"/>
                <w:szCs w:val="20"/>
              </w:rPr>
            </w:pPr>
            <w:r>
              <w:rPr>
                <w:sz w:val="20"/>
                <w:szCs w:val="20"/>
              </w:rPr>
              <w:t>Patients receiving cortisone healed in a mean of 3.3 months, whereas patients not receiving the steroid healed in a mean of 6.4 months.</w:t>
            </w:r>
          </w:p>
        </w:tc>
      </w:tr>
      <w:tr w:rsidR="002D58E4" w14:paraId="3F20A405" w14:textId="77777777">
        <w:trPr>
          <w:gridAfter w:val="1"/>
          <w:wAfter w:w="11" w:type="dxa"/>
          <w:trHeight w:val="320"/>
        </w:trPr>
        <w:tc>
          <w:tcPr>
            <w:tcW w:w="83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17BCB93" w14:textId="77777777" w:rsidR="002D58E4" w:rsidRDefault="00F721D4">
            <w:pPr>
              <w:rPr>
                <w:sz w:val="20"/>
                <w:szCs w:val="20"/>
              </w:rPr>
            </w:pPr>
            <w:r>
              <w:rPr>
                <w:sz w:val="20"/>
                <w:szCs w:val="20"/>
              </w:rPr>
              <w:t>Jowett, 2016</w:t>
            </w:r>
          </w:p>
          <w:p w14:paraId="253D7981" w14:textId="77777777" w:rsidR="002D58E4" w:rsidRDefault="002D58E4">
            <w:pPr>
              <w:rPr>
                <w:sz w:val="20"/>
                <w:szCs w:val="20"/>
              </w:rPr>
            </w:pPr>
          </w:p>
          <w:p w14:paraId="426B1F0F" w14:textId="77777777" w:rsidR="002D58E4" w:rsidRDefault="00F721D4">
            <w:pPr>
              <w:rPr>
                <w:sz w:val="20"/>
                <w:szCs w:val="20"/>
              </w:rPr>
            </w:pPr>
            <w:r>
              <w:rPr>
                <w:sz w:val="20"/>
                <w:szCs w:val="20"/>
              </w:rPr>
              <w:t>Boston, MA</w:t>
            </w:r>
          </w:p>
        </w:tc>
        <w:tc>
          <w:tcPr>
            <w:tcW w:w="1003" w:type="dxa"/>
            <w:tcBorders>
              <w:top w:val="single" w:sz="6" w:space="0" w:color="AEAEAE"/>
              <w:left w:val="single" w:sz="6" w:space="0" w:color="AEAEAE"/>
              <w:bottom w:val="single" w:sz="6" w:space="0" w:color="AEAEAE"/>
              <w:right w:val="single" w:sz="6" w:space="0" w:color="AEAEAE"/>
            </w:tcBorders>
            <w:vAlign w:val="center"/>
          </w:tcPr>
          <w:p w14:paraId="22934A15" w14:textId="77777777" w:rsidR="002D58E4" w:rsidRDefault="00F721D4">
            <w:pPr>
              <w:rPr>
                <w:sz w:val="20"/>
                <w:szCs w:val="20"/>
              </w:rPr>
            </w:pPr>
            <w:r>
              <w:rPr>
                <w:sz w:val="20"/>
                <w:szCs w:val="20"/>
              </w:rPr>
              <w:t>Retrospective cohort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078DD3FC" w14:textId="77777777" w:rsidR="002D58E4" w:rsidRDefault="00F721D4">
            <w:pPr>
              <w:jc w:val="center"/>
              <w:rPr>
                <w:sz w:val="20"/>
                <w:szCs w:val="20"/>
              </w:rPr>
            </w:pPr>
            <w:r>
              <w:rPr>
                <w:sz w:val="20"/>
                <w:szCs w:val="20"/>
              </w:rPr>
              <w:t>6</w:t>
            </w:r>
          </w:p>
        </w:tc>
        <w:tc>
          <w:tcPr>
            <w:tcW w:w="4100" w:type="dxa"/>
            <w:tcBorders>
              <w:top w:val="single" w:sz="6" w:space="0" w:color="AEAEAE"/>
              <w:left w:val="single" w:sz="6" w:space="0" w:color="AEAEAE"/>
              <w:bottom w:val="single" w:sz="6" w:space="0" w:color="AEAEAE"/>
              <w:right w:val="single" w:sz="6" w:space="0" w:color="AEAEAE"/>
            </w:tcBorders>
            <w:vAlign w:val="center"/>
          </w:tcPr>
          <w:p w14:paraId="670A218B" w14:textId="77777777" w:rsidR="002D58E4" w:rsidRDefault="00F721D4">
            <w:pPr>
              <w:rPr>
                <w:sz w:val="20"/>
                <w:szCs w:val="20"/>
              </w:rPr>
            </w:pPr>
            <w:r>
              <w:rPr>
                <w:sz w:val="20"/>
                <w:szCs w:val="20"/>
              </w:rPr>
              <w:t xml:space="preserve">51 patients (mean age 39.6, range 6-72) with facial palsy associated with Lyme disease. </w:t>
            </w:r>
          </w:p>
          <w:p w14:paraId="0AB5B7C7" w14:textId="77777777" w:rsidR="002D58E4" w:rsidRDefault="002D58E4">
            <w:pPr>
              <w:rPr>
                <w:sz w:val="20"/>
                <w:szCs w:val="20"/>
              </w:rPr>
            </w:pPr>
          </w:p>
          <w:p w14:paraId="7857FE71" w14:textId="77777777" w:rsidR="002D58E4" w:rsidRDefault="00F721D4">
            <w:pPr>
              <w:rPr>
                <w:sz w:val="20"/>
                <w:szCs w:val="20"/>
              </w:rPr>
            </w:pPr>
            <w:r>
              <w:rPr>
                <w:sz w:val="20"/>
                <w:szCs w:val="20"/>
              </w:rPr>
              <w:t xml:space="preserve">The diagnostic criteria were facial palsy in addition to erythema migrans with known tick exposure, </w:t>
            </w:r>
            <w:r>
              <w:rPr>
                <w:sz w:val="20"/>
                <w:szCs w:val="20"/>
                <w:u w:val="single"/>
              </w:rPr>
              <w:t xml:space="preserve">or </w:t>
            </w:r>
            <w:r>
              <w:rPr>
                <w:sz w:val="20"/>
                <w:szCs w:val="20"/>
              </w:rPr>
              <w:t>facial palsy in addition to laboratory evidence of infection by CSF antibody titer or 2-tier serological testing.</w:t>
            </w:r>
          </w:p>
        </w:tc>
        <w:tc>
          <w:tcPr>
            <w:tcW w:w="2551"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2C93B3F" w14:textId="77777777" w:rsidR="002D58E4" w:rsidRDefault="00F721D4">
            <w:pPr>
              <w:rPr>
                <w:sz w:val="20"/>
                <w:szCs w:val="20"/>
              </w:rPr>
            </w:pPr>
            <w:r>
              <w:rPr>
                <w:sz w:val="20"/>
                <w:szCs w:val="20"/>
              </w:rPr>
              <w:t>18 patients received monotherapy with antibiotics.</w:t>
            </w:r>
          </w:p>
          <w:p w14:paraId="5CF2C603" w14:textId="77777777" w:rsidR="002D58E4" w:rsidRDefault="002D58E4">
            <w:pPr>
              <w:rPr>
                <w:sz w:val="20"/>
                <w:szCs w:val="20"/>
              </w:rPr>
            </w:pPr>
          </w:p>
          <w:p w14:paraId="68A35108" w14:textId="77777777" w:rsidR="002D58E4" w:rsidRDefault="00F721D4">
            <w:pPr>
              <w:rPr>
                <w:sz w:val="20"/>
                <w:szCs w:val="20"/>
              </w:rPr>
            </w:pPr>
            <w:r>
              <w:rPr>
                <w:sz w:val="20"/>
                <w:szCs w:val="20"/>
              </w:rPr>
              <w:t>17 patients received combination therapy with antibiotics and steroids.</w:t>
            </w:r>
          </w:p>
          <w:p w14:paraId="5C6887FB" w14:textId="77777777" w:rsidR="002D58E4" w:rsidRDefault="002D58E4">
            <w:pPr>
              <w:rPr>
                <w:sz w:val="20"/>
                <w:szCs w:val="20"/>
              </w:rPr>
            </w:pPr>
          </w:p>
          <w:p w14:paraId="31358D7D" w14:textId="77777777" w:rsidR="002D58E4" w:rsidRDefault="00F721D4">
            <w:pPr>
              <w:rPr>
                <w:sz w:val="20"/>
                <w:szCs w:val="20"/>
              </w:rPr>
            </w:pPr>
            <w:r>
              <w:rPr>
                <w:sz w:val="20"/>
                <w:szCs w:val="20"/>
              </w:rPr>
              <w:t xml:space="preserve">16 patients received triple therapy with antibiotics, steroids, and antivirals (acyclovir or valacyclovir). </w:t>
            </w:r>
          </w:p>
        </w:tc>
        <w:tc>
          <w:tcPr>
            <w:tcW w:w="155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E81BE10" w14:textId="77777777" w:rsidR="002D58E4" w:rsidRDefault="00F721D4">
            <w:pPr>
              <w:rPr>
                <w:sz w:val="20"/>
                <w:szCs w:val="20"/>
              </w:rPr>
            </w:pPr>
            <w:r>
              <w:rPr>
                <w:sz w:val="20"/>
                <w:szCs w:val="20"/>
              </w:rPr>
              <w:t xml:space="preserve">64.7% (33 of 51) patients were receiving corticosteroids in addition to antibiotic therapy. </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2655ADC" w14:textId="77777777" w:rsidR="002D58E4" w:rsidRDefault="00F721D4">
            <w:pPr>
              <w:rPr>
                <w:sz w:val="20"/>
                <w:szCs w:val="20"/>
              </w:rPr>
            </w:pPr>
            <w:r>
              <w:rPr>
                <w:sz w:val="20"/>
                <w:szCs w:val="20"/>
              </w:rPr>
              <w:t xml:space="preserve">The mean time of assessment following onset of facial palsy was 15.1 months (range 0.3-84 months). Significantly worse facial outcomes were seen among those who received double and triple therapy with steroids and antibiotics with/without antivirals, as compared to those who received mono-therapy with antibiotics alone. These effects were most pronounced among patients assessed ≥12 months following onset. </w:t>
            </w:r>
          </w:p>
          <w:p w14:paraId="055B64E5" w14:textId="77777777" w:rsidR="002D58E4" w:rsidRDefault="002D58E4">
            <w:pPr>
              <w:rPr>
                <w:sz w:val="20"/>
                <w:szCs w:val="20"/>
              </w:rPr>
            </w:pPr>
          </w:p>
          <w:p w14:paraId="1E3A56CC" w14:textId="77777777" w:rsidR="002D58E4" w:rsidRDefault="00F721D4">
            <w:pPr>
              <w:rPr>
                <w:sz w:val="20"/>
                <w:szCs w:val="20"/>
              </w:rPr>
            </w:pPr>
            <w:r>
              <w:rPr>
                <w:sz w:val="20"/>
                <w:szCs w:val="20"/>
              </w:rPr>
              <w:t xml:space="preserve">The authors warned that clinicians should be cautious when differentiating viral or idiopathic facial palsy from facial palsy associated with Lyme disease, since combination therapy regimens can result in worse long-term facial function outcome. </w:t>
            </w:r>
          </w:p>
        </w:tc>
      </w:tr>
      <w:tr w:rsidR="002D58E4" w14:paraId="02C6648A" w14:textId="77777777">
        <w:trPr>
          <w:gridAfter w:val="1"/>
          <w:wAfter w:w="11" w:type="dxa"/>
          <w:trHeight w:val="320"/>
        </w:trPr>
        <w:tc>
          <w:tcPr>
            <w:tcW w:w="83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2412F31" w14:textId="77777777" w:rsidR="002D58E4" w:rsidRDefault="00F721D4">
            <w:pPr>
              <w:rPr>
                <w:sz w:val="20"/>
                <w:szCs w:val="20"/>
              </w:rPr>
            </w:pPr>
            <w:r>
              <w:rPr>
                <w:sz w:val="20"/>
                <w:szCs w:val="20"/>
              </w:rPr>
              <w:t>Wormser, et al., 2018</w:t>
            </w:r>
          </w:p>
        </w:tc>
        <w:tc>
          <w:tcPr>
            <w:tcW w:w="1003" w:type="dxa"/>
            <w:tcBorders>
              <w:top w:val="single" w:sz="6" w:space="0" w:color="AEAEAE"/>
              <w:left w:val="single" w:sz="6" w:space="0" w:color="AEAEAE"/>
              <w:bottom w:val="single" w:sz="6" w:space="0" w:color="AEAEAE"/>
              <w:right w:val="single" w:sz="6" w:space="0" w:color="AEAEAE"/>
            </w:tcBorders>
            <w:vAlign w:val="center"/>
          </w:tcPr>
          <w:p w14:paraId="79BC4503" w14:textId="77777777" w:rsidR="002D58E4" w:rsidRDefault="00F721D4">
            <w:pPr>
              <w:rPr>
                <w:sz w:val="20"/>
                <w:szCs w:val="20"/>
              </w:rPr>
            </w:pPr>
            <w:r>
              <w:rPr>
                <w:sz w:val="20"/>
                <w:szCs w:val="20"/>
              </w:rPr>
              <w:t>Prospective cohort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46B0789A" w14:textId="77777777" w:rsidR="002D58E4" w:rsidRDefault="00F721D4">
            <w:pPr>
              <w:jc w:val="center"/>
              <w:rPr>
                <w:sz w:val="20"/>
                <w:szCs w:val="20"/>
              </w:rPr>
            </w:pPr>
            <w:r>
              <w:rPr>
                <w:sz w:val="20"/>
                <w:szCs w:val="20"/>
              </w:rPr>
              <w:t>5</w:t>
            </w:r>
          </w:p>
        </w:tc>
        <w:tc>
          <w:tcPr>
            <w:tcW w:w="4100" w:type="dxa"/>
            <w:tcBorders>
              <w:top w:val="single" w:sz="6" w:space="0" w:color="AEAEAE"/>
              <w:left w:val="single" w:sz="6" w:space="0" w:color="AEAEAE"/>
              <w:bottom w:val="single" w:sz="6" w:space="0" w:color="AEAEAE"/>
              <w:right w:val="single" w:sz="6" w:space="0" w:color="AEAEAE"/>
            </w:tcBorders>
            <w:vAlign w:val="center"/>
          </w:tcPr>
          <w:p w14:paraId="7B0F972A" w14:textId="0FC3DA45" w:rsidR="002D58E4" w:rsidRDefault="00F721D4">
            <w:pPr>
              <w:rPr>
                <w:sz w:val="20"/>
                <w:szCs w:val="20"/>
              </w:rPr>
            </w:pPr>
            <w:r>
              <w:rPr>
                <w:sz w:val="20"/>
                <w:szCs w:val="20"/>
              </w:rPr>
              <w:t>14 patients with facial palsy associated with Lyme disease were enrolled in a 12 month observational study.</w:t>
            </w:r>
          </w:p>
          <w:p w14:paraId="202723B1" w14:textId="77777777" w:rsidR="002D58E4" w:rsidRDefault="002D58E4">
            <w:pPr>
              <w:rPr>
                <w:sz w:val="20"/>
                <w:szCs w:val="20"/>
              </w:rPr>
            </w:pPr>
          </w:p>
          <w:p w14:paraId="1890F37A" w14:textId="77777777" w:rsidR="002D58E4" w:rsidRDefault="00F721D4">
            <w:pPr>
              <w:rPr>
                <w:sz w:val="20"/>
                <w:szCs w:val="20"/>
              </w:rPr>
            </w:pPr>
            <w:r>
              <w:rPr>
                <w:sz w:val="20"/>
                <w:szCs w:val="20"/>
              </w:rPr>
              <w:t xml:space="preserve">11 of these participants received corticosteroids (mean age 46.5, range 25-70). Among these 11, seven (63.6%) had right-sided facial palsy, three (27.3%) had left-sided facial palsy and one (9.1%) had bilateral facial palsy. None of the patients had been hospitalized. </w:t>
            </w:r>
          </w:p>
          <w:p w14:paraId="0BD94F50" w14:textId="77777777" w:rsidR="002D58E4" w:rsidRDefault="002D58E4">
            <w:pPr>
              <w:rPr>
                <w:sz w:val="20"/>
                <w:szCs w:val="20"/>
              </w:rPr>
            </w:pPr>
          </w:p>
          <w:p w14:paraId="2AC4682F" w14:textId="77777777" w:rsidR="002D58E4" w:rsidRDefault="00F721D4">
            <w:pPr>
              <w:rPr>
                <w:sz w:val="20"/>
                <w:szCs w:val="20"/>
              </w:rPr>
            </w:pPr>
            <w:r>
              <w:rPr>
                <w:sz w:val="20"/>
                <w:szCs w:val="20"/>
              </w:rPr>
              <w:t xml:space="preserve">100% of participants were seropositive for antibodies to </w:t>
            </w:r>
            <w:r>
              <w:rPr>
                <w:i/>
                <w:sz w:val="20"/>
                <w:szCs w:val="20"/>
              </w:rPr>
              <w:t>B. burgdorferi</w:t>
            </w:r>
            <w:r>
              <w:rPr>
                <w:sz w:val="20"/>
                <w:szCs w:val="20"/>
              </w:rPr>
              <w:t xml:space="preserve"> by 2-tier testing. </w:t>
            </w:r>
          </w:p>
        </w:tc>
        <w:tc>
          <w:tcPr>
            <w:tcW w:w="2551"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BDDAEC9" w14:textId="77777777" w:rsidR="002D58E4" w:rsidRDefault="00F721D4">
            <w:pPr>
              <w:rPr>
                <w:sz w:val="20"/>
                <w:szCs w:val="20"/>
              </w:rPr>
            </w:pPr>
            <w:r>
              <w:rPr>
                <w:sz w:val="20"/>
                <w:szCs w:val="20"/>
              </w:rPr>
              <w:t xml:space="preserve">In addition to corticosteroids, all 11 participants received a 14–28-day course of doxycycline. Two participants were also treated with an oral beta lactam antibiotic. </w:t>
            </w:r>
          </w:p>
        </w:tc>
        <w:tc>
          <w:tcPr>
            <w:tcW w:w="155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2873B73" w14:textId="77777777" w:rsidR="002D58E4" w:rsidRDefault="00F721D4">
            <w:pPr>
              <w:rPr>
                <w:sz w:val="20"/>
                <w:szCs w:val="20"/>
              </w:rPr>
            </w:pPr>
            <w:r>
              <w:rPr>
                <w:sz w:val="20"/>
                <w:szCs w:val="20"/>
              </w:rPr>
              <w:t>100%</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90069DD" w14:textId="77777777" w:rsidR="002D58E4" w:rsidRDefault="00F721D4">
            <w:pPr>
              <w:rPr>
                <w:sz w:val="20"/>
                <w:szCs w:val="20"/>
              </w:rPr>
            </w:pPr>
            <w:r>
              <w:rPr>
                <w:sz w:val="20"/>
                <w:szCs w:val="20"/>
              </w:rPr>
              <w:t>The 11 patients had been enrolled within</w:t>
            </w:r>
          </w:p>
          <w:p w14:paraId="4FEA413D" w14:textId="77777777" w:rsidR="002D58E4" w:rsidRDefault="00F721D4">
            <w:pPr>
              <w:rPr>
                <w:sz w:val="20"/>
                <w:szCs w:val="20"/>
              </w:rPr>
            </w:pPr>
            <w:r>
              <w:rPr>
                <w:sz w:val="20"/>
                <w:szCs w:val="20"/>
              </w:rPr>
              <w:t xml:space="preserve">24 days of onset of the facial palsy (median 14 days, range 2–24 days). Corticosteroids had been prescribed prior to initiation of antibiotic therapy in 2 (18.2%) patients, coincident with the initiation of antibiotic therapy in 5 (45.5%) patients, and following the initiation of antibiotic therapy in 4 (36.4%) patients. </w:t>
            </w:r>
          </w:p>
          <w:p w14:paraId="68D5A7F6" w14:textId="77777777" w:rsidR="002D58E4" w:rsidRDefault="002D58E4">
            <w:pPr>
              <w:rPr>
                <w:sz w:val="20"/>
                <w:szCs w:val="20"/>
              </w:rPr>
            </w:pPr>
          </w:p>
          <w:p w14:paraId="67996A4C" w14:textId="75EFE8D3" w:rsidR="002D58E4" w:rsidRDefault="00F721D4">
            <w:pPr>
              <w:rPr>
                <w:sz w:val="20"/>
                <w:szCs w:val="20"/>
              </w:rPr>
            </w:pPr>
            <w:r>
              <w:rPr>
                <w:sz w:val="20"/>
                <w:szCs w:val="20"/>
              </w:rPr>
              <w:t>Overall, 6 (54.5%, 95% C.I.: 28.0% to 78.7%) of the 11 had evidence of facial nerve dysfunction at the time of the last evaluation,</w:t>
            </w:r>
            <w:r w:rsidR="002305C5">
              <w:rPr>
                <w:sz w:val="20"/>
                <w:szCs w:val="20"/>
              </w:rPr>
              <w:t xml:space="preserve"> </w:t>
            </w:r>
            <w:r>
              <w:rPr>
                <w:sz w:val="20"/>
                <w:szCs w:val="20"/>
              </w:rPr>
              <w:t>which occurred at a mean of 13.1 months after the baseline visit (range 9.6 months to 19.6 months).</w:t>
            </w:r>
          </w:p>
          <w:p w14:paraId="038FCEF6" w14:textId="77777777" w:rsidR="002D58E4" w:rsidRDefault="002D58E4">
            <w:pPr>
              <w:rPr>
                <w:sz w:val="20"/>
                <w:szCs w:val="20"/>
              </w:rPr>
            </w:pPr>
          </w:p>
          <w:p w14:paraId="3F0375AE" w14:textId="77777777" w:rsidR="002D58E4" w:rsidRDefault="00F721D4">
            <w:pPr>
              <w:rPr>
                <w:sz w:val="20"/>
                <w:szCs w:val="20"/>
              </w:rPr>
            </w:pPr>
            <w:r>
              <w:rPr>
                <w:sz w:val="20"/>
                <w:szCs w:val="20"/>
              </w:rPr>
              <w:t xml:space="preserve">The authors conclude that though corticosteroids are commonly prescribed for facial palsy associated with Lyme disease, the use of corticosteroids is often associated with sequalae in these patients. </w:t>
            </w:r>
          </w:p>
        </w:tc>
      </w:tr>
    </w:tbl>
    <w:p w14:paraId="100BAAD2" w14:textId="77777777" w:rsidR="002D58E4" w:rsidRDefault="00F721D4">
      <w:pPr>
        <w:spacing w:after="0"/>
        <w:rPr>
          <w:b/>
          <w:sz w:val="28"/>
          <w:szCs w:val="28"/>
        </w:rPr>
      </w:pPr>
      <w:r>
        <w:rPr>
          <w:b/>
          <w:sz w:val="20"/>
          <w:szCs w:val="20"/>
        </w:rPr>
        <w:t>*</w:t>
      </w:r>
      <w:r>
        <w:rPr>
          <w:sz w:val="20"/>
          <w:szCs w:val="20"/>
        </w:rPr>
        <w:t xml:space="preserve"> Risk of Bias of Randomized Controlled Trial Data was assessed using the Cochrane Risk of Bias Tool and assigned an overall rating of “High risk” “Unclear Risk” or “Low Risk”. Risk of Bias of Observational Data was rated on a scale from 0 (worst) to 9 (best) using the Newcastle-Ottawa Quality Assessment Scale for Observational Studies.</w:t>
      </w:r>
    </w:p>
    <w:p w14:paraId="2AA505F8" w14:textId="77777777" w:rsidR="002D58E4" w:rsidRDefault="00F721D4">
      <w:bookmarkStart w:id="20" w:name="1ksv4uv" w:colFirst="0" w:colLast="0"/>
      <w:bookmarkEnd w:id="20"/>
      <w:r>
        <w:br w:type="page"/>
      </w:r>
    </w:p>
    <w:tbl>
      <w:tblPr>
        <w:tblStyle w:val="aff8"/>
        <w:tblW w:w="14459" w:type="dxa"/>
        <w:tblLayout w:type="fixed"/>
        <w:tblLook w:val="0600" w:firstRow="0" w:lastRow="0" w:firstColumn="0" w:lastColumn="0" w:noHBand="1" w:noVBand="1"/>
      </w:tblPr>
      <w:tblGrid>
        <w:gridCol w:w="1020"/>
        <w:gridCol w:w="900"/>
        <w:gridCol w:w="630"/>
        <w:gridCol w:w="3404"/>
        <w:gridCol w:w="3685"/>
        <w:gridCol w:w="2126"/>
        <w:gridCol w:w="2694"/>
      </w:tblGrid>
      <w:tr w:rsidR="002D58E4" w14:paraId="084F0257" w14:textId="77777777" w:rsidTr="00E343BA">
        <w:trPr>
          <w:trHeight w:val="500"/>
        </w:trPr>
        <w:tc>
          <w:tcPr>
            <w:tcW w:w="14459" w:type="dxa"/>
            <w:gridSpan w:val="7"/>
            <w:tcBorders>
              <w:bottom w:val="single" w:sz="6" w:space="0" w:color="AEAEAE"/>
            </w:tcBorders>
            <w:shd w:val="clear" w:color="auto" w:fill="auto"/>
            <w:tcMar>
              <w:top w:w="15" w:type="dxa"/>
              <w:left w:w="30" w:type="dxa"/>
              <w:bottom w:w="0" w:type="dxa"/>
              <w:right w:w="30" w:type="dxa"/>
            </w:tcMar>
          </w:tcPr>
          <w:p w14:paraId="17E2D71C" w14:textId="77777777" w:rsidR="002D58E4" w:rsidRDefault="00F721D4">
            <w:pPr>
              <w:rPr>
                <w:b/>
                <w:color w:val="000000"/>
                <w:sz w:val="32"/>
                <w:szCs w:val="32"/>
                <w:u w:val="single"/>
              </w:rPr>
            </w:pPr>
            <w:bookmarkStart w:id="21" w:name="44sinio" w:colFirst="0" w:colLast="0"/>
            <w:bookmarkEnd w:id="21"/>
            <w:r>
              <w:rPr>
                <w:b/>
                <w:color w:val="000000"/>
                <w:sz w:val="32"/>
                <w:szCs w:val="32"/>
                <w:u w:val="single"/>
              </w:rPr>
              <w:t>Lyme carditis</w:t>
            </w:r>
          </w:p>
          <w:p w14:paraId="746302BE" w14:textId="77777777" w:rsidR="002D58E4" w:rsidRDefault="002D58E4">
            <w:pPr>
              <w:jc w:val="center"/>
              <w:rPr>
                <w:b/>
                <w:sz w:val="32"/>
                <w:szCs w:val="32"/>
              </w:rPr>
            </w:pPr>
          </w:p>
          <w:p w14:paraId="1898324D" w14:textId="4D2B2060" w:rsidR="002D58E4" w:rsidRDefault="00F721D4">
            <w:pPr>
              <w:rPr>
                <w:b/>
                <w:sz w:val="32"/>
                <w:szCs w:val="32"/>
              </w:rPr>
            </w:pPr>
            <w:r>
              <w:rPr>
                <w:b/>
                <w:sz w:val="32"/>
                <w:szCs w:val="32"/>
              </w:rPr>
              <w:t xml:space="preserve">XVI. Should all patients with early Lyme disease receive an electrocardiogram </w:t>
            </w:r>
            <w:r w:rsidR="008D091E">
              <w:rPr>
                <w:b/>
                <w:sz w:val="32"/>
                <w:szCs w:val="32"/>
              </w:rPr>
              <w:t xml:space="preserve">(ECG) </w:t>
            </w:r>
            <w:r>
              <w:rPr>
                <w:b/>
                <w:sz w:val="32"/>
                <w:szCs w:val="32"/>
              </w:rPr>
              <w:t>to screen for Lyme carditis?</w:t>
            </w:r>
          </w:p>
          <w:p w14:paraId="000E9DB5" w14:textId="77777777" w:rsidR="002305C5" w:rsidRDefault="002305C5">
            <w:pPr>
              <w:rPr>
                <w:b/>
                <w:sz w:val="32"/>
                <w:szCs w:val="32"/>
              </w:rPr>
            </w:pPr>
          </w:p>
          <w:p w14:paraId="29BD834B" w14:textId="77777777" w:rsidR="002D58E4" w:rsidRDefault="00F721D4" w:rsidP="00171735">
            <w:pPr>
              <w:rPr>
                <w:color w:val="000000"/>
                <w:sz w:val="18"/>
                <w:szCs w:val="18"/>
              </w:rPr>
            </w:pPr>
            <w:r>
              <w:rPr>
                <w:b/>
                <w:color w:val="000000"/>
                <w:sz w:val="18"/>
                <w:szCs w:val="18"/>
              </w:rPr>
              <w:t>Bibliography</w:t>
            </w:r>
            <w:r>
              <w:rPr>
                <w:color w:val="000000"/>
                <w:sz w:val="18"/>
                <w:szCs w:val="18"/>
              </w:rPr>
              <w:t xml:space="preserve">: 1. Woolf, et al. Pediatr Emerg Care. 1991 Dec;7(6):334-6; 2. </w:t>
            </w:r>
            <w:r w:rsidRPr="00C10663">
              <w:rPr>
                <w:color w:val="000000"/>
                <w:sz w:val="18"/>
                <w:szCs w:val="18"/>
              </w:rPr>
              <w:t xml:space="preserve">Rubin, et al. Pacing Clin Electrophysiol. 1992 Mar;15(3):252-5; 3. Völzke, et al. </w:t>
            </w:r>
            <w:r>
              <w:rPr>
                <w:color w:val="000000"/>
                <w:sz w:val="18"/>
                <w:szCs w:val="18"/>
              </w:rPr>
              <w:t>Heart. 2005 Feb;91(2):235-6; 4. Mravljak, et al. Wien Klin Wochenschr. 2006 Nov;118(21-22):691-5; 5. Costello, et al. Pediatrics. 2009 May;123(5):e835-41; 6. Welsh, et al. J Pediatric Infect Dis Soc. 2012 Dec;1(4):293-8.</w:t>
            </w:r>
          </w:p>
          <w:p w14:paraId="21CE7443" w14:textId="2218BAA8" w:rsidR="00171735" w:rsidRDefault="00171735" w:rsidP="00171735">
            <w:pPr>
              <w:rPr>
                <w:b/>
                <w:color w:val="000000"/>
                <w:sz w:val="20"/>
                <w:szCs w:val="20"/>
              </w:rPr>
            </w:pPr>
          </w:p>
        </w:tc>
      </w:tr>
      <w:tr w:rsidR="002D58E4" w14:paraId="7712560E" w14:textId="77777777" w:rsidTr="00E343BA">
        <w:trPr>
          <w:trHeight w:val="500"/>
        </w:trPr>
        <w:tc>
          <w:tcPr>
            <w:tcW w:w="102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5A196878" w14:textId="77777777" w:rsidR="002D58E4" w:rsidRDefault="00F721D4">
            <w:pPr>
              <w:jc w:val="center"/>
              <w:rPr>
                <w:sz w:val="20"/>
                <w:szCs w:val="20"/>
              </w:rPr>
            </w:pPr>
            <w:r>
              <w:rPr>
                <w:b/>
                <w:color w:val="000000"/>
                <w:sz w:val="20"/>
                <w:szCs w:val="20"/>
              </w:rPr>
              <w:t>Study and Location</w:t>
            </w:r>
          </w:p>
        </w:tc>
        <w:tc>
          <w:tcPr>
            <w:tcW w:w="900" w:type="dxa"/>
            <w:tcBorders>
              <w:top w:val="single" w:sz="6" w:space="0" w:color="AEAEAE"/>
              <w:left w:val="single" w:sz="6" w:space="0" w:color="AEAEAE"/>
              <w:bottom w:val="single" w:sz="6" w:space="0" w:color="AEAEAE"/>
              <w:right w:val="single" w:sz="6" w:space="0" w:color="AEAEAE"/>
            </w:tcBorders>
            <w:shd w:val="clear" w:color="auto" w:fill="D9D9D9"/>
          </w:tcPr>
          <w:p w14:paraId="1BC9AB86"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22C5E4AF" w14:textId="77777777" w:rsidR="002D58E4" w:rsidRDefault="00F721D4">
            <w:pPr>
              <w:jc w:val="center"/>
              <w:rPr>
                <w:b/>
                <w:color w:val="000000"/>
                <w:sz w:val="20"/>
                <w:szCs w:val="20"/>
              </w:rPr>
            </w:pPr>
            <w:r>
              <w:rPr>
                <w:b/>
                <w:color w:val="000000"/>
                <w:sz w:val="20"/>
                <w:szCs w:val="20"/>
              </w:rPr>
              <w:t>Risk of bias*</w:t>
            </w:r>
          </w:p>
        </w:tc>
        <w:tc>
          <w:tcPr>
            <w:tcW w:w="3404" w:type="dxa"/>
            <w:tcBorders>
              <w:top w:val="single" w:sz="6" w:space="0" w:color="AEAEAE"/>
              <w:left w:val="single" w:sz="6" w:space="0" w:color="AEAEAE"/>
              <w:bottom w:val="single" w:sz="6" w:space="0" w:color="AEAEAE"/>
              <w:right w:val="single" w:sz="6" w:space="0" w:color="AEAEAE"/>
            </w:tcBorders>
            <w:shd w:val="clear" w:color="auto" w:fill="D9D9D9"/>
          </w:tcPr>
          <w:p w14:paraId="1CE2DF79" w14:textId="77777777" w:rsidR="002D58E4" w:rsidRDefault="00F721D4">
            <w:pPr>
              <w:jc w:val="center"/>
              <w:rPr>
                <w:b/>
                <w:color w:val="000000"/>
                <w:sz w:val="20"/>
                <w:szCs w:val="20"/>
              </w:rPr>
            </w:pPr>
            <w:r>
              <w:rPr>
                <w:b/>
                <w:color w:val="000000"/>
                <w:sz w:val="20"/>
                <w:szCs w:val="20"/>
              </w:rPr>
              <w:t>Lyme Disease Diagnosis method; Early Lyme disease characteristics</w:t>
            </w:r>
          </w:p>
        </w:tc>
        <w:tc>
          <w:tcPr>
            <w:tcW w:w="3685"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46A3ECE3" w14:textId="77777777" w:rsidR="002D58E4" w:rsidRDefault="00F721D4">
            <w:pPr>
              <w:jc w:val="center"/>
              <w:rPr>
                <w:b/>
                <w:color w:val="000000"/>
                <w:sz w:val="20"/>
                <w:szCs w:val="20"/>
              </w:rPr>
            </w:pPr>
            <w:r>
              <w:rPr>
                <w:b/>
                <w:color w:val="000000"/>
                <w:sz w:val="20"/>
                <w:szCs w:val="20"/>
              </w:rPr>
              <w:t>Cardiac presentation description (if applicable)</w:t>
            </w:r>
          </w:p>
        </w:tc>
        <w:tc>
          <w:tcPr>
            <w:tcW w:w="2126" w:type="dxa"/>
            <w:tcBorders>
              <w:top w:val="single" w:sz="6" w:space="0" w:color="AEAEAE"/>
              <w:left w:val="single" w:sz="6" w:space="0" w:color="AEAEAE"/>
              <w:bottom w:val="single" w:sz="6" w:space="0" w:color="AEAEAE"/>
              <w:right w:val="single" w:sz="6" w:space="0" w:color="AEAEAE"/>
            </w:tcBorders>
            <w:shd w:val="clear" w:color="auto" w:fill="D9D9D9"/>
          </w:tcPr>
          <w:p w14:paraId="19C3A8B1" w14:textId="77777777" w:rsidR="002D58E4" w:rsidRDefault="00F721D4">
            <w:pPr>
              <w:jc w:val="center"/>
              <w:rPr>
                <w:sz w:val="20"/>
                <w:szCs w:val="20"/>
              </w:rPr>
            </w:pPr>
            <w:r>
              <w:rPr>
                <w:b/>
                <w:color w:val="000000"/>
                <w:sz w:val="20"/>
                <w:szCs w:val="20"/>
              </w:rPr>
              <w:t>% Lyme Patients with ECG abnormalities</w:t>
            </w:r>
          </w:p>
          <w:p w14:paraId="022B5B2E" w14:textId="77777777" w:rsidR="002D58E4" w:rsidRDefault="00F721D4">
            <w:pPr>
              <w:jc w:val="center"/>
              <w:rPr>
                <w:sz w:val="20"/>
                <w:szCs w:val="20"/>
              </w:rPr>
            </w:pPr>
            <w:r>
              <w:rPr>
                <w:b/>
                <w:color w:val="000000"/>
                <w:sz w:val="20"/>
                <w:szCs w:val="20"/>
              </w:rPr>
              <w:t>(N cases/N Lyme cases)</w:t>
            </w:r>
          </w:p>
        </w:tc>
        <w:tc>
          <w:tcPr>
            <w:tcW w:w="2693" w:type="dxa"/>
            <w:tcBorders>
              <w:top w:val="single" w:sz="6" w:space="0" w:color="AEAEAE"/>
              <w:left w:val="single" w:sz="6" w:space="0" w:color="AEAEAE"/>
              <w:bottom w:val="single" w:sz="6" w:space="0" w:color="AEAEAE"/>
              <w:right w:val="single" w:sz="6" w:space="0" w:color="AEAEAE"/>
            </w:tcBorders>
            <w:shd w:val="clear" w:color="auto" w:fill="D9D9D9"/>
          </w:tcPr>
          <w:p w14:paraId="5455B51F" w14:textId="77777777" w:rsidR="002D58E4" w:rsidRDefault="00F721D4">
            <w:pPr>
              <w:jc w:val="center"/>
              <w:rPr>
                <w:b/>
                <w:color w:val="000000"/>
                <w:sz w:val="20"/>
                <w:szCs w:val="20"/>
              </w:rPr>
            </w:pPr>
            <w:r>
              <w:rPr>
                <w:b/>
                <w:color w:val="000000"/>
                <w:sz w:val="20"/>
                <w:szCs w:val="20"/>
              </w:rPr>
              <w:t>Study conclusions</w:t>
            </w:r>
          </w:p>
        </w:tc>
      </w:tr>
      <w:tr w:rsidR="002D58E4" w14:paraId="585440DB" w14:textId="77777777" w:rsidTr="00E343BA">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57C483B" w14:textId="77777777" w:rsidR="002D58E4" w:rsidRPr="002914A2" w:rsidRDefault="00F721D4">
            <w:pPr>
              <w:rPr>
                <w:sz w:val="20"/>
                <w:szCs w:val="20"/>
                <w:lang w:val="fr-CA"/>
              </w:rPr>
            </w:pPr>
            <w:r w:rsidRPr="002914A2">
              <w:rPr>
                <w:sz w:val="20"/>
                <w:szCs w:val="20"/>
                <w:lang w:val="fr-CA"/>
              </w:rPr>
              <w:t>Woolf, et al.,1991</w:t>
            </w:r>
          </w:p>
          <w:p w14:paraId="5BEBBDB3" w14:textId="77777777" w:rsidR="002D58E4" w:rsidRPr="002914A2" w:rsidRDefault="002D58E4">
            <w:pPr>
              <w:rPr>
                <w:sz w:val="20"/>
                <w:szCs w:val="20"/>
                <w:lang w:val="fr-CA"/>
              </w:rPr>
            </w:pPr>
          </w:p>
          <w:p w14:paraId="7DD953B1" w14:textId="77777777" w:rsidR="002D58E4" w:rsidRPr="002914A2" w:rsidRDefault="00F721D4">
            <w:pPr>
              <w:rPr>
                <w:sz w:val="20"/>
                <w:szCs w:val="20"/>
                <w:lang w:val="fr-CA"/>
              </w:rPr>
            </w:pPr>
            <w:r w:rsidRPr="002914A2">
              <w:rPr>
                <w:sz w:val="20"/>
                <w:szCs w:val="20"/>
                <w:lang w:val="fr-CA"/>
              </w:rPr>
              <w:t>Valhalla, NY</w:t>
            </w:r>
          </w:p>
        </w:tc>
        <w:tc>
          <w:tcPr>
            <w:tcW w:w="900" w:type="dxa"/>
            <w:tcBorders>
              <w:top w:val="single" w:sz="6" w:space="0" w:color="AEAEAE"/>
              <w:left w:val="single" w:sz="6" w:space="0" w:color="AEAEAE"/>
              <w:bottom w:val="single" w:sz="6" w:space="0" w:color="AEAEAE"/>
              <w:right w:val="single" w:sz="6" w:space="0" w:color="AEAEAE"/>
            </w:tcBorders>
            <w:vAlign w:val="center"/>
          </w:tcPr>
          <w:p w14:paraId="156C9B13"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0285DF6E" w14:textId="77777777" w:rsidR="002D58E4" w:rsidRDefault="00F721D4">
            <w:pPr>
              <w:jc w:val="center"/>
              <w:rPr>
                <w:sz w:val="20"/>
                <w:szCs w:val="20"/>
              </w:rPr>
            </w:pPr>
            <w:r>
              <w:rPr>
                <w:sz w:val="20"/>
                <w:szCs w:val="20"/>
              </w:rPr>
              <w:t>6</w:t>
            </w:r>
          </w:p>
        </w:tc>
        <w:tc>
          <w:tcPr>
            <w:tcW w:w="3404" w:type="dxa"/>
            <w:tcBorders>
              <w:top w:val="single" w:sz="6" w:space="0" w:color="AEAEAE"/>
              <w:left w:val="single" w:sz="6" w:space="0" w:color="AEAEAE"/>
              <w:bottom w:val="single" w:sz="6" w:space="0" w:color="AEAEAE"/>
              <w:right w:val="single" w:sz="6" w:space="0" w:color="AEAEAE"/>
            </w:tcBorders>
            <w:vAlign w:val="center"/>
          </w:tcPr>
          <w:p w14:paraId="64D922ED" w14:textId="77777777" w:rsidR="002D58E4" w:rsidRDefault="00F721D4">
            <w:pPr>
              <w:spacing w:after="120"/>
              <w:rPr>
                <w:sz w:val="20"/>
                <w:szCs w:val="20"/>
              </w:rPr>
            </w:pPr>
            <w:r>
              <w:rPr>
                <w:sz w:val="20"/>
                <w:szCs w:val="20"/>
              </w:rPr>
              <w:t>32 randomly selected pediatric (mean age 7.7 years; range 1-17) patients were classified as having “definite” Lyme Disease (N=14), “probable” Lyme Disease (N=10), “possible” Lyme Disease (N=6), or “unlikely” Lyme Disease (N=2), based on historical, physical examination, and positive Lyme serology.</w:t>
            </w:r>
          </w:p>
          <w:p w14:paraId="791DBF21" w14:textId="77777777" w:rsidR="002D58E4" w:rsidRDefault="00F721D4">
            <w:pPr>
              <w:spacing w:after="120"/>
              <w:rPr>
                <w:sz w:val="20"/>
                <w:szCs w:val="20"/>
              </w:rPr>
            </w:pPr>
            <w:r>
              <w:rPr>
                <w:sz w:val="20"/>
                <w:szCs w:val="20"/>
              </w:rPr>
              <w:t>Clinical signs and symptoms were weighted according to importance in making the diagnosis (e.g., objective symptoms were weighted more heavily).</w:t>
            </w:r>
          </w:p>
          <w:p w14:paraId="053A4E73" w14:textId="77777777" w:rsidR="002D58E4" w:rsidRDefault="00F721D4">
            <w:pPr>
              <w:spacing w:after="120"/>
              <w:rPr>
                <w:sz w:val="20"/>
                <w:szCs w:val="20"/>
              </w:rPr>
            </w:pPr>
            <w:r>
              <w:rPr>
                <w:sz w:val="20"/>
                <w:szCs w:val="20"/>
              </w:rPr>
              <w:t>All patients were treated with antibiotics for Lyme disease.</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8E05630" w14:textId="77777777" w:rsidR="002D58E4" w:rsidRDefault="00F721D4">
            <w:pPr>
              <w:rPr>
                <w:sz w:val="20"/>
                <w:szCs w:val="20"/>
              </w:rPr>
            </w:pPr>
            <w:r>
              <w:rPr>
                <w:sz w:val="20"/>
                <w:szCs w:val="20"/>
              </w:rPr>
              <w:t xml:space="preserve">An electrocardiogram (ECG)was performed in 32 children with initial diagnosis of suspected Lyme Disease. </w:t>
            </w:r>
            <w:r>
              <w:t xml:space="preserve"> </w:t>
            </w:r>
            <w:r>
              <w:rPr>
                <w:sz w:val="20"/>
                <w:szCs w:val="20"/>
              </w:rPr>
              <w:t>No symptoms or signs of cardiac involvement were recorded in any patient at initial presentation.</w:t>
            </w:r>
          </w:p>
          <w:p w14:paraId="4157430F" w14:textId="77777777" w:rsidR="002D58E4" w:rsidRDefault="002D58E4">
            <w:pPr>
              <w:rPr>
                <w:sz w:val="20"/>
                <w:szCs w:val="20"/>
              </w:rPr>
            </w:pPr>
          </w:p>
          <w:p w14:paraId="4BB46533" w14:textId="77777777" w:rsidR="002D58E4" w:rsidRDefault="00F721D4">
            <w:pPr>
              <w:rPr>
                <w:sz w:val="20"/>
                <w:szCs w:val="20"/>
              </w:rPr>
            </w:pPr>
            <w:r>
              <w:rPr>
                <w:sz w:val="20"/>
                <w:szCs w:val="20"/>
              </w:rPr>
              <w:t>Patients with “definite” Lyme Disease presented with atrioventricular (AV) block (N=2), left axis deviation (N=1), and ventricular ectopy (N=1); patients with “probable” Lyme presented with ST-T wave abnormalities (N=1), prominent sinus arrhythmia, sinus bradycardia, and wandering atrial pacemaker (N=1), and ectopic atrial bradycardia (N=1).  No instances of complete heart block were detected. No patient required cardiac therapy.</w:t>
            </w:r>
            <w:r>
              <w:t xml:space="preserve"> </w:t>
            </w:r>
          </w:p>
        </w:tc>
        <w:tc>
          <w:tcPr>
            <w:tcW w:w="2126" w:type="dxa"/>
            <w:tcBorders>
              <w:top w:val="single" w:sz="6" w:space="0" w:color="AEAEAE"/>
              <w:left w:val="single" w:sz="6" w:space="0" w:color="AEAEAE"/>
              <w:bottom w:val="single" w:sz="6" w:space="0" w:color="AEAEAE"/>
              <w:right w:val="single" w:sz="6" w:space="0" w:color="AEAEAE"/>
            </w:tcBorders>
            <w:vAlign w:val="center"/>
          </w:tcPr>
          <w:p w14:paraId="629B2BB1" w14:textId="77777777" w:rsidR="002D58E4" w:rsidRDefault="00F721D4">
            <w:pPr>
              <w:rPr>
                <w:sz w:val="20"/>
                <w:szCs w:val="20"/>
              </w:rPr>
            </w:pPr>
            <w:r>
              <w:rPr>
                <w:sz w:val="20"/>
                <w:szCs w:val="20"/>
              </w:rPr>
              <w:t>4 of 14 (28.6%) patients with “definite” Lyme, 3 of 10 (30%) patients with “probable” Lyme, and none of the patients reporting “possible” or “unlikely” Lyme presented with abnormal ECG findings.</w:t>
            </w:r>
          </w:p>
          <w:p w14:paraId="75E82127" w14:textId="77777777" w:rsidR="002D58E4" w:rsidRDefault="002D58E4">
            <w:pPr>
              <w:rPr>
                <w:sz w:val="20"/>
                <w:szCs w:val="20"/>
              </w:rPr>
            </w:pPr>
          </w:p>
          <w:p w14:paraId="654CDF09" w14:textId="77777777" w:rsidR="002D58E4" w:rsidRDefault="00F721D4">
            <w:pPr>
              <w:rPr>
                <w:sz w:val="20"/>
                <w:szCs w:val="20"/>
              </w:rPr>
            </w:pPr>
            <w:r>
              <w:rPr>
                <w:sz w:val="20"/>
                <w:szCs w:val="20"/>
              </w:rPr>
              <w:t>The overall incidence of abnormal ECG findings was 21.9% (7 of 32) among patients with suspected Lyme Disease.</w:t>
            </w:r>
          </w:p>
        </w:tc>
        <w:tc>
          <w:tcPr>
            <w:tcW w:w="2693" w:type="dxa"/>
            <w:tcBorders>
              <w:top w:val="single" w:sz="6" w:space="0" w:color="AEAEAE"/>
              <w:left w:val="single" w:sz="6" w:space="0" w:color="AEAEAE"/>
              <w:bottom w:val="single" w:sz="6" w:space="0" w:color="AEAEAE"/>
              <w:right w:val="single" w:sz="6" w:space="0" w:color="AEAEAE"/>
            </w:tcBorders>
            <w:vAlign w:val="center"/>
          </w:tcPr>
          <w:p w14:paraId="51153E80" w14:textId="77777777" w:rsidR="002D58E4" w:rsidRDefault="00F721D4">
            <w:pPr>
              <w:rPr>
                <w:sz w:val="20"/>
                <w:szCs w:val="20"/>
              </w:rPr>
            </w:pPr>
            <w:r>
              <w:rPr>
                <w:sz w:val="20"/>
                <w:szCs w:val="20"/>
              </w:rPr>
              <w:t>Many children with Lyme disease without cardiac symptoms may demonstrate ECG abnormalities.</w:t>
            </w:r>
          </w:p>
          <w:p w14:paraId="370B935C" w14:textId="77777777" w:rsidR="002D58E4" w:rsidRDefault="002D58E4">
            <w:pPr>
              <w:rPr>
                <w:sz w:val="20"/>
                <w:szCs w:val="20"/>
              </w:rPr>
            </w:pPr>
          </w:p>
          <w:p w14:paraId="5221089D" w14:textId="77777777" w:rsidR="002D58E4" w:rsidRDefault="00F721D4">
            <w:pPr>
              <w:rPr>
                <w:sz w:val="20"/>
                <w:szCs w:val="20"/>
              </w:rPr>
            </w:pPr>
            <w:r>
              <w:rPr>
                <w:sz w:val="20"/>
                <w:szCs w:val="20"/>
              </w:rPr>
              <w:t xml:space="preserve">The authors note that atrioventricular block is the most frequently reported ECG finding in Lyme Disease patients. They suggest that in cases of suspected Lyme disease, ECG is a useful tool for testing the possibility of cardiac involvement. </w:t>
            </w:r>
          </w:p>
        </w:tc>
      </w:tr>
      <w:tr w:rsidR="002D58E4" w14:paraId="061332F9" w14:textId="77777777" w:rsidTr="00E343BA">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348F8E3" w14:textId="77777777" w:rsidR="002D58E4" w:rsidRDefault="00F721D4">
            <w:pPr>
              <w:rPr>
                <w:sz w:val="20"/>
                <w:szCs w:val="20"/>
              </w:rPr>
            </w:pPr>
            <w:r>
              <w:rPr>
                <w:sz w:val="20"/>
                <w:szCs w:val="20"/>
              </w:rPr>
              <w:t>Rubin, et al., 1992</w:t>
            </w:r>
          </w:p>
          <w:p w14:paraId="1180E273" w14:textId="77777777" w:rsidR="002D58E4" w:rsidRDefault="002D58E4">
            <w:pPr>
              <w:rPr>
                <w:sz w:val="20"/>
                <w:szCs w:val="20"/>
              </w:rPr>
            </w:pPr>
          </w:p>
          <w:p w14:paraId="187C2248" w14:textId="77777777" w:rsidR="002D58E4" w:rsidRDefault="00F721D4">
            <w:pPr>
              <w:rPr>
                <w:sz w:val="20"/>
                <w:szCs w:val="20"/>
              </w:rPr>
            </w:pPr>
            <w:r>
              <w:rPr>
                <w:sz w:val="20"/>
                <w:szCs w:val="20"/>
              </w:rPr>
              <w:t>Valhalla, New York</w:t>
            </w:r>
          </w:p>
        </w:tc>
        <w:tc>
          <w:tcPr>
            <w:tcW w:w="900" w:type="dxa"/>
            <w:tcBorders>
              <w:top w:val="single" w:sz="6" w:space="0" w:color="AEAEAE"/>
              <w:left w:val="single" w:sz="6" w:space="0" w:color="AEAEAE"/>
              <w:bottom w:val="single" w:sz="6" w:space="0" w:color="AEAEAE"/>
              <w:right w:val="single" w:sz="6" w:space="0" w:color="AEAEAE"/>
            </w:tcBorders>
            <w:vAlign w:val="center"/>
          </w:tcPr>
          <w:p w14:paraId="6D3BE916"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2E69F564" w14:textId="77777777" w:rsidR="002D58E4" w:rsidRDefault="00F721D4">
            <w:pPr>
              <w:jc w:val="center"/>
              <w:rPr>
                <w:sz w:val="20"/>
                <w:szCs w:val="20"/>
              </w:rPr>
            </w:pPr>
            <w:r>
              <w:rPr>
                <w:sz w:val="20"/>
                <w:szCs w:val="20"/>
              </w:rPr>
              <w:t>6</w:t>
            </w:r>
          </w:p>
        </w:tc>
        <w:tc>
          <w:tcPr>
            <w:tcW w:w="3404" w:type="dxa"/>
            <w:tcBorders>
              <w:top w:val="single" w:sz="6" w:space="0" w:color="AEAEAE"/>
              <w:left w:val="single" w:sz="6" w:space="0" w:color="AEAEAE"/>
              <w:bottom w:val="single" w:sz="6" w:space="0" w:color="AEAEAE"/>
              <w:right w:val="single" w:sz="6" w:space="0" w:color="AEAEAE"/>
            </w:tcBorders>
            <w:vAlign w:val="center"/>
          </w:tcPr>
          <w:p w14:paraId="31F7D5AB" w14:textId="77777777" w:rsidR="002D58E4" w:rsidRDefault="00F721D4">
            <w:pPr>
              <w:rPr>
                <w:sz w:val="20"/>
                <w:szCs w:val="20"/>
              </w:rPr>
            </w:pPr>
            <w:r>
              <w:rPr>
                <w:sz w:val="20"/>
                <w:szCs w:val="20"/>
              </w:rPr>
              <w:t>61 patients (mean age 48 years old) were diagnosed with early Lyme Disease based on the presence of erythema migrans and residence in a county endemic for Lyme disease. Mean duration of erythema migrans: 6.2 days; mean duration of symptoms: 11.1 days.</w:t>
            </w:r>
          </w:p>
          <w:p w14:paraId="0BCCE0E2" w14:textId="77777777" w:rsidR="002D58E4" w:rsidRDefault="002D58E4">
            <w:pPr>
              <w:rPr>
                <w:sz w:val="20"/>
                <w:szCs w:val="20"/>
              </w:rPr>
            </w:pPr>
          </w:p>
          <w:p w14:paraId="4DDBF6D2" w14:textId="77777777" w:rsidR="002D58E4" w:rsidRDefault="00F721D4">
            <w:pPr>
              <w:rPr>
                <w:sz w:val="20"/>
                <w:szCs w:val="20"/>
              </w:rPr>
            </w:pPr>
            <w:r>
              <w:rPr>
                <w:sz w:val="20"/>
                <w:szCs w:val="20"/>
              </w:rPr>
              <w:t xml:space="preserve">Antibiotic treatment with a 20 day course of either oral doxycycline (300 mg/day) or oral cefuroxime (1000 mg/day) was initiated at presentation. One patient with high degree heart block was hospitalized and received IV ceftriaxone. </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A98C363" w14:textId="77777777" w:rsidR="002D58E4" w:rsidRDefault="00F721D4">
            <w:pPr>
              <w:rPr>
                <w:sz w:val="20"/>
                <w:szCs w:val="20"/>
              </w:rPr>
            </w:pPr>
            <w:r>
              <w:rPr>
                <w:sz w:val="20"/>
                <w:szCs w:val="20"/>
              </w:rPr>
              <w:t xml:space="preserve">An electrocardiogram was performed in all patients at the time of presentation. </w:t>
            </w:r>
          </w:p>
          <w:p w14:paraId="218C726D" w14:textId="77777777" w:rsidR="002D58E4" w:rsidRDefault="002D58E4">
            <w:pPr>
              <w:rPr>
                <w:sz w:val="20"/>
                <w:szCs w:val="20"/>
              </w:rPr>
            </w:pPr>
          </w:p>
          <w:p w14:paraId="240E81B0" w14:textId="77777777" w:rsidR="002D58E4" w:rsidRDefault="00F721D4">
            <w:pPr>
              <w:rPr>
                <w:sz w:val="20"/>
                <w:szCs w:val="20"/>
              </w:rPr>
            </w:pPr>
            <w:r>
              <w:rPr>
                <w:sz w:val="20"/>
                <w:szCs w:val="20"/>
              </w:rPr>
              <w:t>One patient presented with atrioventricular (AV) block at presentation. He was lightheaded, had a pulse rate of 40, and had a complete heart block with a wide left bundle branch block pattern QRS escape rhythm on ECG, which was later shown to be at the level of the AV node. The patient did not respond to IV atropine, but all abnormalities resolved within 2 weeks of IV ceftriaxone treatment.</w:t>
            </w:r>
          </w:p>
          <w:p w14:paraId="5B91F85B" w14:textId="77777777" w:rsidR="002D58E4" w:rsidRDefault="002D58E4">
            <w:pPr>
              <w:rPr>
                <w:sz w:val="20"/>
                <w:szCs w:val="20"/>
              </w:rPr>
            </w:pPr>
          </w:p>
          <w:p w14:paraId="09F1967A" w14:textId="77777777" w:rsidR="002D58E4" w:rsidRDefault="00F721D4">
            <w:pPr>
              <w:rPr>
                <w:i/>
                <w:sz w:val="20"/>
                <w:szCs w:val="20"/>
              </w:rPr>
            </w:pPr>
            <w:r>
              <w:rPr>
                <w:i/>
                <w:sz w:val="20"/>
                <w:szCs w:val="20"/>
              </w:rPr>
              <w:t xml:space="preserve">Patients with known prior heart disease, preexisting abnormal ECG, or current antibiotic treatment were excluded from this study. </w:t>
            </w:r>
          </w:p>
        </w:tc>
        <w:tc>
          <w:tcPr>
            <w:tcW w:w="2126" w:type="dxa"/>
            <w:tcBorders>
              <w:top w:val="single" w:sz="6" w:space="0" w:color="AEAEAE"/>
              <w:left w:val="single" w:sz="6" w:space="0" w:color="AEAEAE"/>
              <w:bottom w:val="single" w:sz="6" w:space="0" w:color="AEAEAE"/>
              <w:right w:val="single" w:sz="6" w:space="0" w:color="AEAEAE"/>
            </w:tcBorders>
            <w:vAlign w:val="center"/>
          </w:tcPr>
          <w:p w14:paraId="14266A84" w14:textId="77777777" w:rsidR="002D58E4" w:rsidRDefault="00F721D4">
            <w:pPr>
              <w:rPr>
                <w:sz w:val="20"/>
                <w:szCs w:val="20"/>
              </w:rPr>
            </w:pPr>
            <w:r>
              <w:rPr>
                <w:sz w:val="20"/>
                <w:szCs w:val="20"/>
              </w:rPr>
              <w:t xml:space="preserve">1.6% (1 of 61) of early Lyme Disease patients presented with an ECG abnormality. </w:t>
            </w:r>
          </w:p>
        </w:tc>
        <w:tc>
          <w:tcPr>
            <w:tcW w:w="2693" w:type="dxa"/>
            <w:tcBorders>
              <w:top w:val="single" w:sz="6" w:space="0" w:color="AEAEAE"/>
              <w:left w:val="single" w:sz="6" w:space="0" w:color="AEAEAE"/>
              <w:bottom w:val="single" w:sz="6" w:space="0" w:color="AEAEAE"/>
              <w:right w:val="single" w:sz="6" w:space="0" w:color="AEAEAE"/>
            </w:tcBorders>
            <w:vAlign w:val="center"/>
          </w:tcPr>
          <w:p w14:paraId="20D0F32A" w14:textId="77777777" w:rsidR="002D58E4" w:rsidRDefault="00F721D4">
            <w:pPr>
              <w:rPr>
                <w:sz w:val="20"/>
                <w:szCs w:val="20"/>
              </w:rPr>
            </w:pPr>
            <w:r>
              <w:rPr>
                <w:sz w:val="20"/>
                <w:szCs w:val="20"/>
              </w:rPr>
              <w:t>None of the 54 treated patients without heart block at the initial presentation developed clinically overt carditis. The one patient who presented with AV block resolved with IV antibiotic treatment.</w:t>
            </w:r>
          </w:p>
          <w:p w14:paraId="0B0D685B" w14:textId="77777777" w:rsidR="002D58E4" w:rsidRDefault="002D58E4">
            <w:pPr>
              <w:rPr>
                <w:sz w:val="20"/>
                <w:szCs w:val="20"/>
              </w:rPr>
            </w:pPr>
          </w:p>
          <w:p w14:paraId="1C691339" w14:textId="77777777" w:rsidR="002D58E4" w:rsidRDefault="00F721D4">
            <w:pPr>
              <w:rPr>
                <w:sz w:val="20"/>
                <w:szCs w:val="20"/>
              </w:rPr>
            </w:pPr>
            <w:r>
              <w:rPr>
                <w:sz w:val="20"/>
                <w:szCs w:val="20"/>
              </w:rPr>
              <w:t>The authors conclude that heart block complicating early Lyme Disease is rare and reversible. They were unable to determine if early oral antibiotic treatment played a preventative role in further cardiac abnormalities.</w:t>
            </w:r>
          </w:p>
        </w:tc>
      </w:tr>
      <w:tr w:rsidR="002D58E4" w14:paraId="1CC89512" w14:textId="77777777" w:rsidTr="00E343BA">
        <w:trPr>
          <w:trHeight w:val="124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99735F4" w14:textId="77777777" w:rsidR="002D58E4" w:rsidRDefault="00F721D4">
            <w:pPr>
              <w:rPr>
                <w:sz w:val="20"/>
                <w:szCs w:val="20"/>
              </w:rPr>
            </w:pPr>
            <w:r>
              <w:rPr>
                <w:sz w:val="20"/>
                <w:szCs w:val="20"/>
              </w:rPr>
              <w:t>Völzke , et al., 2005</w:t>
            </w:r>
          </w:p>
          <w:p w14:paraId="28FD8DA9" w14:textId="77777777" w:rsidR="002D58E4" w:rsidRDefault="002D58E4">
            <w:pPr>
              <w:rPr>
                <w:sz w:val="20"/>
                <w:szCs w:val="20"/>
              </w:rPr>
            </w:pPr>
          </w:p>
          <w:p w14:paraId="223052D4" w14:textId="77777777" w:rsidR="002D58E4" w:rsidRDefault="00F721D4">
            <w:pPr>
              <w:rPr>
                <w:sz w:val="20"/>
                <w:szCs w:val="20"/>
              </w:rPr>
            </w:pPr>
            <w:r>
              <w:rPr>
                <w:sz w:val="20"/>
                <w:szCs w:val="20"/>
              </w:rPr>
              <w:t>Northeast Germany</w:t>
            </w:r>
          </w:p>
          <w:p w14:paraId="32E65EF7" w14:textId="77777777" w:rsidR="002D58E4" w:rsidRDefault="002D58E4">
            <w:pPr>
              <w:rPr>
                <w:sz w:val="20"/>
                <w:szCs w:val="20"/>
              </w:rPr>
            </w:pPr>
          </w:p>
          <w:p w14:paraId="4AD5FC4D" w14:textId="77777777" w:rsidR="002D58E4" w:rsidRDefault="002D58E4">
            <w:pPr>
              <w:rPr>
                <w:sz w:val="20"/>
                <w:szCs w:val="20"/>
              </w:rPr>
            </w:pPr>
          </w:p>
        </w:tc>
        <w:tc>
          <w:tcPr>
            <w:tcW w:w="900" w:type="dxa"/>
            <w:tcBorders>
              <w:top w:val="single" w:sz="6" w:space="0" w:color="AEAEAE"/>
              <w:left w:val="single" w:sz="6" w:space="0" w:color="AEAEAE"/>
              <w:bottom w:val="single" w:sz="6" w:space="0" w:color="AEAEAE"/>
              <w:right w:val="single" w:sz="6" w:space="0" w:color="AEAEAE"/>
            </w:tcBorders>
            <w:vAlign w:val="center"/>
          </w:tcPr>
          <w:p w14:paraId="0E3CF642"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3C0051D" w14:textId="77777777" w:rsidR="002D58E4" w:rsidRDefault="00F721D4">
            <w:pPr>
              <w:jc w:val="center"/>
              <w:rPr>
                <w:sz w:val="20"/>
                <w:szCs w:val="20"/>
              </w:rPr>
            </w:pPr>
            <w:r>
              <w:rPr>
                <w:sz w:val="20"/>
                <w:szCs w:val="20"/>
              </w:rPr>
              <w:t>7</w:t>
            </w:r>
          </w:p>
        </w:tc>
        <w:tc>
          <w:tcPr>
            <w:tcW w:w="3404" w:type="dxa"/>
            <w:tcBorders>
              <w:top w:val="single" w:sz="6" w:space="0" w:color="AEAEAE"/>
              <w:left w:val="single" w:sz="6" w:space="0" w:color="AEAEAE"/>
              <w:bottom w:val="single" w:sz="6" w:space="0" w:color="AEAEAE"/>
              <w:right w:val="single" w:sz="6" w:space="0" w:color="AEAEAE"/>
            </w:tcBorders>
            <w:vAlign w:val="center"/>
          </w:tcPr>
          <w:p w14:paraId="0890F9C9" w14:textId="77777777" w:rsidR="002D58E4" w:rsidRDefault="00F721D4">
            <w:pPr>
              <w:spacing w:after="120"/>
              <w:rPr>
                <w:sz w:val="20"/>
                <w:szCs w:val="20"/>
              </w:rPr>
            </w:pPr>
            <w:r>
              <w:rPr>
                <w:sz w:val="20"/>
                <w:szCs w:val="20"/>
              </w:rPr>
              <w:t xml:space="preserve">A random sample of 4,310 subjects aged 20–79 years was drawn from the population. </w:t>
            </w:r>
          </w:p>
          <w:p w14:paraId="3CCB5C1A" w14:textId="77777777" w:rsidR="002D58E4" w:rsidRDefault="00F721D4">
            <w:pPr>
              <w:spacing w:after="120"/>
              <w:rPr>
                <w:sz w:val="20"/>
                <w:szCs w:val="20"/>
              </w:rPr>
            </w:pPr>
            <w:r>
              <w:rPr>
                <w:sz w:val="20"/>
                <w:szCs w:val="20"/>
              </w:rPr>
              <w:t>Patients’ serum was assessed for anti-</w:t>
            </w:r>
            <w:r>
              <w:rPr>
                <w:i/>
                <w:sz w:val="20"/>
                <w:szCs w:val="20"/>
              </w:rPr>
              <w:t>Borrelia</w:t>
            </w:r>
            <w:r>
              <w:rPr>
                <w:sz w:val="20"/>
                <w:szCs w:val="20"/>
              </w:rPr>
              <w:t xml:space="preserve"> IgG antibodies by ELISA. Patients were classified as having absence of </w:t>
            </w:r>
            <w:r>
              <w:rPr>
                <w:i/>
                <w:sz w:val="20"/>
                <w:szCs w:val="20"/>
              </w:rPr>
              <w:t>Borrelia</w:t>
            </w:r>
            <w:r>
              <w:rPr>
                <w:sz w:val="20"/>
                <w:szCs w:val="20"/>
              </w:rPr>
              <w:t xml:space="preserve"> IgG, presence of elevated anti-</w:t>
            </w:r>
            <w:r>
              <w:rPr>
                <w:i/>
                <w:sz w:val="20"/>
                <w:szCs w:val="20"/>
              </w:rPr>
              <w:t>Borrelia</w:t>
            </w:r>
            <w:r>
              <w:rPr>
                <w:sz w:val="20"/>
                <w:szCs w:val="20"/>
              </w:rPr>
              <w:t xml:space="preserve"> IgG, or positive anti-</w:t>
            </w:r>
            <w:r>
              <w:rPr>
                <w:i/>
                <w:sz w:val="20"/>
                <w:szCs w:val="20"/>
              </w:rPr>
              <w:t>Borrelia</w:t>
            </w:r>
            <w:r>
              <w:rPr>
                <w:sz w:val="20"/>
                <w:szCs w:val="20"/>
              </w:rPr>
              <w:t xml:space="preserve"> IgG.</w:t>
            </w:r>
          </w:p>
          <w:p w14:paraId="6099213E" w14:textId="77777777" w:rsidR="002D58E4" w:rsidRDefault="00F721D4">
            <w:pPr>
              <w:spacing w:after="120"/>
              <w:rPr>
                <w:sz w:val="20"/>
                <w:szCs w:val="20"/>
              </w:rPr>
            </w:pPr>
            <w:r>
              <w:rPr>
                <w:sz w:val="20"/>
                <w:szCs w:val="20"/>
              </w:rPr>
              <w:t xml:space="preserve">4,272 individuals provided serology data. 3.1% (131 of 4,272) of participants tested positive.  </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D9D3285" w14:textId="77777777" w:rsidR="002D58E4" w:rsidRDefault="00F721D4">
            <w:pPr>
              <w:rPr>
                <w:sz w:val="20"/>
                <w:szCs w:val="20"/>
              </w:rPr>
            </w:pPr>
            <w:r>
              <w:rPr>
                <w:sz w:val="20"/>
                <w:szCs w:val="20"/>
              </w:rPr>
              <w:t>ECG data of 3,690 individuals were available. Echocardiography was performed in participants &gt; 45 years.</w:t>
            </w:r>
            <w:r>
              <w:t xml:space="preserve"> </w:t>
            </w:r>
            <w:r>
              <w:rPr>
                <w:sz w:val="20"/>
                <w:szCs w:val="20"/>
              </w:rPr>
              <w:t xml:space="preserve">P, PR, and QRS duration and data on definite left bundle branch block (LBBB), right bundle branch block (RBBB), incomplete RBBB, left anterior fascicular block (LAFB), and left posterior fascicular block (LPFB) were analyzed. </w:t>
            </w:r>
          </w:p>
        </w:tc>
        <w:tc>
          <w:tcPr>
            <w:tcW w:w="2126" w:type="dxa"/>
            <w:tcBorders>
              <w:top w:val="single" w:sz="6" w:space="0" w:color="AEAEAE"/>
              <w:left w:val="single" w:sz="6" w:space="0" w:color="AEAEAE"/>
              <w:bottom w:val="single" w:sz="6" w:space="0" w:color="AEAEAE"/>
              <w:right w:val="single" w:sz="6" w:space="0" w:color="AEAEAE"/>
            </w:tcBorders>
            <w:vAlign w:val="center"/>
          </w:tcPr>
          <w:p w14:paraId="42A800D7" w14:textId="77777777" w:rsidR="002D58E4" w:rsidRDefault="00F721D4">
            <w:pPr>
              <w:rPr>
                <w:sz w:val="20"/>
                <w:szCs w:val="20"/>
              </w:rPr>
            </w:pPr>
            <w:r>
              <w:rPr>
                <w:sz w:val="20"/>
                <w:szCs w:val="20"/>
              </w:rPr>
              <w:t>The authors found no significant differences between seropositive and seronegative individuals with regard to ECG characteristics. Anti-</w:t>
            </w:r>
            <w:r>
              <w:rPr>
                <w:i/>
                <w:sz w:val="20"/>
                <w:szCs w:val="20"/>
              </w:rPr>
              <w:t>Borrelia</w:t>
            </w:r>
            <w:r>
              <w:rPr>
                <w:sz w:val="20"/>
                <w:szCs w:val="20"/>
              </w:rPr>
              <w:t xml:space="preserve"> IgG was not associated with conduction abnormalities. </w:t>
            </w:r>
          </w:p>
          <w:p w14:paraId="423520EE" w14:textId="77777777" w:rsidR="002D58E4" w:rsidRDefault="002D58E4">
            <w:pPr>
              <w:rPr>
                <w:sz w:val="20"/>
                <w:szCs w:val="20"/>
              </w:rPr>
            </w:pPr>
          </w:p>
        </w:tc>
        <w:tc>
          <w:tcPr>
            <w:tcW w:w="2693" w:type="dxa"/>
            <w:tcBorders>
              <w:top w:val="single" w:sz="6" w:space="0" w:color="AEAEAE"/>
              <w:left w:val="single" w:sz="6" w:space="0" w:color="AEAEAE"/>
              <w:bottom w:val="single" w:sz="6" w:space="0" w:color="AEAEAE"/>
              <w:right w:val="single" w:sz="6" w:space="0" w:color="AEAEAE"/>
            </w:tcBorders>
            <w:vAlign w:val="center"/>
          </w:tcPr>
          <w:p w14:paraId="0B3D28B9" w14:textId="77777777" w:rsidR="002D58E4" w:rsidRDefault="00F721D4">
            <w:pPr>
              <w:rPr>
                <w:sz w:val="20"/>
                <w:szCs w:val="20"/>
              </w:rPr>
            </w:pPr>
            <w:r>
              <w:rPr>
                <w:sz w:val="20"/>
                <w:szCs w:val="20"/>
              </w:rPr>
              <w:t>There was no significant difference between seronegative patients and those with low, elevated, or positive antibody titer with respect to left ventricular parameters and cardiac valve disorders.</w:t>
            </w:r>
          </w:p>
          <w:p w14:paraId="44500804" w14:textId="77777777" w:rsidR="002D58E4" w:rsidRDefault="002D58E4">
            <w:pPr>
              <w:rPr>
                <w:sz w:val="20"/>
                <w:szCs w:val="20"/>
              </w:rPr>
            </w:pPr>
          </w:p>
          <w:p w14:paraId="4D504DE1" w14:textId="77777777" w:rsidR="002D58E4" w:rsidRDefault="00F721D4">
            <w:pPr>
              <w:rPr>
                <w:sz w:val="20"/>
                <w:szCs w:val="20"/>
              </w:rPr>
            </w:pPr>
            <w:r>
              <w:rPr>
                <w:sz w:val="20"/>
                <w:szCs w:val="20"/>
              </w:rPr>
              <w:t>The authors concluded that there was no association between seropositivity for anti-</w:t>
            </w:r>
            <w:r>
              <w:rPr>
                <w:i/>
                <w:sz w:val="20"/>
                <w:szCs w:val="20"/>
              </w:rPr>
              <w:t>Borrelia</w:t>
            </w:r>
            <w:r>
              <w:rPr>
                <w:sz w:val="20"/>
                <w:szCs w:val="20"/>
              </w:rPr>
              <w:t xml:space="preserve"> IgG and ECG changes or risk of cardiac disorder. </w:t>
            </w:r>
          </w:p>
        </w:tc>
      </w:tr>
      <w:tr w:rsidR="002D58E4" w14:paraId="0D5AA599" w14:textId="77777777" w:rsidTr="00E343BA">
        <w:trPr>
          <w:trHeight w:val="124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60B8F55" w14:textId="77777777" w:rsidR="002D58E4" w:rsidRPr="002914A2" w:rsidRDefault="00F721D4">
            <w:pPr>
              <w:rPr>
                <w:sz w:val="20"/>
                <w:szCs w:val="20"/>
                <w:lang w:val="fr-CA"/>
              </w:rPr>
            </w:pPr>
            <w:r w:rsidRPr="002914A2">
              <w:rPr>
                <w:sz w:val="20"/>
                <w:szCs w:val="20"/>
                <w:lang w:val="fr-CA"/>
              </w:rPr>
              <w:t xml:space="preserve">Mravljak, et al.,  2006 </w:t>
            </w:r>
          </w:p>
          <w:p w14:paraId="148687C6" w14:textId="77777777" w:rsidR="002D58E4" w:rsidRPr="002914A2" w:rsidRDefault="002D58E4">
            <w:pPr>
              <w:rPr>
                <w:sz w:val="20"/>
                <w:szCs w:val="20"/>
                <w:lang w:val="fr-CA"/>
              </w:rPr>
            </w:pPr>
          </w:p>
          <w:p w14:paraId="08136CE2" w14:textId="77777777" w:rsidR="002D58E4" w:rsidRPr="002914A2" w:rsidRDefault="00F721D4">
            <w:pPr>
              <w:rPr>
                <w:sz w:val="20"/>
                <w:szCs w:val="20"/>
                <w:lang w:val="fr-CA"/>
              </w:rPr>
            </w:pPr>
            <w:r w:rsidRPr="002914A2">
              <w:rPr>
                <w:sz w:val="20"/>
                <w:szCs w:val="20"/>
                <w:lang w:val="fr-CA"/>
              </w:rPr>
              <w:t>Ljubljana, Slovenia</w:t>
            </w:r>
          </w:p>
        </w:tc>
        <w:tc>
          <w:tcPr>
            <w:tcW w:w="900" w:type="dxa"/>
            <w:tcBorders>
              <w:top w:val="single" w:sz="6" w:space="0" w:color="AEAEAE"/>
              <w:left w:val="single" w:sz="6" w:space="0" w:color="AEAEAE"/>
              <w:bottom w:val="single" w:sz="6" w:space="0" w:color="AEAEAE"/>
              <w:right w:val="single" w:sz="6" w:space="0" w:color="AEAEAE"/>
            </w:tcBorders>
            <w:vAlign w:val="center"/>
          </w:tcPr>
          <w:p w14:paraId="6C44C52F"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254D86ED" w14:textId="77777777" w:rsidR="002D58E4" w:rsidRDefault="00F721D4">
            <w:pPr>
              <w:jc w:val="center"/>
              <w:rPr>
                <w:sz w:val="20"/>
                <w:szCs w:val="20"/>
              </w:rPr>
            </w:pPr>
            <w:r>
              <w:rPr>
                <w:sz w:val="20"/>
                <w:szCs w:val="20"/>
              </w:rPr>
              <w:t>7</w:t>
            </w:r>
          </w:p>
        </w:tc>
        <w:tc>
          <w:tcPr>
            <w:tcW w:w="3404" w:type="dxa"/>
            <w:tcBorders>
              <w:top w:val="single" w:sz="6" w:space="0" w:color="AEAEAE"/>
              <w:left w:val="single" w:sz="6" w:space="0" w:color="AEAEAE"/>
              <w:bottom w:val="single" w:sz="6" w:space="0" w:color="AEAEAE"/>
              <w:right w:val="single" w:sz="6" w:space="0" w:color="AEAEAE"/>
            </w:tcBorders>
            <w:vAlign w:val="center"/>
          </w:tcPr>
          <w:p w14:paraId="2A3DE679" w14:textId="4BC4DEC7" w:rsidR="002D58E4" w:rsidRDefault="00F721D4">
            <w:pPr>
              <w:spacing w:after="120"/>
              <w:rPr>
                <w:sz w:val="20"/>
                <w:szCs w:val="20"/>
              </w:rPr>
            </w:pPr>
            <w:r>
              <w:rPr>
                <w:sz w:val="20"/>
                <w:szCs w:val="20"/>
                <w:u w:val="single"/>
              </w:rPr>
              <w:t>Lyme Disease cases</w:t>
            </w:r>
            <w:r>
              <w:rPr>
                <w:sz w:val="20"/>
                <w:szCs w:val="20"/>
              </w:rPr>
              <w:t xml:space="preserve">: 147 children (≤15 years old) were diagnosed with typical erythema migrans (EM) and had positive serum antibody titer for </w:t>
            </w:r>
            <w:r>
              <w:rPr>
                <w:i/>
                <w:sz w:val="20"/>
                <w:szCs w:val="20"/>
              </w:rPr>
              <w:t xml:space="preserve">B. burgdorferi </w:t>
            </w:r>
            <w:r>
              <w:rPr>
                <w:sz w:val="20"/>
                <w:szCs w:val="20"/>
              </w:rPr>
              <w:t>by IFA. 53.7% of patients had multiple EM, and 21.8% of patients had associated systemic symptoms. Median duration of EM: 4 and 5 days in solitary EM and multiple EM, respectively.</w:t>
            </w:r>
          </w:p>
          <w:p w14:paraId="23BF8886" w14:textId="77777777" w:rsidR="002D58E4" w:rsidRDefault="00F721D4">
            <w:pPr>
              <w:spacing w:after="120"/>
              <w:rPr>
                <w:sz w:val="20"/>
                <w:szCs w:val="20"/>
              </w:rPr>
            </w:pPr>
            <w:r>
              <w:rPr>
                <w:sz w:val="20"/>
                <w:szCs w:val="20"/>
                <w:u w:val="single"/>
              </w:rPr>
              <w:t>Controls</w:t>
            </w:r>
            <w:r>
              <w:rPr>
                <w:sz w:val="20"/>
                <w:szCs w:val="20"/>
              </w:rPr>
              <w:t>: 148 age- and sex-matched healthy children</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5E54AFC" w14:textId="77777777" w:rsidR="002D58E4" w:rsidRDefault="00F721D4">
            <w:pPr>
              <w:rPr>
                <w:sz w:val="20"/>
                <w:szCs w:val="20"/>
                <w:u w:val="single"/>
              </w:rPr>
            </w:pPr>
            <w:r>
              <w:rPr>
                <w:sz w:val="20"/>
                <w:szCs w:val="20"/>
              </w:rPr>
              <w:t>ECG was performed at the initial examination and prior to the start of therapy</w:t>
            </w:r>
            <w:r>
              <w:rPr>
                <w:sz w:val="20"/>
                <w:szCs w:val="20"/>
                <w:u w:val="single"/>
              </w:rPr>
              <w:t xml:space="preserve"> </w:t>
            </w:r>
          </w:p>
          <w:p w14:paraId="487A51E7" w14:textId="77777777" w:rsidR="002D58E4" w:rsidRDefault="002D58E4">
            <w:pPr>
              <w:rPr>
                <w:sz w:val="20"/>
                <w:szCs w:val="20"/>
                <w:u w:val="single"/>
              </w:rPr>
            </w:pPr>
          </w:p>
          <w:p w14:paraId="17A4F924" w14:textId="77777777" w:rsidR="002D58E4" w:rsidRDefault="00F721D4">
            <w:pPr>
              <w:rPr>
                <w:sz w:val="20"/>
                <w:szCs w:val="20"/>
              </w:rPr>
            </w:pPr>
            <w:r>
              <w:rPr>
                <w:sz w:val="20"/>
                <w:szCs w:val="20"/>
              </w:rPr>
              <w:t>Early Lyme disease patients presented with 1</w:t>
            </w:r>
            <w:r>
              <w:rPr>
                <w:sz w:val="20"/>
                <w:szCs w:val="20"/>
                <w:vertAlign w:val="superscript"/>
              </w:rPr>
              <w:t>st</w:t>
            </w:r>
            <w:r>
              <w:rPr>
                <w:sz w:val="20"/>
                <w:szCs w:val="20"/>
              </w:rPr>
              <w:t xml:space="preserve"> degree atrioventricular (AV) block (N=1), right heart axis (N=1), left heart axis (N=4), pathologic Q wave in V</w:t>
            </w:r>
            <w:r>
              <w:rPr>
                <w:sz w:val="20"/>
                <w:szCs w:val="20"/>
                <w:vertAlign w:val="subscript"/>
              </w:rPr>
              <w:t>1</w:t>
            </w:r>
            <w:r>
              <w:rPr>
                <w:sz w:val="20"/>
                <w:szCs w:val="20"/>
              </w:rPr>
              <w:t xml:space="preserve"> (N=1) and prolonged QTc interval (N=1). None of the patients exhibited clinical signs or symptoms of heart involvement.</w:t>
            </w:r>
          </w:p>
          <w:p w14:paraId="2EF694F9" w14:textId="77777777" w:rsidR="002D58E4" w:rsidRDefault="002D58E4">
            <w:pPr>
              <w:rPr>
                <w:sz w:val="20"/>
                <w:szCs w:val="20"/>
              </w:rPr>
            </w:pPr>
          </w:p>
          <w:p w14:paraId="44BDE574" w14:textId="77777777" w:rsidR="002D58E4" w:rsidRDefault="00F721D4">
            <w:pPr>
              <w:rPr>
                <w:sz w:val="20"/>
                <w:szCs w:val="20"/>
              </w:rPr>
            </w:pPr>
            <w:r>
              <w:rPr>
                <w:sz w:val="20"/>
                <w:szCs w:val="20"/>
              </w:rPr>
              <w:t>Control patients presented with 1</w:t>
            </w:r>
            <w:r>
              <w:rPr>
                <w:sz w:val="20"/>
                <w:szCs w:val="20"/>
                <w:vertAlign w:val="superscript"/>
              </w:rPr>
              <w:t>st</w:t>
            </w:r>
            <w:r>
              <w:rPr>
                <w:sz w:val="20"/>
                <w:szCs w:val="20"/>
              </w:rPr>
              <w:t xml:space="preserve">  degree AV block (N=1), Mobitz II type 2</w:t>
            </w:r>
            <w:r>
              <w:rPr>
                <w:sz w:val="20"/>
                <w:szCs w:val="20"/>
                <w:vertAlign w:val="superscript"/>
              </w:rPr>
              <w:t>nd</w:t>
            </w:r>
            <w:r>
              <w:rPr>
                <w:sz w:val="20"/>
                <w:szCs w:val="20"/>
              </w:rPr>
              <w:t xml:space="preserve"> degree AV block (N=1), right bundle-branch block (N=3), right heart axis (N=1), right bundle-branch block with right atrial hypertrophy (N=1), left heart axis (N=6), left ventricular hypertrophy (N=1), left heart axis and left anterior hemi-block (N=1), Lown-Ganong-Lewin syndrome (N=2), prolonged QTc (N=2), and wide QRS (N=1).</w:t>
            </w:r>
          </w:p>
          <w:p w14:paraId="44187A8B" w14:textId="77777777" w:rsidR="002D58E4" w:rsidRDefault="002D58E4">
            <w:pPr>
              <w:rPr>
                <w:sz w:val="20"/>
                <w:szCs w:val="20"/>
                <w:u w:val="single"/>
              </w:rPr>
            </w:pPr>
          </w:p>
        </w:tc>
        <w:tc>
          <w:tcPr>
            <w:tcW w:w="2126" w:type="dxa"/>
            <w:tcBorders>
              <w:top w:val="single" w:sz="6" w:space="0" w:color="AEAEAE"/>
              <w:left w:val="single" w:sz="6" w:space="0" w:color="AEAEAE"/>
              <w:bottom w:val="single" w:sz="6" w:space="0" w:color="AEAEAE"/>
              <w:right w:val="single" w:sz="6" w:space="0" w:color="AEAEAE"/>
            </w:tcBorders>
            <w:vAlign w:val="center"/>
          </w:tcPr>
          <w:p w14:paraId="7A21F372" w14:textId="77777777" w:rsidR="002D58E4" w:rsidRDefault="00F721D4">
            <w:pPr>
              <w:rPr>
                <w:sz w:val="20"/>
                <w:szCs w:val="20"/>
              </w:rPr>
            </w:pPr>
            <w:r>
              <w:rPr>
                <w:sz w:val="20"/>
                <w:szCs w:val="20"/>
              </w:rPr>
              <w:t>The overall incidence of ECG abnormality in early Lyme patients was 5% (8 of 147). Only one patient (0.07%) presented with transitory atrioventricular block indicative of Lyme carditis, which resolved within two weeks of starting antibiotic treatment.</w:t>
            </w:r>
          </w:p>
          <w:p w14:paraId="03854B29" w14:textId="77777777" w:rsidR="002D58E4" w:rsidRDefault="002D58E4">
            <w:pPr>
              <w:rPr>
                <w:sz w:val="20"/>
                <w:szCs w:val="20"/>
              </w:rPr>
            </w:pPr>
          </w:p>
          <w:p w14:paraId="2BA1295B" w14:textId="77777777" w:rsidR="002D58E4" w:rsidRDefault="00F721D4">
            <w:pPr>
              <w:rPr>
                <w:sz w:val="20"/>
                <w:szCs w:val="20"/>
              </w:rPr>
            </w:pPr>
            <w:r>
              <w:rPr>
                <w:sz w:val="20"/>
                <w:szCs w:val="20"/>
              </w:rPr>
              <w:t xml:space="preserve">21% (31 of 148) of Control patients had ECG abnormalities. </w:t>
            </w:r>
          </w:p>
        </w:tc>
        <w:tc>
          <w:tcPr>
            <w:tcW w:w="2693" w:type="dxa"/>
            <w:tcBorders>
              <w:top w:val="single" w:sz="6" w:space="0" w:color="AEAEAE"/>
              <w:left w:val="single" w:sz="6" w:space="0" w:color="AEAEAE"/>
              <w:bottom w:val="single" w:sz="6" w:space="0" w:color="AEAEAE"/>
              <w:right w:val="single" w:sz="6" w:space="0" w:color="AEAEAE"/>
            </w:tcBorders>
            <w:vAlign w:val="center"/>
          </w:tcPr>
          <w:p w14:paraId="60BC4A25" w14:textId="77777777" w:rsidR="002D58E4" w:rsidRDefault="00F721D4">
            <w:pPr>
              <w:rPr>
                <w:sz w:val="20"/>
                <w:szCs w:val="20"/>
              </w:rPr>
            </w:pPr>
            <w:r>
              <w:rPr>
                <w:sz w:val="20"/>
                <w:szCs w:val="20"/>
              </w:rPr>
              <w:t xml:space="preserve">In early Lyme disease patients, there was no difference between patients with normal ECG versus abnormal ECG with regard to bloodstream invasion of </w:t>
            </w:r>
            <w:r>
              <w:rPr>
                <w:i/>
                <w:sz w:val="20"/>
                <w:szCs w:val="20"/>
              </w:rPr>
              <w:t>B.burgdorferi</w:t>
            </w:r>
            <w:r>
              <w:rPr>
                <w:sz w:val="20"/>
                <w:szCs w:val="20"/>
              </w:rPr>
              <w:t xml:space="preserve"> (p=0.2594) or presentation with associated systemic symptoms (p=0.6853). </w:t>
            </w:r>
          </w:p>
          <w:p w14:paraId="32754F39" w14:textId="77777777" w:rsidR="002D58E4" w:rsidRDefault="002D58E4">
            <w:pPr>
              <w:rPr>
                <w:sz w:val="20"/>
                <w:szCs w:val="20"/>
              </w:rPr>
            </w:pPr>
          </w:p>
          <w:p w14:paraId="596D191E" w14:textId="77777777" w:rsidR="002D58E4" w:rsidRDefault="00F721D4">
            <w:pPr>
              <w:rPr>
                <w:sz w:val="20"/>
                <w:szCs w:val="20"/>
              </w:rPr>
            </w:pPr>
            <w:r>
              <w:rPr>
                <w:sz w:val="20"/>
                <w:szCs w:val="20"/>
              </w:rPr>
              <w:t>ECG abnormalities were more frequently found in healthy children than in children with early Lyme disease (p=0.0303).</w:t>
            </w:r>
          </w:p>
          <w:p w14:paraId="496984D1" w14:textId="77777777" w:rsidR="002D58E4" w:rsidRDefault="002D58E4">
            <w:pPr>
              <w:rPr>
                <w:sz w:val="20"/>
                <w:szCs w:val="20"/>
              </w:rPr>
            </w:pPr>
          </w:p>
          <w:p w14:paraId="7019157F" w14:textId="77777777" w:rsidR="002D58E4" w:rsidRDefault="00F721D4">
            <w:pPr>
              <w:rPr>
                <w:sz w:val="20"/>
                <w:szCs w:val="20"/>
              </w:rPr>
            </w:pPr>
            <w:r>
              <w:rPr>
                <w:sz w:val="20"/>
                <w:szCs w:val="20"/>
              </w:rPr>
              <w:t xml:space="preserve">The authors concluded that ECG abnormalities in children with early Lyme Disease are mild, nonspecific, and rare. </w:t>
            </w:r>
          </w:p>
        </w:tc>
      </w:tr>
      <w:tr w:rsidR="002D58E4" w14:paraId="00F967B7" w14:textId="77777777" w:rsidTr="00E343BA">
        <w:trPr>
          <w:trHeight w:val="124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98F86D1" w14:textId="77777777" w:rsidR="002D58E4" w:rsidRPr="002914A2" w:rsidRDefault="00F721D4">
            <w:pPr>
              <w:rPr>
                <w:sz w:val="20"/>
                <w:szCs w:val="20"/>
                <w:lang w:val="fr-CA"/>
              </w:rPr>
            </w:pPr>
            <w:r w:rsidRPr="002914A2">
              <w:rPr>
                <w:sz w:val="20"/>
                <w:szCs w:val="20"/>
                <w:lang w:val="fr-CA"/>
              </w:rPr>
              <w:t>Costello, et al., 2009</w:t>
            </w:r>
          </w:p>
          <w:p w14:paraId="4233EE85" w14:textId="77777777" w:rsidR="002D58E4" w:rsidRPr="002914A2" w:rsidRDefault="002D58E4">
            <w:pPr>
              <w:rPr>
                <w:sz w:val="20"/>
                <w:szCs w:val="20"/>
                <w:lang w:val="fr-CA"/>
              </w:rPr>
            </w:pPr>
          </w:p>
          <w:p w14:paraId="5D52420D" w14:textId="77777777" w:rsidR="002D58E4" w:rsidRPr="002914A2" w:rsidRDefault="00F721D4">
            <w:pPr>
              <w:rPr>
                <w:sz w:val="20"/>
                <w:szCs w:val="20"/>
                <w:lang w:val="fr-CA"/>
              </w:rPr>
            </w:pPr>
            <w:r w:rsidRPr="002914A2">
              <w:rPr>
                <w:sz w:val="20"/>
                <w:szCs w:val="20"/>
                <w:lang w:val="fr-CA"/>
              </w:rPr>
              <w:t>Boston, MA</w:t>
            </w:r>
          </w:p>
        </w:tc>
        <w:tc>
          <w:tcPr>
            <w:tcW w:w="900" w:type="dxa"/>
            <w:tcBorders>
              <w:top w:val="single" w:sz="6" w:space="0" w:color="AEAEAE"/>
              <w:left w:val="single" w:sz="6" w:space="0" w:color="AEAEAE"/>
              <w:bottom w:val="single" w:sz="6" w:space="0" w:color="AEAEAE"/>
              <w:right w:val="single" w:sz="6" w:space="0" w:color="AEAEAE"/>
            </w:tcBorders>
            <w:vAlign w:val="center"/>
          </w:tcPr>
          <w:p w14:paraId="37BCCF7B" w14:textId="77777777" w:rsidR="002D58E4" w:rsidRDefault="00F721D4">
            <w:pPr>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1706498" w14:textId="77777777" w:rsidR="002D58E4" w:rsidRDefault="00F721D4">
            <w:pPr>
              <w:jc w:val="center"/>
              <w:rPr>
                <w:sz w:val="20"/>
                <w:szCs w:val="20"/>
              </w:rPr>
            </w:pPr>
            <w:r>
              <w:rPr>
                <w:sz w:val="20"/>
                <w:szCs w:val="20"/>
              </w:rPr>
              <w:t>7</w:t>
            </w:r>
          </w:p>
        </w:tc>
        <w:tc>
          <w:tcPr>
            <w:tcW w:w="3404" w:type="dxa"/>
            <w:tcBorders>
              <w:top w:val="single" w:sz="6" w:space="0" w:color="AEAEAE"/>
              <w:left w:val="single" w:sz="6" w:space="0" w:color="AEAEAE"/>
              <w:bottom w:val="single" w:sz="6" w:space="0" w:color="AEAEAE"/>
              <w:right w:val="single" w:sz="6" w:space="0" w:color="AEAEAE"/>
            </w:tcBorders>
            <w:vAlign w:val="center"/>
          </w:tcPr>
          <w:p w14:paraId="2FCFFCED" w14:textId="77777777" w:rsidR="002D58E4" w:rsidRDefault="00F721D4">
            <w:pPr>
              <w:spacing w:after="120"/>
              <w:rPr>
                <w:sz w:val="20"/>
                <w:szCs w:val="20"/>
              </w:rPr>
            </w:pPr>
            <w:r>
              <w:rPr>
                <w:sz w:val="20"/>
                <w:szCs w:val="20"/>
              </w:rPr>
              <w:t xml:space="preserve">207 pediatric (&lt;21 years old) patients with early disseminated Lyme disease (multiple erythema migrans, meningitis, cranial neuritis, radiculoneuritis, ocular involvement, and/or carditis) with laboratory conﬁrmation of </w:t>
            </w:r>
            <w:r>
              <w:rPr>
                <w:i/>
                <w:sz w:val="20"/>
                <w:szCs w:val="20"/>
              </w:rPr>
              <w:t>B. burgdorferi</w:t>
            </w:r>
            <w:r>
              <w:rPr>
                <w:sz w:val="20"/>
                <w:szCs w:val="20"/>
              </w:rPr>
              <w:t xml:space="preserve"> infection.</w:t>
            </w:r>
          </w:p>
          <w:p w14:paraId="5926E48A" w14:textId="77777777" w:rsidR="002D58E4" w:rsidRDefault="00F721D4">
            <w:pPr>
              <w:spacing w:after="120"/>
              <w:rPr>
                <w:sz w:val="20"/>
                <w:szCs w:val="20"/>
              </w:rPr>
            </w:pPr>
            <w:r>
              <w:rPr>
                <w:sz w:val="20"/>
                <w:szCs w:val="20"/>
              </w:rPr>
              <w:t xml:space="preserve">98% of non-carditis patients and 100% of carditis patients had positive serology. </w:t>
            </w:r>
          </w:p>
          <w:p w14:paraId="441A772C" w14:textId="77777777" w:rsidR="002D58E4" w:rsidRDefault="00F721D4">
            <w:pPr>
              <w:spacing w:after="120"/>
              <w:rPr>
                <w:sz w:val="20"/>
                <w:szCs w:val="20"/>
              </w:rPr>
            </w:pPr>
            <w:r>
              <w:rPr>
                <w:sz w:val="20"/>
                <w:szCs w:val="20"/>
              </w:rPr>
              <w:t xml:space="preserve">Patients with carditis had a wide range of systemic involvement, including flu-like symptoms in 94%, meningitis in 48%, multiple erythema migrans in 48%, and erythema migrans in 24%. </w:t>
            </w:r>
          </w:p>
          <w:p w14:paraId="465AA22F" w14:textId="77777777" w:rsidR="002D58E4" w:rsidRDefault="002D58E4">
            <w:pPr>
              <w:spacing w:after="120"/>
              <w:rPr>
                <w:sz w:val="20"/>
                <w:szCs w:val="20"/>
              </w:rPr>
            </w:pP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E0CBEB1" w14:textId="77777777" w:rsidR="002D58E4" w:rsidRDefault="00F721D4">
            <w:pPr>
              <w:rPr>
                <w:sz w:val="20"/>
                <w:szCs w:val="20"/>
              </w:rPr>
            </w:pPr>
            <w:r>
              <w:rPr>
                <w:sz w:val="20"/>
                <w:szCs w:val="20"/>
              </w:rPr>
              <w:t>ECG findings in patients with Lyme carditis were as follows: Normal (N=1),1</w:t>
            </w:r>
            <w:r>
              <w:rPr>
                <w:sz w:val="20"/>
                <w:szCs w:val="20"/>
                <w:vertAlign w:val="superscript"/>
              </w:rPr>
              <w:t>st</w:t>
            </w:r>
            <w:r>
              <w:rPr>
                <w:sz w:val="20"/>
                <w:szCs w:val="20"/>
              </w:rPr>
              <w:t xml:space="preserve"> degree atrioventricular (AV) block (N=12),1</w:t>
            </w:r>
            <w:r>
              <w:rPr>
                <w:sz w:val="20"/>
                <w:szCs w:val="20"/>
                <w:vertAlign w:val="superscript"/>
              </w:rPr>
              <w:t>st</w:t>
            </w:r>
            <w:r>
              <w:rPr>
                <w:sz w:val="20"/>
                <w:szCs w:val="20"/>
              </w:rPr>
              <w:t xml:space="preserve"> degree AV block+ ST-T changes (N=1), 1</w:t>
            </w:r>
            <w:r>
              <w:rPr>
                <w:sz w:val="20"/>
                <w:szCs w:val="20"/>
                <w:vertAlign w:val="superscript"/>
              </w:rPr>
              <w:t>st</w:t>
            </w:r>
            <w:r>
              <w:rPr>
                <w:sz w:val="20"/>
                <w:szCs w:val="20"/>
              </w:rPr>
              <w:t xml:space="preserve"> degree  AV block +prolonged corrected QT interval (N=1), 2</w:t>
            </w:r>
            <w:r>
              <w:rPr>
                <w:sz w:val="20"/>
                <w:szCs w:val="20"/>
                <w:vertAlign w:val="superscript"/>
              </w:rPr>
              <w:t>nd</w:t>
            </w:r>
            <w:r>
              <w:rPr>
                <w:sz w:val="20"/>
                <w:szCs w:val="20"/>
              </w:rPr>
              <w:t xml:space="preserve"> degree AV block (N=7), complete heart block (N=5), prolonged corrected QT interval (N=4), and ST-T wave changes (N=2).</w:t>
            </w:r>
          </w:p>
        </w:tc>
        <w:tc>
          <w:tcPr>
            <w:tcW w:w="2126" w:type="dxa"/>
            <w:tcBorders>
              <w:top w:val="single" w:sz="6" w:space="0" w:color="AEAEAE"/>
              <w:left w:val="single" w:sz="6" w:space="0" w:color="AEAEAE"/>
              <w:bottom w:val="single" w:sz="6" w:space="0" w:color="AEAEAE"/>
              <w:right w:val="single" w:sz="6" w:space="0" w:color="AEAEAE"/>
            </w:tcBorders>
            <w:vAlign w:val="center"/>
          </w:tcPr>
          <w:p w14:paraId="69FC4911" w14:textId="77777777" w:rsidR="002D58E4" w:rsidRDefault="00F721D4">
            <w:pPr>
              <w:rPr>
                <w:sz w:val="20"/>
                <w:szCs w:val="20"/>
              </w:rPr>
            </w:pPr>
            <w:r>
              <w:rPr>
                <w:sz w:val="20"/>
                <w:szCs w:val="20"/>
              </w:rPr>
              <w:t xml:space="preserve">16% (33 of 207) of patients with early disseminated Lyme disease had carditis. </w:t>
            </w:r>
          </w:p>
          <w:p w14:paraId="0E8BF6EF" w14:textId="77777777" w:rsidR="002D58E4" w:rsidRDefault="002D58E4">
            <w:pPr>
              <w:rPr>
                <w:sz w:val="20"/>
                <w:szCs w:val="20"/>
              </w:rPr>
            </w:pPr>
          </w:p>
          <w:p w14:paraId="2A8CD590" w14:textId="77777777" w:rsidR="002D58E4" w:rsidRDefault="00F721D4">
            <w:pPr>
              <w:rPr>
                <w:sz w:val="20"/>
                <w:szCs w:val="20"/>
              </w:rPr>
            </w:pPr>
            <w:r>
              <w:rPr>
                <w:sz w:val="20"/>
                <w:szCs w:val="20"/>
              </w:rPr>
              <w:t xml:space="preserve">42% (14 of 33) of patients with Lyme carditis had advanced heart block, and 27% (9 of 33) of these patients had complete heart block. </w:t>
            </w:r>
          </w:p>
        </w:tc>
        <w:tc>
          <w:tcPr>
            <w:tcW w:w="2693" w:type="dxa"/>
            <w:tcBorders>
              <w:top w:val="single" w:sz="6" w:space="0" w:color="AEAEAE"/>
              <w:left w:val="single" w:sz="6" w:space="0" w:color="AEAEAE"/>
              <w:bottom w:val="single" w:sz="6" w:space="0" w:color="AEAEAE"/>
              <w:right w:val="single" w:sz="6" w:space="0" w:color="AEAEAE"/>
            </w:tcBorders>
            <w:vAlign w:val="center"/>
          </w:tcPr>
          <w:p w14:paraId="77E9CBA0" w14:textId="77777777" w:rsidR="002D58E4" w:rsidRDefault="00F721D4">
            <w:pPr>
              <w:rPr>
                <w:sz w:val="20"/>
                <w:szCs w:val="20"/>
              </w:rPr>
            </w:pPr>
            <w:r>
              <w:rPr>
                <w:sz w:val="20"/>
                <w:szCs w:val="20"/>
              </w:rPr>
              <w:t>Patients with Lyme carditis were significantly more likely to be &gt;10 years old (p&lt;0.001) and to present with arthralgia (p=0.02) or cardiopulmonary symptoms (p&lt;0.001). The absence of any cardiopulmonary symptom had a 99% specificity for identifying those patients without carditis.</w:t>
            </w:r>
          </w:p>
          <w:p w14:paraId="5F35C2EB" w14:textId="77777777" w:rsidR="002D58E4" w:rsidRDefault="002D58E4">
            <w:pPr>
              <w:rPr>
                <w:sz w:val="20"/>
                <w:szCs w:val="20"/>
              </w:rPr>
            </w:pPr>
          </w:p>
          <w:p w14:paraId="2C838CB6" w14:textId="77777777" w:rsidR="002D58E4" w:rsidRDefault="00F721D4">
            <w:pPr>
              <w:rPr>
                <w:sz w:val="20"/>
                <w:szCs w:val="20"/>
              </w:rPr>
            </w:pPr>
            <w:r>
              <w:rPr>
                <w:sz w:val="20"/>
                <w:szCs w:val="20"/>
              </w:rPr>
              <w:t>All 9 patients with complete heart block and 3 of 5 patients with 2</w:t>
            </w:r>
            <w:r>
              <w:rPr>
                <w:sz w:val="20"/>
                <w:szCs w:val="20"/>
                <w:vertAlign w:val="superscript"/>
              </w:rPr>
              <w:t>nd</w:t>
            </w:r>
            <w:r>
              <w:rPr>
                <w:sz w:val="20"/>
                <w:szCs w:val="20"/>
              </w:rPr>
              <w:t xml:space="preserve"> degree heart block received 21 to 28 days of IV ceftriaxone. 2 of 5 patients with 2</w:t>
            </w:r>
            <w:r>
              <w:rPr>
                <w:sz w:val="20"/>
                <w:szCs w:val="20"/>
                <w:vertAlign w:val="superscript"/>
              </w:rPr>
              <w:t>nd</w:t>
            </w:r>
            <w:r>
              <w:rPr>
                <w:sz w:val="20"/>
                <w:szCs w:val="20"/>
              </w:rPr>
              <w:t xml:space="preserve"> degree heart block received ceftriaxone while hospitalized then received oral antibiotics for 21 to 28 days. </w:t>
            </w:r>
          </w:p>
          <w:p w14:paraId="4DB9E5B4" w14:textId="77777777" w:rsidR="002D58E4" w:rsidRDefault="002D58E4">
            <w:pPr>
              <w:rPr>
                <w:sz w:val="20"/>
                <w:szCs w:val="20"/>
              </w:rPr>
            </w:pPr>
          </w:p>
          <w:p w14:paraId="6FADFE15" w14:textId="77777777" w:rsidR="002D58E4" w:rsidRDefault="00F721D4">
            <w:pPr>
              <w:rPr>
                <w:sz w:val="20"/>
                <w:szCs w:val="20"/>
              </w:rPr>
            </w:pPr>
            <w:r>
              <w:rPr>
                <w:sz w:val="20"/>
                <w:szCs w:val="20"/>
              </w:rPr>
              <w:t>Of 27 patients for whom follow-up data was available, 24 (88.9%) had complete resolution of their cardiac symptoms.</w:t>
            </w:r>
          </w:p>
        </w:tc>
      </w:tr>
      <w:tr w:rsidR="002D58E4" w14:paraId="2ABFC9DA" w14:textId="77777777" w:rsidTr="00E343BA">
        <w:trPr>
          <w:trHeight w:val="40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B0C8329" w14:textId="77777777" w:rsidR="002D58E4" w:rsidRDefault="00F721D4">
            <w:pPr>
              <w:rPr>
                <w:sz w:val="20"/>
                <w:szCs w:val="20"/>
              </w:rPr>
            </w:pPr>
            <w:r>
              <w:rPr>
                <w:sz w:val="20"/>
                <w:szCs w:val="20"/>
              </w:rPr>
              <w:t>Welsh 2012</w:t>
            </w:r>
          </w:p>
          <w:p w14:paraId="2A10B821" w14:textId="77777777" w:rsidR="002D58E4" w:rsidRDefault="002D58E4">
            <w:pPr>
              <w:rPr>
                <w:sz w:val="20"/>
                <w:szCs w:val="20"/>
              </w:rPr>
            </w:pPr>
          </w:p>
          <w:p w14:paraId="5E748F25" w14:textId="77777777" w:rsidR="002D58E4" w:rsidRDefault="00F721D4">
            <w:pPr>
              <w:rPr>
                <w:sz w:val="20"/>
                <w:szCs w:val="20"/>
              </w:rPr>
            </w:pPr>
            <w:r>
              <w:rPr>
                <w:sz w:val="20"/>
                <w:szCs w:val="20"/>
              </w:rPr>
              <w:t xml:space="preserve">Boston, MA; Philadelphia, PA; Wilmington, DE </w:t>
            </w:r>
          </w:p>
        </w:tc>
        <w:tc>
          <w:tcPr>
            <w:tcW w:w="900" w:type="dxa"/>
            <w:tcBorders>
              <w:top w:val="single" w:sz="6" w:space="0" w:color="AEAEAE"/>
              <w:left w:val="single" w:sz="6" w:space="0" w:color="AEAEAE"/>
              <w:bottom w:val="single" w:sz="6" w:space="0" w:color="AEAEAE"/>
              <w:right w:val="single" w:sz="6" w:space="0" w:color="AEAEAE"/>
            </w:tcBorders>
            <w:vAlign w:val="center"/>
          </w:tcPr>
          <w:p w14:paraId="38A47162"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79E8882" w14:textId="77777777" w:rsidR="002D58E4" w:rsidRDefault="00F721D4">
            <w:pPr>
              <w:jc w:val="center"/>
              <w:rPr>
                <w:sz w:val="20"/>
                <w:szCs w:val="20"/>
              </w:rPr>
            </w:pPr>
            <w:r>
              <w:rPr>
                <w:sz w:val="20"/>
                <w:szCs w:val="20"/>
              </w:rPr>
              <w:t>8</w:t>
            </w:r>
          </w:p>
        </w:tc>
        <w:tc>
          <w:tcPr>
            <w:tcW w:w="3404" w:type="dxa"/>
            <w:tcBorders>
              <w:top w:val="single" w:sz="6" w:space="0" w:color="AEAEAE"/>
              <w:left w:val="single" w:sz="6" w:space="0" w:color="AEAEAE"/>
              <w:bottom w:val="single" w:sz="6" w:space="0" w:color="AEAEAE"/>
              <w:right w:val="single" w:sz="6" w:space="0" w:color="AEAEAE"/>
            </w:tcBorders>
            <w:vAlign w:val="center"/>
          </w:tcPr>
          <w:p w14:paraId="37E796C7" w14:textId="77777777" w:rsidR="002D58E4" w:rsidRDefault="00F721D4">
            <w:pPr>
              <w:spacing w:after="120"/>
              <w:rPr>
                <w:sz w:val="20"/>
                <w:szCs w:val="20"/>
              </w:rPr>
            </w:pPr>
            <w:r>
              <w:rPr>
                <w:sz w:val="20"/>
                <w:szCs w:val="20"/>
              </w:rPr>
              <w:t>103 pediatric (median age 10.8 years; IQR 7.6-13.2) patients who were diagnosed with Lyme meningitis</w:t>
            </w:r>
            <w:r>
              <w:rPr>
                <w:b/>
                <w:sz w:val="20"/>
                <w:szCs w:val="20"/>
              </w:rPr>
              <w:t xml:space="preserve"> </w:t>
            </w:r>
            <w:r>
              <w:rPr>
                <w:sz w:val="20"/>
                <w:szCs w:val="20"/>
              </w:rPr>
              <w:t>(CSF leukocyte count ≥10 cells/mm</w:t>
            </w:r>
            <w:r>
              <w:rPr>
                <w:sz w:val="20"/>
                <w:szCs w:val="20"/>
                <w:vertAlign w:val="superscript"/>
              </w:rPr>
              <w:t>3</w:t>
            </w:r>
            <w:r>
              <w:rPr>
                <w:sz w:val="20"/>
                <w:szCs w:val="20"/>
              </w:rPr>
              <w:t xml:space="preserve"> in conjunction with positive acute Lyme serologic tests by Western blotting </w:t>
            </w:r>
            <w:r>
              <w:rPr>
                <w:sz w:val="20"/>
                <w:szCs w:val="20"/>
                <w:u w:val="single"/>
              </w:rPr>
              <w:t>or</w:t>
            </w:r>
            <w:r>
              <w:rPr>
                <w:sz w:val="20"/>
                <w:szCs w:val="20"/>
              </w:rPr>
              <w:t xml:space="preserve"> physician-documented erythema migrans).</w:t>
            </w:r>
          </w:p>
          <w:p w14:paraId="4A9028EF" w14:textId="77777777" w:rsidR="002D58E4" w:rsidRDefault="00F721D4">
            <w:pPr>
              <w:spacing w:after="120"/>
              <w:rPr>
                <w:sz w:val="20"/>
                <w:szCs w:val="20"/>
              </w:rPr>
            </w:pPr>
            <w:r>
              <w:rPr>
                <w:sz w:val="20"/>
                <w:szCs w:val="20"/>
              </w:rPr>
              <w:t>10 patients (10%) had physician-documented erythema migrans, 41 (40%) had both erythema migrans and positive serology, and 52 (50%) had positive Lyme serology without erythema migrans. Median duration of symptoms: 14 days (IQR: 5-21 days).</w:t>
            </w:r>
          </w:p>
        </w:tc>
        <w:tc>
          <w:tcPr>
            <w:tcW w:w="3685"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77F2E18" w14:textId="77777777" w:rsidR="002D58E4" w:rsidRDefault="00F721D4">
            <w:pPr>
              <w:rPr>
                <w:sz w:val="20"/>
                <w:szCs w:val="20"/>
              </w:rPr>
            </w:pPr>
            <w:r>
              <w:rPr>
                <w:sz w:val="20"/>
                <w:szCs w:val="20"/>
              </w:rPr>
              <w:t xml:space="preserve">All patients had an ECG performed at presentation. </w:t>
            </w:r>
          </w:p>
          <w:p w14:paraId="05181D53" w14:textId="77777777" w:rsidR="002D58E4" w:rsidRDefault="002D58E4">
            <w:pPr>
              <w:rPr>
                <w:sz w:val="20"/>
                <w:szCs w:val="20"/>
              </w:rPr>
            </w:pPr>
          </w:p>
          <w:p w14:paraId="09299B06" w14:textId="77777777" w:rsidR="002D58E4" w:rsidRDefault="00F721D4">
            <w:pPr>
              <w:rPr>
                <w:sz w:val="20"/>
                <w:szCs w:val="20"/>
              </w:rPr>
            </w:pPr>
            <w:r>
              <w:rPr>
                <w:sz w:val="20"/>
                <w:szCs w:val="20"/>
              </w:rPr>
              <w:t>16 children had 1</w:t>
            </w:r>
            <w:r>
              <w:rPr>
                <w:sz w:val="20"/>
                <w:szCs w:val="20"/>
                <w:vertAlign w:val="superscript"/>
              </w:rPr>
              <w:t>st</w:t>
            </w:r>
            <w:r>
              <w:rPr>
                <w:sz w:val="20"/>
                <w:szCs w:val="20"/>
              </w:rPr>
              <w:t xml:space="preserve"> degree AV block, 11 had prolonged QT interval, and 14 had ST-wave change.  7 children had multiple ECG abnormalities without evidence of depressed myocardial function: 4 had 1</w:t>
            </w:r>
            <w:r>
              <w:rPr>
                <w:sz w:val="20"/>
                <w:szCs w:val="20"/>
                <w:vertAlign w:val="superscript"/>
              </w:rPr>
              <w:t>st</w:t>
            </w:r>
            <w:r>
              <w:rPr>
                <w:sz w:val="20"/>
                <w:szCs w:val="20"/>
              </w:rPr>
              <w:t xml:space="preserve"> degree AV block with ST-T wave changes; 2 had prolonged QTc interval with ST-T wave changes; and 1 with 1</w:t>
            </w:r>
            <w:r>
              <w:rPr>
                <w:sz w:val="20"/>
                <w:szCs w:val="20"/>
                <w:vertAlign w:val="superscript"/>
              </w:rPr>
              <w:t>st</w:t>
            </w:r>
            <w:r>
              <w:rPr>
                <w:sz w:val="20"/>
                <w:szCs w:val="20"/>
              </w:rPr>
              <w:t xml:space="preserve"> degree AV block with prolonged QTc  </w:t>
            </w:r>
          </w:p>
          <w:p w14:paraId="1C2CEC8E" w14:textId="77777777" w:rsidR="002D58E4" w:rsidRDefault="002D58E4">
            <w:pPr>
              <w:rPr>
                <w:sz w:val="20"/>
                <w:szCs w:val="20"/>
              </w:rPr>
            </w:pPr>
          </w:p>
          <w:p w14:paraId="027BBFFB" w14:textId="77777777" w:rsidR="002D58E4" w:rsidRDefault="00F721D4">
            <w:pPr>
              <w:rPr>
                <w:sz w:val="20"/>
                <w:szCs w:val="20"/>
              </w:rPr>
            </w:pPr>
            <w:r>
              <w:rPr>
                <w:sz w:val="20"/>
                <w:szCs w:val="20"/>
              </w:rPr>
              <w:t>ECG abnormalities resolved or improved by hospital discharge in 20 (95%) of the 21 children for whom follow-up ECGs were available.</w:t>
            </w:r>
          </w:p>
        </w:tc>
        <w:tc>
          <w:tcPr>
            <w:tcW w:w="2126" w:type="dxa"/>
            <w:tcBorders>
              <w:top w:val="single" w:sz="6" w:space="0" w:color="AEAEAE"/>
              <w:left w:val="single" w:sz="6" w:space="0" w:color="AEAEAE"/>
              <w:bottom w:val="single" w:sz="6" w:space="0" w:color="AEAEAE"/>
              <w:right w:val="single" w:sz="6" w:space="0" w:color="AEAEAE"/>
            </w:tcBorders>
            <w:vAlign w:val="center"/>
          </w:tcPr>
          <w:p w14:paraId="6080C318" w14:textId="77777777" w:rsidR="002D58E4" w:rsidRDefault="00F721D4">
            <w:pPr>
              <w:rPr>
                <w:sz w:val="20"/>
                <w:szCs w:val="20"/>
              </w:rPr>
            </w:pPr>
            <w:r>
              <w:rPr>
                <w:sz w:val="20"/>
                <w:szCs w:val="20"/>
              </w:rPr>
              <w:t xml:space="preserve">33% (25 of 70) of patients with Lyme meningitis had ECG abnormalities which were consistent with Lyme carditis. 7 children had multiple ECG abnormalities. </w:t>
            </w:r>
          </w:p>
          <w:p w14:paraId="46C9516D" w14:textId="77777777" w:rsidR="002D58E4" w:rsidRDefault="002D58E4">
            <w:pPr>
              <w:rPr>
                <w:sz w:val="20"/>
                <w:szCs w:val="20"/>
              </w:rPr>
            </w:pPr>
          </w:p>
          <w:p w14:paraId="3445AE0C" w14:textId="77777777" w:rsidR="002D58E4" w:rsidRDefault="00F721D4">
            <w:pPr>
              <w:rPr>
                <w:sz w:val="20"/>
                <w:szCs w:val="20"/>
              </w:rPr>
            </w:pPr>
            <w:r>
              <w:rPr>
                <w:sz w:val="20"/>
                <w:szCs w:val="20"/>
              </w:rPr>
              <w:t>When the definition of carditis was restricted to those with atrioventricular (AV) block or prolonged QTc, 26 (25%) children met criteria for having carditis.</w:t>
            </w:r>
          </w:p>
        </w:tc>
        <w:tc>
          <w:tcPr>
            <w:tcW w:w="2693" w:type="dxa"/>
            <w:tcBorders>
              <w:top w:val="single" w:sz="6" w:space="0" w:color="AEAEAE"/>
              <w:left w:val="single" w:sz="6" w:space="0" w:color="AEAEAE"/>
              <w:bottom w:val="single" w:sz="6" w:space="0" w:color="AEAEAE"/>
              <w:right w:val="single" w:sz="6" w:space="0" w:color="AEAEAE"/>
            </w:tcBorders>
            <w:vAlign w:val="center"/>
          </w:tcPr>
          <w:p w14:paraId="7032C7F7" w14:textId="77777777" w:rsidR="002D58E4" w:rsidRDefault="00F721D4">
            <w:pPr>
              <w:rPr>
                <w:sz w:val="20"/>
                <w:szCs w:val="20"/>
              </w:rPr>
            </w:pPr>
            <w:r>
              <w:rPr>
                <w:sz w:val="20"/>
                <w:szCs w:val="20"/>
              </w:rPr>
              <w:t xml:space="preserve">Children ≥13 years old were significantly more likely to experience ECG abnormalities than children &lt;13 (p=0.01). Lyme meningitis patients with ECG abnormalities were significantly more likely to have experienced a fever for ≥5 days (p&lt;0.01). Age and fever duration remained significantly associated with likelihood of carditis, even when the definition was restricted to AV block or prolonged QTc. </w:t>
            </w:r>
          </w:p>
          <w:p w14:paraId="672E451D" w14:textId="77777777" w:rsidR="002D58E4" w:rsidRDefault="002D58E4">
            <w:pPr>
              <w:rPr>
                <w:sz w:val="20"/>
                <w:szCs w:val="20"/>
              </w:rPr>
            </w:pPr>
          </w:p>
          <w:p w14:paraId="751E696F" w14:textId="77777777" w:rsidR="002D58E4" w:rsidRDefault="00F721D4">
            <w:pPr>
              <w:rPr>
                <w:sz w:val="20"/>
                <w:szCs w:val="20"/>
              </w:rPr>
            </w:pPr>
            <w:r>
              <w:rPr>
                <w:sz w:val="20"/>
                <w:szCs w:val="20"/>
              </w:rPr>
              <w:t>The authors concluded that ECG abnormalities were common in children with Lyme meningitis, suggesting a higher risk of cardiac involvement in patients with Lyme meningitis. The authors also pointed out specific demographic and clinical risk factors which may aid in the decision of whether or not to perform an ECG.</w:t>
            </w:r>
          </w:p>
        </w:tc>
      </w:tr>
    </w:tbl>
    <w:p w14:paraId="1AAF73DC" w14:textId="77777777" w:rsidR="002D58E4" w:rsidRDefault="00F721D4">
      <w:pPr>
        <w:spacing w:after="0"/>
        <w:rPr>
          <w:b/>
          <w:sz w:val="28"/>
          <w:szCs w:val="28"/>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57FC7338" w14:textId="77777777" w:rsidR="002D58E4" w:rsidRDefault="002D58E4">
      <w:pPr>
        <w:spacing w:after="0"/>
        <w:rPr>
          <w:b/>
          <w:sz w:val="32"/>
          <w:szCs w:val="32"/>
        </w:rPr>
      </w:pPr>
    </w:p>
    <w:p w14:paraId="0ADD234F" w14:textId="77777777" w:rsidR="002D58E4" w:rsidRDefault="00F721D4">
      <w:r>
        <w:br w:type="page"/>
      </w:r>
    </w:p>
    <w:tbl>
      <w:tblPr>
        <w:tblStyle w:val="aff9"/>
        <w:tblW w:w="14601" w:type="dxa"/>
        <w:tblLayout w:type="fixed"/>
        <w:tblLook w:val="0600" w:firstRow="0" w:lastRow="0" w:firstColumn="0" w:lastColumn="0" w:noHBand="1" w:noVBand="1"/>
      </w:tblPr>
      <w:tblGrid>
        <w:gridCol w:w="1080"/>
        <w:gridCol w:w="900"/>
        <w:gridCol w:w="630"/>
        <w:gridCol w:w="3486"/>
        <w:gridCol w:w="3090"/>
        <w:gridCol w:w="2863"/>
        <w:gridCol w:w="2552"/>
      </w:tblGrid>
      <w:tr w:rsidR="002D58E4" w14:paraId="79CDA58D" w14:textId="77777777" w:rsidTr="00E14B2B">
        <w:trPr>
          <w:trHeight w:val="500"/>
        </w:trPr>
        <w:tc>
          <w:tcPr>
            <w:tcW w:w="14601" w:type="dxa"/>
            <w:gridSpan w:val="7"/>
            <w:shd w:val="clear" w:color="auto" w:fill="auto"/>
            <w:tcMar>
              <w:top w:w="15" w:type="dxa"/>
              <w:left w:w="30" w:type="dxa"/>
              <w:bottom w:w="0" w:type="dxa"/>
              <w:right w:w="30" w:type="dxa"/>
            </w:tcMar>
          </w:tcPr>
          <w:p w14:paraId="60A039C1" w14:textId="0A85D680" w:rsidR="002D58E4" w:rsidRDefault="008D091E">
            <w:pPr>
              <w:rPr>
                <w:b/>
                <w:sz w:val="32"/>
                <w:szCs w:val="32"/>
              </w:rPr>
            </w:pPr>
            <w:r>
              <w:rPr>
                <w:b/>
                <w:sz w:val="32"/>
                <w:szCs w:val="32"/>
              </w:rPr>
              <w:t>XVII</w:t>
            </w:r>
            <w:r w:rsidR="00F721D4">
              <w:rPr>
                <w:b/>
                <w:sz w:val="32"/>
                <w:szCs w:val="32"/>
              </w:rPr>
              <w:t>. Which patients with Lyme carditis require hospitalization?</w:t>
            </w:r>
          </w:p>
          <w:p w14:paraId="7DD499D2" w14:textId="77777777" w:rsidR="002D58E4" w:rsidRDefault="002D58E4">
            <w:pPr>
              <w:rPr>
                <w:b/>
                <w:color w:val="000000"/>
                <w:sz w:val="18"/>
                <w:szCs w:val="18"/>
              </w:rPr>
            </w:pPr>
          </w:p>
          <w:p w14:paraId="601DFF07" w14:textId="77777777" w:rsidR="002D58E4" w:rsidRDefault="002D58E4">
            <w:pPr>
              <w:rPr>
                <w:b/>
                <w:color w:val="000000"/>
                <w:sz w:val="18"/>
                <w:szCs w:val="18"/>
              </w:rPr>
            </w:pPr>
          </w:p>
        </w:tc>
      </w:tr>
      <w:tr w:rsidR="002D58E4" w14:paraId="182C4BDC" w14:textId="77777777" w:rsidTr="00E14B2B">
        <w:trPr>
          <w:trHeight w:val="500"/>
        </w:trPr>
        <w:tc>
          <w:tcPr>
            <w:tcW w:w="14601" w:type="dxa"/>
            <w:gridSpan w:val="7"/>
            <w:tcBorders>
              <w:bottom w:val="single" w:sz="6" w:space="0" w:color="AEAEAE"/>
            </w:tcBorders>
            <w:shd w:val="clear" w:color="auto" w:fill="auto"/>
            <w:tcMar>
              <w:top w:w="15" w:type="dxa"/>
              <w:left w:w="30" w:type="dxa"/>
              <w:bottom w:w="0" w:type="dxa"/>
              <w:right w:w="30" w:type="dxa"/>
            </w:tcMar>
          </w:tcPr>
          <w:p w14:paraId="6FB81673" w14:textId="77777777" w:rsidR="002D58E4" w:rsidRDefault="00F721D4">
            <w:pPr>
              <w:rPr>
                <w:color w:val="000000"/>
                <w:sz w:val="18"/>
                <w:szCs w:val="18"/>
              </w:rPr>
            </w:pPr>
            <w:r>
              <w:rPr>
                <w:b/>
                <w:color w:val="000000"/>
                <w:sz w:val="18"/>
                <w:szCs w:val="18"/>
              </w:rPr>
              <w:t>Bibliography</w:t>
            </w:r>
            <w:r>
              <w:rPr>
                <w:color w:val="000000"/>
                <w:sz w:val="18"/>
                <w:szCs w:val="18"/>
              </w:rPr>
              <w:t>: 1. Costello, et al. Pediatrics. 2009 May; 123(5): e835-41; 2. Steere, et al. Ann Intern Med. 1980 Jul; 93(1): 8-16; 3. Van der Linde, et al. Scand J Infect Dis Suppl. 1991; 77: 81-4; 4. Forrester, et al. Clin Infect Dis. 2014 Oct; 59 (7):996-1000; 5. Scheffold, et al.</w:t>
            </w:r>
            <w:r>
              <w:rPr>
                <w:color w:val="0072B5"/>
                <w:sz w:val="18"/>
                <w:szCs w:val="18"/>
              </w:rPr>
              <w:t xml:space="preserve"> </w:t>
            </w:r>
            <w:r>
              <w:rPr>
                <w:color w:val="000000"/>
                <w:sz w:val="18"/>
                <w:szCs w:val="18"/>
              </w:rPr>
              <w:t>Dtsch Arztebl Int. 2015 Mar; 112(12): 202–8; 6. Meuhlenbachs, et al. Am J Pathol. 2016 May; 186(5):1195-205.</w:t>
            </w:r>
          </w:p>
          <w:p w14:paraId="615515A5" w14:textId="666299ED" w:rsidR="00171735" w:rsidRDefault="00171735">
            <w:pPr>
              <w:rPr>
                <w:color w:val="000000"/>
                <w:sz w:val="20"/>
                <w:szCs w:val="20"/>
              </w:rPr>
            </w:pPr>
          </w:p>
        </w:tc>
      </w:tr>
      <w:tr w:rsidR="002D58E4" w14:paraId="181372D9" w14:textId="77777777" w:rsidTr="00E14B2B">
        <w:trPr>
          <w:trHeight w:val="701"/>
        </w:trPr>
        <w:tc>
          <w:tcPr>
            <w:tcW w:w="108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667067E" w14:textId="77777777" w:rsidR="002D58E4" w:rsidRDefault="00F721D4">
            <w:pPr>
              <w:jc w:val="center"/>
              <w:rPr>
                <w:sz w:val="20"/>
                <w:szCs w:val="20"/>
              </w:rPr>
            </w:pPr>
            <w:r>
              <w:rPr>
                <w:b/>
                <w:color w:val="000000"/>
                <w:sz w:val="20"/>
                <w:szCs w:val="20"/>
              </w:rPr>
              <w:t>Study and Location</w:t>
            </w:r>
          </w:p>
        </w:tc>
        <w:tc>
          <w:tcPr>
            <w:tcW w:w="900" w:type="dxa"/>
            <w:tcBorders>
              <w:top w:val="single" w:sz="6" w:space="0" w:color="AEAEAE"/>
              <w:left w:val="single" w:sz="6" w:space="0" w:color="AEAEAE"/>
              <w:bottom w:val="single" w:sz="6" w:space="0" w:color="AEAEAE"/>
              <w:right w:val="single" w:sz="6" w:space="0" w:color="AEAEAE"/>
            </w:tcBorders>
            <w:shd w:val="clear" w:color="auto" w:fill="D9D9D9"/>
          </w:tcPr>
          <w:p w14:paraId="69710C3A"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30EF0209" w14:textId="77777777" w:rsidR="002D58E4" w:rsidRDefault="00F721D4">
            <w:pPr>
              <w:jc w:val="center"/>
              <w:rPr>
                <w:b/>
                <w:color w:val="000000"/>
                <w:sz w:val="20"/>
                <w:szCs w:val="20"/>
              </w:rPr>
            </w:pPr>
            <w:r>
              <w:rPr>
                <w:b/>
                <w:color w:val="000000"/>
                <w:sz w:val="20"/>
                <w:szCs w:val="20"/>
              </w:rPr>
              <w:t>Risk of bias*</w:t>
            </w:r>
          </w:p>
        </w:tc>
        <w:tc>
          <w:tcPr>
            <w:tcW w:w="3486" w:type="dxa"/>
            <w:tcBorders>
              <w:top w:val="single" w:sz="6" w:space="0" w:color="AEAEAE"/>
              <w:left w:val="single" w:sz="6" w:space="0" w:color="AEAEAE"/>
              <w:bottom w:val="single" w:sz="6" w:space="0" w:color="AEAEAE"/>
              <w:right w:val="single" w:sz="6" w:space="0" w:color="AEAEAE"/>
            </w:tcBorders>
            <w:shd w:val="clear" w:color="auto" w:fill="D9D9D9"/>
          </w:tcPr>
          <w:p w14:paraId="5C2DDB80" w14:textId="77777777" w:rsidR="002D58E4" w:rsidRDefault="00F721D4">
            <w:pPr>
              <w:jc w:val="center"/>
              <w:rPr>
                <w:b/>
                <w:color w:val="000000"/>
                <w:sz w:val="20"/>
                <w:szCs w:val="20"/>
              </w:rPr>
            </w:pPr>
            <w:r>
              <w:rPr>
                <w:b/>
                <w:color w:val="000000"/>
                <w:sz w:val="20"/>
                <w:szCs w:val="20"/>
              </w:rPr>
              <w:t>Lyme Disease Diagnosis method; Lyme disease characteristics</w:t>
            </w:r>
          </w:p>
        </w:tc>
        <w:tc>
          <w:tcPr>
            <w:tcW w:w="3090" w:type="dxa"/>
            <w:tcBorders>
              <w:top w:val="single" w:sz="6" w:space="0" w:color="AEAEAE"/>
              <w:left w:val="single" w:sz="6" w:space="0" w:color="AEAEAE"/>
              <w:bottom w:val="single" w:sz="6" w:space="0" w:color="AEAEAE"/>
              <w:right w:val="single" w:sz="6" w:space="0" w:color="AEAEAE"/>
            </w:tcBorders>
            <w:shd w:val="clear" w:color="auto" w:fill="D9D9D9"/>
          </w:tcPr>
          <w:p w14:paraId="664A9B3C" w14:textId="77777777" w:rsidR="002D58E4" w:rsidRDefault="00F721D4">
            <w:pPr>
              <w:jc w:val="center"/>
              <w:rPr>
                <w:b/>
                <w:color w:val="000000"/>
                <w:sz w:val="20"/>
                <w:szCs w:val="20"/>
              </w:rPr>
            </w:pPr>
            <w:r>
              <w:rPr>
                <w:b/>
                <w:color w:val="000000"/>
                <w:sz w:val="20"/>
                <w:szCs w:val="20"/>
              </w:rPr>
              <w:t>Cardiac presentation description (if applicable)</w:t>
            </w:r>
          </w:p>
        </w:tc>
        <w:tc>
          <w:tcPr>
            <w:tcW w:w="2863"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57322F8D" w14:textId="77777777" w:rsidR="002D58E4" w:rsidRDefault="00F721D4">
            <w:pPr>
              <w:jc w:val="center"/>
              <w:rPr>
                <w:b/>
                <w:sz w:val="20"/>
                <w:szCs w:val="20"/>
              </w:rPr>
            </w:pPr>
            <w:r>
              <w:rPr>
                <w:b/>
                <w:sz w:val="20"/>
                <w:szCs w:val="20"/>
              </w:rPr>
              <w:t xml:space="preserve">% Lyme Carditis Patients Hospitalized, </w:t>
            </w:r>
            <w:r>
              <w:rPr>
                <w:b/>
                <w:sz w:val="20"/>
                <w:szCs w:val="20"/>
                <w:u w:val="single"/>
              </w:rPr>
              <w:t xml:space="preserve">or </w:t>
            </w:r>
            <w:r>
              <w:rPr>
                <w:b/>
                <w:sz w:val="20"/>
                <w:szCs w:val="20"/>
              </w:rPr>
              <w:t>Description of Fatal Lyme Carditis Event(s)</w:t>
            </w:r>
          </w:p>
        </w:tc>
        <w:tc>
          <w:tcPr>
            <w:tcW w:w="2552" w:type="dxa"/>
            <w:tcBorders>
              <w:top w:val="single" w:sz="6" w:space="0" w:color="AEAEAE"/>
              <w:left w:val="single" w:sz="6" w:space="0" w:color="AEAEAE"/>
              <w:bottom w:val="single" w:sz="6" w:space="0" w:color="AEAEAE"/>
              <w:right w:val="single" w:sz="6" w:space="0" w:color="AEAEAE"/>
            </w:tcBorders>
            <w:shd w:val="clear" w:color="auto" w:fill="D9D9D9"/>
          </w:tcPr>
          <w:p w14:paraId="3B571D7F" w14:textId="77777777" w:rsidR="002D58E4" w:rsidRDefault="00F721D4">
            <w:pPr>
              <w:jc w:val="center"/>
              <w:rPr>
                <w:b/>
                <w:color w:val="000000"/>
                <w:sz w:val="20"/>
                <w:szCs w:val="20"/>
              </w:rPr>
            </w:pPr>
            <w:r>
              <w:rPr>
                <w:b/>
                <w:color w:val="000000"/>
                <w:sz w:val="20"/>
                <w:szCs w:val="20"/>
              </w:rPr>
              <w:t>Study conclusions</w:t>
            </w:r>
          </w:p>
        </w:tc>
      </w:tr>
      <w:tr w:rsidR="002D58E4" w14:paraId="36262034" w14:textId="77777777" w:rsidTr="00E14B2B">
        <w:trPr>
          <w:trHeight w:val="12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D299CEA" w14:textId="77777777" w:rsidR="002D58E4" w:rsidRPr="002914A2" w:rsidRDefault="00F721D4">
            <w:pPr>
              <w:spacing w:after="120"/>
              <w:rPr>
                <w:sz w:val="20"/>
                <w:szCs w:val="20"/>
                <w:lang w:val="fr-CA"/>
              </w:rPr>
            </w:pPr>
            <w:r w:rsidRPr="002914A2">
              <w:rPr>
                <w:sz w:val="20"/>
                <w:szCs w:val="20"/>
                <w:lang w:val="fr-CA"/>
              </w:rPr>
              <w:t>Costello, et al., 2009</w:t>
            </w:r>
          </w:p>
          <w:p w14:paraId="00758BB0" w14:textId="77777777" w:rsidR="002D58E4" w:rsidRPr="002914A2" w:rsidRDefault="002D58E4">
            <w:pPr>
              <w:spacing w:after="120"/>
              <w:rPr>
                <w:sz w:val="20"/>
                <w:szCs w:val="20"/>
                <w:lang w:val="fr-CA"/>
              </w:rPr>
            </w:pPr>
          </w:p>
          <w:p w14:paraId="387C87C6" w14:textId="77777777" w:rsidR="002D58E4" w:rsidRPr="002914A2" w:rsidRDefault="00F721D4">
            <w:pPr>
              <w:spacing w:after="120"/>
              <w:rPr>
                <w:sz w:val="20"/>
                <w:szCs w:val="20"/>
                <w:lang w:val="fr-CA"/>
              </w:rPr>
            </w:pPr>
            <w:r w:rsidRPr="002914A2">
              <w:rPr>
                <w:sz w:val="20"/>
                <w:szCs w:val="20"/>
                <w:lang w:val="fr-CA"/>
              </w:rPr>
              <w:t>Boston, MA</w:t>
            </w:r>
          </w:p>
        </w:tc>
        <w:tc>
          <w:tcPr>
            <w:tcW w:w="900" w:type="dxa"/>
            <w:tcBorders>
              <w:top w:val="single" w:sz="6" w:space="0" w:color="AEAEAE"/>
              <w:left w:val="single" w:sz="6" w:space="0" w:color="AEAEAE"/>
              <w:bottom w:val="single" w:sz="6" w:space="0" w:color="AEAEAE"/>
              <w:right w:val="single" w:sz="6" w:space="0" w:color="AEAEAE"/>
            </w:tcBorders>
            <w:vAlign w:val="center"/>
          </w:tcPr>
          <w:p w14:paraId="1C71908C" w14:textId="77777777" w:rsidR="002D58E4" w:rsidRDefault="00F721D4">
            <w:pPr>
              <w:spacing w:after="120"/>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4BC31317" w14:textId="77777777" w:rsidR="002D58E4" w:rsidRDefault="00F721D4">
            <w:pPr>
              <w:spacing w:after="120"/>
              <w:jc w:val="center"/>
              <w:rPr>
                <w:sz w:val="20"/>
                <w:szCs w:val="20"/>
              </w:rPr>
            </w:pPr>
            <w:r>
              <w:rPr>
                <w:sz w:val="20"/>
                <w:szCs w:val="20"/>
              </w:rPr>
              <w:t>7</w:t>
            </w:r>
          </w:p>
        </w:tc>
        <w:tc>
          <w:tcPr>
            <w:tcW w:w="3486" w:type="dxa"/>
            <w:tcBorders>
              <w:top w:val="single" w:sz="6" w:space="0" w:color="AEAEAE"/>
              <w:left w:val="single" w:sz="6" w:space="0" w:color="AEAEAE"/>
              <w:bottom w:val="single" w:sz="6" w:space="0" w:color="AEAEAE"/>
              <w:right w:val="single" w:sz="6" w:space="0" w:color="AEAEAE"/>
            </w:tcBorders>
            <w:vAlign w:val="center"/>
          </w:tcPr>
          <w:p w14:paraId="15C03718" w14:textId="77777777" w:rsidR="002D58E4" w:rsidRDefault="00F721D4">
            <w:pPr>
              <w:spacing w:after="120"/>
              <w:rPr>
                <w:sz w:val="20"/>
                <w:szCs w:val="20"/>
              </w:rPr>
            </w:pPr>
            <w:r>
              <w:rPr>
                <w:sz w:val="20"/>
                <w:szCs w:val="20"/>
              </w:rPr>
              <w:t xml:space="preserve">207 pediatric (&lt;21 years old) patients with early disseminated Lyme disease (multiple erythema migrans, meningitis, cranial neuritis, radiculoneuritis, ocular involvement, and/or carditis with laboratory conﬁrmation of </w:t>
            </w:r>
            <w:r>
              <w:rPr>
                <w:i/>
                <w:sz w:val="20"/>
                <w:szCs w:val="20"/>
              </w:rPr>
              <w:t>B. burgdorferi</w:t>
            </w:r>
            <w:r>
              <w:rPr>
                <w:sz w:val="20"/>
                <w:szCs w:val="20"/>
              </w:rPr>
              <w:t xml:space="preserve"> infection.</w:t>
            </w:r>
          </w:p>
          <w:p w14:paraId="0A0E501D" w14:textId="77777777" w:rsidR="002D58E4" w:rsidRDefault="00F721D4">
            <w:pPr>
              <w:spacing w:after="120"/>
              <w:rPr>
                <w:sz w:val="20"/>
                <w:szCs w:val="20"/>
              </w:rPr>
            </w:pPr>
            <w:r>
              <w:rPr>
                <w:sz w:val="20"/>
                <w:szCs w:val="20"/>
              </w:rPr>
              <w:t xml:space="preserve">98% of non-carditis patients and 100% of carditis patients had positive serology. </w:t>
            </w:r>
          </w:p>
          <w:p w14:paraId="62242B72" w14:textId="77777777" w:rsidR="002D58E4" w:rsidRDefault="00F721D4">
            <w:pPr>
              <w:spacing w:after="120"/>
              <w:rPr>
                <w:sz w:val="20"/>
                <w:szCs w:val="20"/>
              </w:rPr>
            </w:pPr>
            <w:r>
              <w:rPr>
                <w:sz w:val="20"/>
                <w:szCs w:val="20"/>
              </w:rPr>
              <w:t xml:space="preserve">Patients with carditis (33 of 207) had a wide range of systemic involvement, including flu-like symptoms in 94%, meningitis in 48%, multiple erythema migrans in 48%, and erythema migrans in 24%. </w:t>
            </w:r>
          </w:p>
        </w:tc>
        <w:tc>
          <w:tcPr>
            <w:tcW w:w="3090" w:type="dxa"/>
            <w:tcBorders>
              <w:top w:val="single" w:sz="6" w:space="0" w:color="AEAEAE"/>
              <w:left w:val="single" w:sz="6" w:space="0" w:color="AEAEAE"/>
              <w:bottom w:val="single" w:sz="6" w:space="0" w:color="AEAEAE"/>
              <w:right w:val="single" w:sz="6" w:space="0" w:color="AEAEAE"/>
            </w:tcBorders>
            <w:vAlign w:val="center"/>
          </w:tcPr>
          <w:p w14:paraId="20A3961F" w14:textId="77777777" w:rsidR="002D58E4" w:rsidRDefault="00F721D4">
            <w:pPr>
              <w:spacing w:after="120"/>
              <w:rPr>
                <w:sz w:val="20"/>
                <w:szCs w:val="20"/>
              </w:rPr>
            </w:pPr>
            <w:r>
              <w:rPr>
                <w:sz w:val="20"/>
                <w:szCs w:val="20"/>
              </w:rPr>
              <w:t>16% (33 of 207) of patients with early disseminated Lyme disease had carditis. 42% (14 of 33) of patients with Lyme carditis had advanced heart block, and 27% (9 of 33) of these patients had complete heart block.</w:t>
            </w:r>
          </w:p>
          <w:p w14:paraId="3EC2F7B5" w14:textId="02054FD9" w:rsidR="002D58E4" w:rsidRDefault="00F721D4">
            <w:pPr>
              <w:spacing w:after="120"/>
              <w:rPr>
                <w:sz w:val="20"/>
                <w:szCs w:val="20"/>
              </w:rPr>
            </w:pPr>
            <w:r>
              <w:rPr>
                <w:sz w:val="20"/>
                <w:szCs w:val="20"/>
              </w:rPr>
              <w:t xml:space="preserve">12% (4 of 33) patients with carditis had depressed ventricular systolic function on echocardiogram, 9% (3 of 33) presented in cardiogenic shock. </w:t>
            </w:r>
            <w:r w:rsidR="00FE2443">
              <w:rPr>
                <w:sz w:val="20"/>
                <w:szCs w:val="20"/>
              </w:rPr>
              <w:t xml:space="preserve">Two </w:t>
            </w:r>
            <w:r w:rsidR="00BD2C27">
              <w:rPr>
                <w:sz w:val="20"/>
                <w:szCs w:val="20"/>
              </w:rPr>
              <w:t xml:space="preserve">of these 3 </w:t>
            </w:r>
            <w:r w:rsidR="00FE2443">
              <w:rPr>
                <w:sz w:val="20"/>
                <w:szCs w:val="20"/>
              </w:rPr>
              <w:t>children with severe Lyme carditis with complete heart block and severely depressed biventricular function were treated with a temporary dual-chamber pacing</w:t>
            </w:r>
            <w:r w:rsidR="00BD2C27">
              <w:rPr>
                <w:sz w:val="20"/>
                <w:szCs w:val="20"/>
              </w:rPr>
              <w:t>, of which one</w:t>
            </w:r>
            <w:r>
              <w:rPr>
                <w:sz w:val="20"/>
                <w:szCs w:val="20"/>
              </w:rPr>
              <w:t xml:space="preserve"> required cardiopulmonary resuscitation and extracorporeal membrane oxygenation </w:t>
            </w:r>
            <w:r w:rsidR="00FE2443">
              <w:rPr>
                <w:sz w:val="20"/>
                <w:szCs w:val="20"/>
              </w:rPr>
              <w:t xml:space="preserve">(ECMO) </w:t>
            </w:r>
            <w:r>
              <w:rPr>
                <w:sz w:val="20"/>
                <w:szCs w:val="20"/>
              </w:rPr>
              <w:t>for 5 days before complete recovery.</w:t>
            </w:r>
          </w:p>
        </w:tc>
        <w:tc>
          <w:tcPr>
            <w:tcW w:w="2863"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8A5A96D" w14:textId="77777777" w:rsidR="002D58E4" w:rsidRDefault="00F721D4">
            <w:pPr>
              <w:spacing w:after="120"/>
              <w:rPr>
                <w:sz w:val="20"/>
                <w:szCs w:val="20"/>
              </w:rPr>
            </w:pPr>
            <w:r>
              <w:rPr>
                <w:sz w:val="20"/>
                <w:szCs w:val="20"/>
              </w:rPr>
              <w:t xml:space="preserve">85% of Lyme carditis patients and 65% of Lyme patients without carditis were hospitalized (p=0.02). </w:t>
            </w:r>
          </w:p>
          <w:p w14:paraId="6661B028" w14:textId="77777777" w:rsidR="002D58E4" w:rsidRDefault="00F721D4">
            <w:pPr>
              <w:spacing w:after="120"/>
              <w:rPr>
                <w:sz w:val="20"/>
                <w:szCs w:val="20"/>
              </w:rPr>
            </w:pPr>
            <w:r>
              <w:rPr>
                <w:sz w:val="20"/>
                <w:szCs w:val="20"/>
              </w:rPr>
              <w:t xml:space="preserve">32% of Lyme carditis patients and 0% of Lyme patients without carditis were admitted to intensive care (ICU) (p&lt;0.001). </w:t>
            </w:r>
          </w:p>
          <w:p w14:paraId="4CAFEE82" w14:textId="147FEB18" w:rsidR="002D58E4" w:rsidRDefault="00F721D4">
            <w:pPr>
              <w:spacing w:after="120"/>
              <w:rPr>
                <w:sz w:val="20"/>
                <w:szCs w:val="20"/>
              </w:rPr>
            </w:pPr>
            <w:r>
              <w:rPr>
                <w:sz w:val="20"/>
                <w:szCs w:val="20"/>
              </w:rPr>
              <w:t>9 patients with carditis were admitted to the cardiac ICU for a median of 3 days (range 1-11).</w:t>
            </w:r>
            <w:r w:rsidR="00FE2443">
              <w:rPr>
                <w:sz w:val="20"/>
                <w:szCs w:val="20"/>
              </w:rPr>
              <w:t xml:space="preserve"> </w:t>
            </w:r>
          </w:p>
          <w:p w14:paraId="145DD45C" w14:textId="77777777" w:rsidR="002D58E4" w:rsidRDefault="00F721D4">
            <w:pPr>
              <w:spacing w:after="120"/>
              <w:rPr>
                <w:sz w:val="20"/>
                <w:szCs w:val="20"/>
              </w:rPr>
            </w:pPr>
            <w:r>
              <w:rPr>
                <w:sz w:val="20"/>
                <w:szCs w:val="20"/>
              </w:rPr>
              <w:t>Patients with carditis were admitted to the hospital for a median of 4 days (range 1-13) compared to Lyme patients without carditis [3 days (range 1-20)] (p=0.03).</w:t>
            </w:r>
          </w:p>
          <w:p w14:paraId="6EA88CCF" w14:textId="77777777" w:rsidR="002D58E4" w:rsidRDefault="00F721D4">
            <w:pPr>
              <w:spacing w:after="120"/>
              <w:rPr>
                <w:sz w:val="20"/>
                <w:szCs w:val="20"/>
              </w:rPr>
            </w:pPr>
            <w:r>
              <w:rPr>
                <w:sz w:val="20"/>
                <w:szCs w:val="20"/>
              </w:rPr>
              <w:t xml:space="preserve">There was no mortality in children with early disseminated Lyme disease. </w:t>
            </w:r>
          </w:p>
        </w:tc>
        <w:tc>
          <w:tcPr>
            <w:tcW w:w="2552" w:type="dxa"/>
            <w:tcBorders>
              <w:top w:val="single" w:sz="6" w:space="0" w:color="AEAEAE"/>
              <w:left w:val="single" w:sz="6" w:space="0" w:color="AEAEAE"/>
              <w:bottom w:val="single" w:sz="6" w:space="0" w:color="AEAEAE"/>
              <w:right w:val="single" w:sz="6" w:space="0" w:color="AEAEAE"/>
            </w:tcBorders>
            <w:vAlign w:val="center"/>
          </w:tcPr>
          <w:p w14:paraId="532ED4AA" w14:textId="77777777" w:rsidR="002D58E4" w:rsidRDefault="00F721D4">
            <w:pPr>
              <w:spacing w:after="120"/>
              <w:rPr>
                <w:sz w:val="20"/>
                <w:szCs w:val="20"/>
              </w:rPr>
            </w:pPr>
            <w:r>
              <w:rPr>
                <w:sz w:val="20"/>
                <w:szCs w:val="20"/>
              </w:rPr>
              <w:t>Of 27 patients for whom follow-up data was available, 24 (88.9%) had complete resolution of their cardiac symptoms. Compared to Lyme patients without carditis, patients with carditis were more likely to be hospitalized, to remain in hospital longer, and to require intensive care.</w:t>
            </w:r>
          </w:p>
          <w:p w14:paraId="46A15426" w14:textId="39EFF90C" w:rsidR="002D58E4" w:rsidRDefault="00F721D4">
            <w:pPr>
              <w:spacing w:after="120"/>
              <w:rPr>
                <w:sz w:val="20"/>
                <w:szCs w:val="20"/>
              </w:rPr>
            </w:pPr>
            <w:r>
              <w:rPr>
                <w:sz w:val="20"/>
                <w:szCs w:val="20"/>
              </w:rPr>
              <w:t xml:space="preserve">The authors recommended that children with Lyme carditis and myocardial dysfunction be hospitalized </w:t>
            </w:r>
            <w:r w:rsidR="00FE2443">
              <w:rPr>
                <w:sz w:val="20"/>
                <w:szCs w:val="20"/>
              </w:rPr>
              <w:t xml:space="preserve">in an institution capable of providing </w:t>
            </w:r>
            <w:r w:rsidR="00BD2C27">
              <w:rPr>
                <w:sz w:val="20"/>
                <w:szCs w:val="20"/>
              </w:rPr>
              <w:t xml:space="preserve">pacemakers and </w:t>
            </w:r>
            <w:r w:rsidR="00FE2443">
              <w:rPr>
                <w:sz w:val="20"/>
                <w:szCs w:val="20"/>
              </w:rPr>
              <w:t xml:space="preserve">rapid deployment ECMO for </w:t>
            </w:r>
            <w:r w:rsidR="00BD2C27">
              <w:rPr>
                <w:sz w:val="20"/>
                <w:szCs w:val="20"/>
              </w:rPr>
              <w:t xml:space="preserve">mechanical cardiac support. </w:t>
            </w:r>
          </w:p>
        </w:tc>
      </w:tr>
      <w:tr w:rsidR="002D58E4" w14:paraId="3F77D343" w14:textId="77777777" w:rsidTr="00E14B2B">
        <w:trPr>
          <w:trHeight w:val="12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FAE4208" w14:textId="77777777" w:rsidR="002D58E4" w:rsidRDefault="00F721D4">
            <w:pPr>
              <w:spacing w:after="120"/>
              <w:rPr>
                <w:sz w:val="20"/>
                <w:szCs w:val="20"/>
              </w:rPr>
            </w:pPr>
            <w:r>
              <w:rPr>
                <w:sz w:val="20"/>
                <w:szCs w:val="20"/>
              </w:rPr>
              <w:t>Steere, 1980</w:t>
            </w:r>
          </w:p>
          <w:p w14:paraId="0B281044" w14:textId="77777777" w:rsidR="002D58E4" w:rsidRDefault="002D58E4">
            <w:pPr>
              <w:spacing w:after="120"/>
              <w:rPr>
                <w:sz w:val="20"/>
                <w:szCs w:val="20"/>
              </w:rPr>
            </w:pPr>
          </w:p>
          <w:p w14:paraId="1B04AEC9" w14:textId="77777777" w:rsidR="002D58E4" w:rsidRDefault="00F721D4">
            <w:pPr>
              <w:spacing w:after="120"/>
              <w:rPr>
                <w:sz w:val="20"/>
                <w:szCs w:val="20"/>
              </w:rPr>
            </w:pPr>
            <w:r>
              <w:rPr>
                <w:sz w:val="20"/>
                <w:szCs w:val="20"/>
              </w:rPr>
              <w:t>New Haven, CT</w:t>
            </w:r>
          </w:p>
        </w:tc>
        <w:tc>
          <w:tcPr>
            <w:tcW w:w="900" w:type="dxa"/>
            <w:tcBorders>
              <w:top w:val="single" w:sz="6" w:space="0" w:color="AEAEAE"/>
              <w:left w:val="single" w:sz="6" w:space="0" w:color="AEAEAE"/>
              <w:bottom w:val="single" w:sz="6" w:space="0" w:color="AEAEAE"/>
              <w:right w:val="single" w:sz="6" w:space="0" w:color="AEAEAE"/>
            </w:tcBorders>
            <w:vAlign w:val="center"/>
          </w:tcPr>
          <w:p w14:paraId="1DB223B2" w14:textId="77777777" w:rsidR="002D58E4" w:rsidRDefault="00F721D4">
            <w:pPr>
              <w:spacing w:after="120"/>
              <w:rPr>
                <w:sz w:val="20"/>
                <w:szCs w:val="20"/>
              </w:rPr>
            </w:pPr>
            <w:r>
              <w:rPr>
                <w:sz w:val="20"/>
                <w:szCs w:val="20"/>
              </w:rPr>
              <w:t xml:space="preserve">Case series (20 cases) </w:t>
            </w:r>
          </w:p>
        </w:tc>
        <w:tc>
          <w:tcPr>
            <w:tcW w:w="630" w:type="dxa"/>
            <w:tcBorders>
              <w:top w:val="single" w:sz="6" w:space="0" w:color="AEAEAE"/>
              <w:left w:val="single" w:sz="6" w:space="0" w:color="AEAEAE"/>
              <w:bottom w:val="single" w:sz="6" w:space="0" w:color="AEAEAE"/>
              <w:right w:val="single" w:sz="6" w:space="0" w:color="AEAEAE"/>
            </w:tcBorders>
            <w:vAlign w:val="center"/>
          </w:tcPr>
          <w:p w14:paraId="561032DD" w14:textId="77777777" w:rsidR="002D58E4" w:rsidRDefault="00F721D4">
            <w:pPr>
              <w:spacing w:after="120"/>
              <w:jc w:val="center"/>
              <w:rPr>
                <w:sz w:val="20"/>
                <w:szCs w:val="20"/>
              </w:rPr>
            </w:pPr>
            <w:r>
              <w:rPr>
                <w:sz w:val="20"/>
                <w:szCs w:val="20"/>
              </w:rPr>
              <w:t>NA</w:t>
            </w:r>
          </w:p>
        </w:tc>
        <w:tc>
          <w:tcPr>
            <w:tcW w:w="3486" w:type="dxa"/>
            <w:tcBorders>
              <w:top w:val="single" w:sz="6" w:space="0" w:color="AEAEAE"/>
              <w:left w:val="single" w:sz="6" w:space="0" w:color="AEAEAE"/>
              <w:bottom w:val="single" w:sz="6" w:space="0" w:color="AEAEAE"/>
              <w:right w:val="single" w:sz="6" w:space="0" w:color="AEAEAE"/>
            </w:tcBorders>
            <w:vAlign w:val="center"/>
          </w:tcPr>
          <w:p w14:paraId="467C21E6" w14:textId="77777777" w:rsidR="002D58E4" w:rsidRDefault="00F721D4">
            <w:pPr>
              <w:spacing w:after="120"/>
              <w:rPr>
                <w:sz w:val="20"/>
                <w:szCs w:val="20"/>
              </w:rPr>
            </w:pPr>
            <w:r>
              <w:rPr>
                <w:sz w:val="20"/>
                <w:szCs w:val="20"/>
              </w:rPr>
              <w:t>19 of 20 patients (age range: 6-58 years) were diagnosed with Lyme disease by erythema migrans. 14 had elevated serum IgM levels.</w:t>
            </w:r>
          </w:p>
          <w:p w14:paraId="232D57B0" w14:textId="77777777" w:rsidR="002D58E4" w:rsidRDefault="00F721D4">
            <w:pPr>
              <w:spacing w:after="120"/>
              <w:rPr>
                <w:sz w:val="20"/>
                <w:szCs w:val="20"/>
              </w:rPr>
            </w:pPr>
            <w:r>
              <w:rPr>
                <w:sz w:val="20"/>
                <w:szCs w:val="20"/>
              </w:rPr>
              <w:t>At the time of presentation of cardiac symptoms, 15 patients had skin lesions, 10 were febrile, 7 patients had neurologic manifestations, and 13 patients had joint involvement.</w:t>
            </w:r>
          </w:p>
        </w:tc>
        <w:tc>
          <w:tcPr>
            <w:tcW w:w="3090" w:type="dxa"/>
            <w:tcBorders>
              <w:top w:val="single" w:sz="6" w:space="0" w:color="AEAEAE"/>
              <w:left w:val="single" w:sz="6" w:space="0" w:color="AEAEAE"/>
              <w:bottom w:val="single" w:sz="6" w:space="0" w:color="AEAEAE"/>
              <w:right w:val="single" w:sz="6" w:space="0" w:color="AEAEAE"/>
            </w:tcBorders>
            <w:vAlign w:val="center"/>
          </w:tcPr>
          <w:p w14:paraId="1D89BA54" w14:textId="77777777" w:rsidR="002D58E4" w:rsidRDefault="00F721D4">
            <w:pPr>
              <w:spacing w:after="120"/>
              <w:rPr>
                <w:sz w:val="20"/>
                <w:szCs w:val="20"/>
              </w:rPr>
            </w:pPr>
            <w:r>
              <w:rPr>
                <w:sz w:val="20"/>
                <w:szCs w:val="20"/>
              </w:rPr>
              <w:t xml:space="preserve">Eighteen of the 20 patients had AV block; 10 of them with high degree AV block developed symptoms of cardiac involvement (8 of these patients had a complete block). </w:t>
            </w:r>
            <w:r>
              <w:rPr>
                <w:b/>
                <w:sz w:val="20"/>
                <w:szCs w:val="20"/>
              </w:rPr>
              <w:t>Some patients went from first-degree to complete block and back within minutes.</w:t>
            </w:r>
          </w:p>
          <w:p w14:paraId="47BDF59E" w14:textId="77777777" w:rsidR="002D58E4" w:rsidRDefault="00F721D4">
            <w:pPr>
              <w:spacing w:after="120"/>
              <w:rPr>
                <w:sz w:val="20"/>
                <w:szCs w:val="20"/>
              </w:rPr>
            </w:pPr>
            <w:r>
              <w:rPr>
                <w:sz w:val="20"/>
                <w:szCs w:val="20"/>
              </w:rPr>
              <w:t>Duration of cardiac involvement typically ranged from 3 days to 6 weeks.</w:t>
            </w:r>
          </w:p>
        </w:tc>
        <w:tc>
          <w:tcPr>
            <w:tcW w:w="2863"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D8484B7" w14:textId="77777777" w:rsidR="002D58E4" w:rsidRDefault="00F721D4">
            <w:pPr>
              <w:spacing w:after="120"/>
              <w:rPr>
                <w:sz w:val="20"/>
                <w:szCs w:val="20"/>
              </w:rPr>
            </w:pPr>
            <w:r>
              <w:rPr>
                <w:sz w:val="20"/>
                <w:szCs w:val="20"/>
              </w:rPr>
              <w:t>Patients with first-degree block usually treated as outpatients.</w:t>
            </w:r>
          </w:p>
          <w:p w14:paraId="3FE443E9" w14:textId="77777777" w:rsidR="002D58E4" w:rsidRDefault="002D58E4">
            <w:pPr>
              <w:spacing w:after="120"/>
              <w:rPr>
                <w:sz w:val="20"/>
                <w:szCs w:val="20"/>
              </w:rPr>
            </w:pPr>
          </w:p>
        </w:tc>
        <w:tc>
          <w:tcPr>
            <w:tcW w:w="2552" w:type="dxa"/>
            <w:tcBorders>
              <w:top w:val="single" w:sz="6" w:space="0" w:color="AEAEAE"/>
              <w:left w:val="single" w:sz="6" w:space="0" w:color="AEAEAE"/>
              <w:bottom w:val="single" w:sz="6" w:space="0" w:color="AEAEAE"/>
              <w:right w:val="single" w:sz="6" w:space="0" w:color="AEAEAE"/>
            </w:tcBorders>
            <w:vAlign w:val="center"/>
          </w:tcPr>
          <w:p w14:paraId="330E1CE9" w14:textId="77777777" w:rsidR="002D58E4" w:rsidRDefault="00F721D4">
            <w:pPr>
              <w:spacing w:after="120"/>
              <w:rPr>
                <w:sz w:val="20"/>
                <w:szCs w:val="20"/>
              </w:rPr>
            </w:pPr>
            <w:r>
              <w:rPr>
                <w:sz w:val="20"/>
                <w:szCs w:val="20"/>
              </w:rPr>
              <w:t>Patients with high-degree AV block or first–degree block with PR interval longer than 0.30 seconds should be hospitalized because of risk to develop complete heart block. Patents with slightly prolonged PR intervals should restrict their activity, and should be followed as outpatients.</w:t>
            </w:r>
          </w:p>
        </w:tc>
      </w:tr>
      <w:tr w:rsidR="002D58E4" w14:paraId="6BD54588" w14:textId="77777777" w:rsidTr="00E14B2B">
        <w:trPr>
          <w:trHeight w:val="8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2F08927" w14:textId="77777777" w:rsidR="002D58E4" w:rsidRDefault="002D58E4">
            <w:pPr>
              <w:spacing w:after="120"/>
              <w:rPr>
                <w:sz w:val="20"/>
                <w:szCs w:val="20"/>
              </w:rPr>
            </w:pPr>
          </w:p>
          <w:p w14:paraId="10CA98E1" w14:textId="77777777" w:rsidR="002D58E4" w:rsidRPr="002914A2" w:rsidRDefault="00F721D4">
            <w:pPr>
              <w:spacing w:after="120"/>
              <w:rPr>
                <w:sz w:val="20"/>
                <w:szCs w:val="20"/>
                <w:lang w:val="fr-CA"/>
              </w:rPr>
            </w:pPr>
            <w:r w:rsidRPr="002914A2">
              <w:rPr>
                <w:sz w:val="20"/>
                <w:szCs w:val="20"/>
                <w:lang w:val="fr-CA"/>
              </w:rPr>
              <w:t>Van der Linde, et al., 1991</w:t>
            </w:r>
          </w:p>
          <w:p w14:paraId="47579F05" w14:textId="77777777" w:rsidR="002D58E4" w:rsidRPr="002914A2" w:rsidRDefault="002D58E4">
            <w:pPr>
              <w:spacing w:after="120"/>
              <w:rPr>
                <w:sz w:val="20"/>
                <w:szCs w:val="20"/>
                <w:lang w:val="fr-CA"/>
              </w:rPr>
            </w:pPr>
          </w:p>
          <w:p w14:paraId="077C4DE6" w14:textId="77777777" w:rsidR="002D58E4" w:rsidRDefault="00F721D4">
            <w:pPr>
              <w:spacing w:after="120"/>
              <w:rPr>
                <w:sz w:val="20"/>
                <w:szCs w:val="20"/>
              </w:rPr>
            </w:pPr>
            <w:r>
              <w:rPr>
                <w:sz w:val="20"/>
                <w:szCs w:val="20"/>
              </w:rPr>
              <w:t>The Netherlands</w:t>
            </w:r>
          </w:p>
        </w:tc>
        <w:tc>
          <w:tcPr>
            <w:tcW w:w="900" w:type="dxa"/>
            <w:tcBorders>
              <w:top w:val="single" w:sz="6" w:space="0" w:color="AEAEAE"/>
              <w:left w:val="single" w:sz="6" w:space="0" w:color="AEAEAE"/>
              <w:bottom w:val="single" w:sz="6" w:space="0" w:color="AEAEAE"/>
              <w:right w:val="single" w:sz="6" w:space="0" w:color="AEAEAE"/>
            </w:tcBorders>
            <w:vAlign w:val="center"/>
          </w:tcPr>
          <w:p w14:paraId="46C5242E" w14:textId="77777777" w:rsidR="002D58E4" w:rsidRDefault="00F721D4">
            <w:pPr>
              <w:spacing w:after="120"/>
              <w:rPr>
                <w:sz w:val="20"/>
                <w:szCs w:val="20"/>
              </w:rPr>
            </w:pPr>
            <w:r>
              <w:rPr>
                <w:sz w:val="20"/>
                <w:szCs w:val="20"/>
              </w:rPr>
              <w:t>Case series (105 cases; includes McAlister 1989)</w:t>
            </w:r>
          </w:p>
        </w:tc>
        <w:tc>
          <w:tcPr>
            <w:tcW w:w="630" w:type="dxa"/>
            <w:tcBorders>
              <w:top w:val="single" w:sz="6" w:space="0" w:color="AEAEAE"/>
              <w:left w:val="single" w:sz="6" w:space="0" w:color="AEAEAE"/>
              <w:bottom w:val="single" w:sz="6" w:space="0" w:color="AEAEAE"/>
              <w:right w:val="single" w:sz="6" w:space="0" w:color="AEAEAE"/>
            </w:tcBorders>
            <w:vAlign w:val="center"/>
          </w:tcPr>
          <w:p w14:paraId="1409D853" w14:textId="77777777" w:rsidR="002D58E4" w:rsidRDefault="00F721D4">
            <w:pPr>
              <w:spacing w:after="120"/>
              <w:jc w:val="center"/>
              <w:rPr>
                <w:sz w:val="20"/>
                <w:szCs w:val="20"/>
              </w:rPr>
            </w:pPr>
            <w:r>
              <w:rPr>
                <w:sz w:val="20"/>
                <w:szCs w:val="20"/>
              </w:rPr>
              <w:t>NA</w:t>
            </w:r>
          </w:p>
        </w:tc>
        <w:tc>
          <w:tcPr>
            <w:tcW w:w="3486" w:type="dxa"/>
            <w:tcBorders>
              <w:top w:val="single" w:sz="6" w:space="0" w:color="AEAEAE"/>
              <w:left w:val="single" w:sz="6" w:space="0" w:color="AEAEAE"/>
              <w:bottom w:val="single" w:sz="6" w:space="0" w:color="AEAEAE"/>
              <w:right w:val="single" w:sz="6" w:space="0" w:color="AEAEAE"/>
            </w:tcBorders>
            <w:vAlign w:val="center"/>
          </w:tcPr>
          <w:p w14:paraId="58BC92EF" w14:textId="77777777" w:rsidR="002D58E4" w:rsidRDefault="00F721D4">
            <w:pPr>
              <w:spacing w:after="120"/>
              <w:rPr>
                <w:sz w:val="20"/>
                <w:szCs w:val="20"/>
              </w:rPr>
            </w:pPr>
            <w:r>
              <w:rPr>
                <w:sz w:val="20"/>
                <w:szCs w:val="20"/>
              </w:rPr>
              <w:t>105 patients (39 North American and 66 European, mean age 39 years) with Lyme carditis. Diagnostic procedure for Lyme is not described in detail.</w:t>
            </w:r>
          </w:p>
          <w:p w14:paraId="555DD029" w14:textId="77777777" w:rsidR="002D58E4" w:rsidRDefault="00F721D4">
            <w:pPr>
              <w:spacing w:after="120"/>
              <w:rPr>
                <w:sz w:val="20"/>
                <w:szCs w:val="20"/>
              </w:rPr>
            </w:pPr>
            <w:r>
              <w:rPr>
                <w:sz w:val="20"/>
                <w:szCs w:val="20"/>
              </w:rPr>
              <w:t>Endomyocardial biopsies were obtained in 8 patients, in 5 of whom spirochetes were found.</w:t>
            </w:r>
          </w:p>
        </w:tc>
        <w:tc>
          <w:tcPr>
            <w:tcW w:w="3090" w:type="dxa"/>
            <w:tcBorders>
              <w:top w:val="single" w:sz="6" w:space="0" w:color="AEAEAE"/>
              <w:left w:val="single" w:sz="6" w:space="0" w:color="AEAEAE"/>
              <w:bottom w:val="single" w:sz="6" w:space="0" w:color="AEAEAE"/>
              <w:right w:val="single" w:sz="6" w:space="0" w:color="AEAEAE"/>
            </w:tcBorders>
            <w:vAlign w:val="center"/>
          </w:tcPr>
          <w:p w14:paraId="0B079FF8" w14:textId="77777777" w:rsidR="002D58E4" w:rsidRDefault="002D58E4">
            <w:pPr>
              <w:spacing w:after="120"/>
              <w:rPr>
                <w:sz w:val="20"/>
                <w:szCs w:val="20"/>
              </w:rPr>
            </w:pPr>
          </w:p>
          <w:p w14:paraId="3E90B639" w14:textId="77777777" w:rsidR="002D58E4" w:rsidRDefault="00F721D4">
            <w:pPr>
              <w:spacing w:after="120"/>
              <w:rPr>
                <w:sz w:val="20"/>
                <w:szCs w:val="20"/>
              </w:rPr>
            </w:pPr>
            <w:r>
              <w:rPr>
                <w:sz w:val="20"/>
                <w:szCs w:val="20"/>
              </w:rPr>
              <w:t>77% (81 of 105) had AV block; 49% (52 of 105) had 3</w:t>
            </w:r>
            <w:r>
              <w:rPr>
                <w:sz w:val="20"/>
                <w:szCs w:val="20"/>
                <w:vertAlign w:val="superscript"/>
              </w:rPr>
              <w:t>rd</w:t>
            </w:r>
            <w:r>
              <w:rPr>
                <w:sz w:val="20"/>
                <w:szCs w:val="20"/>
              </w:rPr>
              <w:t xml:space="preserve"> degree block; 12% (12 of 105) had 1</w:t>
            </w:r>
            <w:r>
              <w:rPr>
                <w:sz w:val="20"/>
                <w:szCs w:val="20"/>
                <w:vertAlign w:val="superscript"/>
              </w:rPr>
              <w:t>st</w:t>
            </w:r>
            <w:r>
              <w:rPr>
                <w:sz w:val="20"/>
                <w:szCs w:val="20"/>
              </w:rPr>
              <w:t xml:space="preserve"> degree block.   </w:t>
            </w:r>
          </w:p>
        </w:tc>
        <w:tc>
          <w:tcPr>
            <w:tcW w:w="2863"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0AB8D56" w14:textId="77777777" w:rsidR="002D58E4" w:rsidRDefault="00F721D4">
            <w:pPr>
              <w:spacing w:after="120"/>
              <w:rPr>
                <w:sz w:val="20"/>
                <w:szCs w:val="20"/>
              </w:rPr>
            </w:pPr>
            <w:r>
              <w:rPr>
                <w:sz w:val="20"/>
                <w:szCs w:val="20"/>
              </w:rPr>
              <w:t>6 of 105 patients had an incomplete recovery. In 41 patients, minor conduction disturbances remained. 1 of 105 patients died.</w:t>
            </w:r>
          </w:p>
        </w:tc>
        <w:tc>
          <w:tcPr>
            <w:tcW w:w="2552" w:type="dxa"/>
            <w:tcBorders>
              <w:top w:val="single" w:sz="6" w:space="0" w:color="AEAEAE"/>
              <w:left w:val="single" w:sz="6" w:space="0" w:color="AEAEAE"/>
              <w:bottom w:val="single" w:sz="6" w:space="0" w:color="AEAEAE"/>
              <w:right w:val="single" w:sz="6" w:space="0" w:color="AEAEAE"/>
            </w:tcBorders>
            <w:vAlign w:val="center"/>
          </w:tcPr>
          <w:p w14:paraId="6059F3E8" w14:textId="77777777" w:rsidR="002D58E4" w:rsidRDefault="00F721D4">
            <w:pPr>
              <w:spacing w:after="120"/>
              <w:rPr>
                <w:sz w:val="20"/>
                <w:szCs w:val="20"/>
              </w:rPr>
            </w:pPr>
            <w:r>
              <w:rPr>
                <w:sz w:val="20"/>
                <w:szCs w:val="20"/>
              </w:rPr>
              <w:t xml:space="preserve">94% of all Lyme carditis patients had complete recovery, despite diverse treatment regimens. 10% of patients had spontaneous complete recovery. Follow-up ranged from 1 to 4 years. No relapse was reported. </w:t>
            </w:r>
          </w:p>
          <w:p w14:paraId="75EEF90C" w14:textId="77777777" w:rsidR="002D58E4" w:rsidRDefault="002D58E4">
            <w:pPr>
              <w:spacing w:after="120"/>
              <w:rPr>
                <w:sz w:val="20"/>
                <w:szCs w:val="20"/>
              </w:rPr>
            </w:pPr>
          </w:p>
        </w:tc>
      </w:tr>
      <w:tr w:rsidR="002D58E4" w14:paraId="000CCFCB" w14:textId="77777777" w:rsidTr="00E14B2B">
        <w:trPr>
          <w:trHeight w:val="12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FD95C21" w14:textId="77777777" w:rsidR="002D58E4" w:rsidRDefault="002D58E4">
            <w:pPr>
              <w:rPr>
                <w:sz w:val="20"/>
                <w:szCs w:val="20"/>
              </w:rPr>
            </w:pPr>
          </w:p>
          <w:p w14:paraId="00B04338" w14:textId="77777777" w:rsidR="002D58E4" w:rsidRDefault="00F721D4">
            <w:pPr>
              <w:rPr>
                <w:sz w:val="20"/>
                <w:szCs w:val="20"/>
              </w:rPr>
            </w:pPr>
            <w:r>
              <w:rPr>
                <w:sz w:val="20"/>
                <w:szCs w:val="20"/>
              </w:rPr>
              <w:t>Forrester, et al., 2014</w:t>
            </w:r>
          </w:p>
          <w:p w14:paraId="050F7E1C" w14:textId="77777777" w:rsidR="002D58E4" w:rsidRDefault="002D58E4">
            <w:pPr>
              <w:rPr>
                <w:sz w:val="20"/>
                <w:szCs w:val="20"/>
              </w:rPr>
            </w:pPr>
          </w:p>
          <w:p w14:paraId="3E65A594" w14:textId="77777777" w:rsidR="002D58E4" w:rsidRDefault="00F721D4">
            <w:pPr>
              <w:rPr>
                <w:sz w:val="20"/>
                <w:szCs w:val="20"/>
              </w:rPr>
            </w:pPr>
            <w:r>
              <w:rPr>
                <w:sz w:val="20"/>
                <w:szCs w:val="20"/>
              </w:rPr>
              <w:t>Atlanta, Georgia</w:t>
            </w:r>
          </w:p>
          <w:p w14:paraId="5C8E06F3" w14:textId="77777777" w:rsidR="002D58E4" w:rsidRDefault="002D58E4">
            <w:pPr>
              <w:rPr>
                <w:sz w:val="20"/>
                <w:szCs w:val="20"/>
              </w:rPr>
            </w:pPr>
          </w:p>
        </w:tc>
        <w:tc>
          <w:tcPr>
            <w:tcW w:w="900" w:type="dxa"/>
            <w:tcBorders>
              <w:top w:val="single" w:sz="6" w:space="0" w:color="AEAEAE"/>
              <w:left w:val="single" w:sz="6" w:space="0" w:color="AEAEAE"/>
              <w:bottom w:val="single" w:sz="6" w:space="0" w:color="AEAEAE"/>
              <w:right w:val="single" w:sz="6" w:space="0" w:color="AEAEAE"/>
            </w:tcBorders>
            <w:vAlign w:val="center"/>
          </w:tcPr>
          <w:p w14:paraId="4FAD6D3F" w14:textId="77777777" w:rsidR="002D58E4" w:rsidRDefault="00F721D4">
            <w:pPr>
              <w:rPr>
                <w:sz w:val="20"/>
                <w:szCs w:val="20"/>
              </w:rPr>
            </w:pPr>
            <w:r>
              <w:rPr>
                <w:sz w:val="20"/>
                <w:szCs w:val="20"/>
              </w:rPr>
              <w:t xml:space="preserve">Case series </w:t>
            </w:r>
          </w:p>
          <w:p w14:paraId="4B44E2FA" w14:textId="77777777" w:rsidR="002D58E4" w:rsidRDefault="00F721D4">
            <w:pPr>
              <w:rPr>
                <w:sz w:val="20"/>
                <w:szCs w:val="20"/>
              </w:rPr>
            </w:pPr>
            <w:r>
              <w:rPr>
                <w:sz w:val="20"/>
                <w:szCs w:val="20"/>
              </w:rPr>
              <w:t>(45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2CC46989" w14:textId="77777777" w:rsidR="002D58E4" w:rsidRDefault="00F721D4">
            <w:pPr>
              <w:jc w:val="center"/>
              <w:rPr>
                <w:sz w:val="20"/>
                <w:szCs w:val="20"/>
              </w:rPr>
            </w:pPr>
            <w:r>
              <w:rPr>
                <w:sz w:val="20"/>
                <w:szCs w:val="20"/>
              </w:rPr>
              <w:t>NA</w:t>
            </w:r>
          </w:p>
        </w:tc>
        <w:tc>
          <w:tcPr>
            <w:tcW w:w="3486" w:type="dxa"/>
            <w:tcBorders>
              <w:top w:val="single" w:sz="6" w:space="0" w:color="AEAEAE"/>
              <w:left w:val="single" w:sz="6" w:space="0" w:color="AEAEAE"/>
              <w:bottom w:val="single" w:sz="6" w:space="0" w:color="AEAEAE"/>
              <w:right w:val="single" w:sz="6" w:space="0" w:color="AEAEAE"/>
            </w:tcBorders>
            <w:vAlign w:val="center"/>
          </w:tcPr>
          <w:p w14:paraId="06118903" w14:textId="77777777" w:rsidR="002D58E4" w:rsidRDefault="00F721D4">
            <w:pPr>
              <w:rPr>
                <w:sz w:val="20"/>
                <w:szCs w:val="20"/>
              </w:rPr>
            </w:pPr>
            <w:r>
              <w:rPr>
                <w:sz w:val="20"/>
                <w:szCs w:val="20"/>
              </w:rPr>
              <w:t xml:space="preserve">45 patients (median age 32) with clinician-documented erythema migrans (EM) or laboratory confirmation of </w:t>
            </w:r>
            <w:r>
              <w:rPr>
                <w:i/>
                <w:sz w:val="20"/>
                <w:szCs w:val="20"/>
              </w:rPr>
              <w:t>B. burgdorferi</w:t>
            </w:r>
            <w:r>
              <w:rPr>
                <w:sz w:val="20"/>
                <w:szCs w:val="20"/>
              </w:rPr>
              <w:t xml:space="preserve"> infection. </w:t>
            </w:r>
          </w:p>
          <w:p w14:paraId="69C1DC34" w14:textId="77777777" w:rsidR="002D58E4" w:rsidRDefault="002D58E4">
            <w:pPr>
              <w:rPr>
                <w:sz w:val="20"/>
                <w:szCs w:val="20"/>
              </w:rPr>
            </w:pPr>
          </w:p>
          <w:p w14:paraId="4D29A5DC" w14:textId="77777777" w:rsidR="002D58E4" w:rsidRDefault="00F721D4">
            <w:pPr>
              <w:rPr>
                <w:sz w:val="20"/>
                <w:szCs w:val="20"/>
              </w:rPr>
            </w:pPr>
            <w:r>
              <w:rPr>
                <w:sz w:val="20"/>
                <w:szCs w:val="20"/>
              </w:rPr>
              <w:t>44% of patients presented with EM. Other associated presenting symptoms included syncope, fever, lightheadedness/dizziness, dyspnea, lethargy/weakness, palpitations, chest pain, headache, myalgia, and arthralgia.</w:t>
            </w:r>
          </w:p>
        </w:tc>
        <w:tc>
          <w:tcPr>
            <w:tcW w:w="3090" w:type="dxa"/>
            <w:tcBorders>
              <w:top w:val="single" w:sz="6" w:space="0" w:color="AEAEAE"/>
              <w:left w:val="single" w:sz="6" w:space="0" w:color="AEAEAE"/>
              <w:bottom w:val="single" w:sz="6" w:space="0" w:color="AEAEAE"/>
              <w:right w:val="single" w:sz="6" w:space="0" w:color="AEAEAE"/>
            </w:tcBorders>
            <w:vAlign w:val="center"/>
          </w:tcPr>
          <w:p w14:paraId="51CCC323" w14:textId="77777777" w:rsidR="002D58E4" w:rsidRDefault="00F721D4">
            <w:pPr>
              <w:rPr>
                <w:sz w:val="20"/>
                <w:szCs w:val="20"/>
              </w:rPr>
            </w:pPr>
            <w:r>
              <w:rPr>
                <w:sz w:val="20"/>
                <w:szCs w:val="20"/>
              </w:rPr>
              <w:t xml:space="preserve">Median age is 32 years. 84% males. </w:t>
            </w:r>
          </w:p>
          <w:p w14:paraId="3766E3DE" w14:textId="77777777" w:rsidR="002D58E4" w:rsidRDefault="00F721D4">
            <w:pPr>
              <w:rPr>
                <w:sz w:val="20"/>
                <w:szCs w:val="20"/>
              </w:rPr>
            </w:pPr>
            <w:r>
              <w:rPr>
                <w:sz w:val="20"/>
                <w:szCs w:val="20"/>
              </w:rPr>
              <w:t>80% of patients had ECG documented 3</w:t>
            </w:r>
            <w:r>
              <w:rPr>
                <w:sz w:val="20"/>
                <w:szCs w:val="20"/>
                <w:vertAlign w:val="superscript"/>
              </w:rPr>
              <w:t>rd</w:t>
            </w:r>
            <w:r>
              <w:rPr>
                <w:sz w:val="20"/>
                <w:szCs w:val="20"/>
              </w:rPr>
              <w:t>-degree block when first evaluated. Of patients who developed third-degree heart block, median time from presentation to development was 3 hours (range 0.5-24 hours). 84% of patients who had 3</w:t>
            </w:r>
            <w:r>
              <w:rPr>
                <w:sz w:val="20"/>
                <w:szCs w:val="20"/>
                <w:vertAlign w:val="superscript"/>
              </w:rPr>
              <w:t xml:space="preserve">rd </w:t>
            </w:r>
            <w:r>
              <w:rPr>
                <w:sz w:val="20"/>
                <w:szCs w:val="20"/>
              </w:rPr>
              <w:t>degree heart block were male.</w:t>
            </w:r>
          </w:p>
        </w:tc>
        <w:tc>
          <w:tcPr>
            <w:tcW w:w="2863"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1408070" w14:textId="77777777" w:rsidR="002D58E4" w:rsidRDefault="002D58E4">
            <w:pPr>
              <w:rPr>
                <w:sz w:val="20"/>
                <w:szCs w:val="20"/>
              </w:rPr>
            </w:pPr>
          </w:p>
          <w:p w14:paraId="228BF26D" w14:textId="77777777" w:rsidR="002D58E4" w:rsidRDefault="00F721D4">
            <w:pPr>
              <w:rPr>
                <w:sz w:val="20"/>
                <w:szCs w:val="20"/>
              </w:rPr>
            </w:pPr>
            <w:r>
              <w:rPr>
                <w:sz w:val="20"/>
                <w:szCs w:val="20"/>
              </w:rPr>
              <w:t>71% of patients presented with third-degree heart block from Lyme carditis in hospital, and 24% in outpatient clinic.</w:t>
            </w:r>
          </w:p>
          <w:p w14:paraId="6DDFF9BE" w14:textId="77777777" w:rsidR="002D58E4" w:rsidRDefault="002D58E4">
            <w:pPr>
              <w:rPr>
                <w:sz w:val="20"/>
                <w:szCs w:val="20"/>
              </w:rPr>
            </w:pPr>
          </w:p>
          <w:p w14:paraId="447CD191" w14:textId="77777777" w:rsidR="002D58E4" w:rsidRDefault="00F721D4">
            <w:pPr>
              <w:rPr>
                <w:sz w:val="20"/>
                <w:szCs w:val="20"/>
              </w:rPr>
            </w:pPr>
            <w:r>
              <w:rPr>
                <w:sz w:val="20"/>
                <w:szCs w:val="20"/>
              </w:rPr>
              <w:t>Deaths due to Lyme carditis not included in this review.</w:t>
            </w:r>
          </w:p>
        </w:tc>
        <w:tc>
          <w:tcPr>
            <w:tcW w:w="2552" w:type="dxa"/>
            <w:tcBorders>
              <w:top w:val="single" w:sz="6" w:space="0" w:color="AEAEAE"/>
              <w:left w:val="single" w:sz="6" w:space="0" w:color="AEAEAE"/>
              <w:bottom w:val="single" w:sz="6" w:space="0" w:color="AEAEAE"/>
              <w:right w:val="single" w:sz="6" w:space="0" w:color="AEAEAE"/>
            </w:tcBorders>
            <w:vAlign w:val="center"/>
          </w:tcPr>
          <w:p w14:paraId="03807A53" w14:textId="77777777" w:rsidR="002D58E4" w:rsidRDefault="002D58E4">
            <w:pPr>
              <w:rPr>
                <w:sz w:val="20"/>
                <w:szCs w:val="20"/>
              </w:rPr>
            </w:pPr>
          </w:p>
          <w:p w14:paraId="72E1830A" w14:textId="77777777" w:rsidR="002D58E4" w:rsidRDefault="00F721D4">
            <w:pPr>
              <w:rPr>
                <w:sz w:val="20"/>
                <w:szCs w:val="20"/>
              </w:rPr>
            </w:pPr>
            <w:r>
              <w:rPr>
                <w:sz w:val="20"/>
                <w:szCs w:val="20"/>
              </w:rPr>
              <w:t>Third-degree AV block can result in fatal arrhythmias if not managed and treated properly. With appropriate antibiotic therapy, AV block from Lyme carditis improves (third-degree blocks resolve within 1 week and lesser disturbances taking up to 6 weeks.)</w:t>
            </w:r>
            <w:r>
              <w:rPr>
                <w:sz w:val="20"/>
                <w:szCs w:val="20"/>
              </w:rPr>
              <w:br/>
            </w:r>
          </w:p>
          <w:p w14:paraId="506CFC03" w14:textId="77777777" w:rsidR="002D58E4" w:rsidRDefault="002D58E4">
            <w:pPr>
              <w:rPr>
                <w:sz w:val="20"/>
                <w:szCs w:val="20"/>
              </w:rPr>
            </w:pPr>
          </w:p>
        </w:tc>
      </w:tr>
      <w:tr w:rsidR="002D58E4" w14:paraId="450E177B" w14:textId="77777777" w:rsidTr="00E14B2B">
        <w:trPr>
          <w:trHeight w:val="21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68C43EA" w14:textId="77777777" w:rsidR="002D58E4" w:rsidRDefault="00F721D4">
            <w:pPr>
              <w:rPr>
                <w:sz w:val="20"/>
                <w:szCs w:val="20"/>
              </w:rPr>
            </w:pPr>
            <w:r>
              <w:rPr>
                <w:sz w:val="20"/>
                <w:szCs w:val="20"/>
              </w:rPr>
              <w:t>Scheffold et al., 2015</w:t>
            </w:r>
          </w:p>
          <w:p w14:paraId="4E161F15" w14:textId="77777777" w:rsidR="002D58E4" w:rsidRDefault="002D58E4">
            <w:pPr>
              <w:rPr>
                <w:sz w:val="20"/>
                <w:szCs w:val="20"/>
              </w:rPr>
            </w:pPr>
          </w:p>
        </w:tc>
        <w:tc>
          <w:tcPr>
            <w:tcW w:w="900" w:type="dxa"/>
            <w:tcBorders>
              <w:top w:val="single" w:sz="6" w:space="0" w:color="AEAEAE"/>
              <w:left w:val="single" w:sz="6" w:space="0" w:color="AEAEAE"/>
              <w:bottom w:val="single" w:sz="6" w:space="0" w:color="AEAEAE"/>
              <w:right w:val="single" w:sz="6" w:space="0" w:color="AEAEAE"/>
            </w:tcBorders>
            <w:vAlign w:val="center"/>
          </w:tcPr>
          <w:p w14:paraId="41B33D2B" w14:textId="77777777" w:rsidR="002D58E4" w:rsidRDefault="00F721D4">
            <w:pPr>
              <w:rPr>
                <w:sz w:val="20"/>
                <w:szCs w:val="20"/>
              </w:rPr>
            </w:pPr>
            <w:r>
              <w:rPr>
                <w:sz w:val="20"/>
                <w:szCs w:val="20"/>
              </w:rPr>
              <w:t>Review of 9 Case reports</w:t>
            </w:r>
          </w:p>
        </w:tc>
        <w:tc>
          <w:tcPr>
            <w:tcW w:w="630" w:type="dxa"/>
            <w:tcBorders>
              <w:top w:val="single" w:sz="6" w:space="0" w:color="AEAEAE"/>
              <w:left w:val="single" w:sz="6" w:space="0" w:color="AEAEAE"/>
              <w:bottom w:val="single" w:sz="6" w:space="0" w:color="AEAEAE"/>
              <w:right w:val="single" w:sz="6" w:space="0" w:color="AEAEAE"/>
            </w:tcBorders>
            <w:vAlign w:val="center"/>
          </w:tcPr>
          <w:p w14:paraId="143E6866" w14:textId="77777777" w:rsidR="002D58E4" w:rsidRDefault="00F721D4">
            <w:pPr>
              <w:jc w:val="center"/>
              <w:rPr>
                <w:sz w:val="20"/>
                <w:szCs w:val="20"/>
              </w:rPr>
            </w:pPr>
            <w:r>
              <w:rPr>
                <w:sz w:val="20"/>
                <w:szCs w:val="20"/>
              </w:rPr>
              <w:t>NA</w:t>
            </w:r>
          </w:p>
        </w:tc>
        <w:tc>
          <w:tcPr>
            <w:tcW w:w="3486" w:type="dxa"/>
            <w:tcBorders>
              <w:top w:val="single" w:sz="6" w:space="0" w:color="AEAEAE"/>
              <w:left w:val="single" w:sz="6" w:space="0" w:color="AEAEAE"/>
              <w:bottom w:val="single" w:sz="6" w:space="0" w:color="AEAEAE"/>
              <w:right w:val="single" w:sz="6" w:space="0" w:color="AEAEAE"/>
            </w:tcBorders>
            <w:vAlign w:val="center"/>
          </w:tcPr>
          <w:p w14:paraId="3937D95C" w14:textId="77777777" w:rsidR="002D58E4" w:rsidRDefault="00F721D4">
            <w:pPr>
              <w:rPr>
                <w:sz w:val="20"/>
                <w:szCs w:val="20"/>
              </w:rPr>
            </w:pPr>
            <w:r>
              <w:rPr>
                <w:sz w:val="20"/>
                <w:szCs w:val="20"/>
              </w:rPr>
              <w:t>Age range is 26-67 years. 7 males and 2 females.</w:t>
            </w:r>
          </w:p>
          <w:p w14:paraId="2E9A8320" w14:textId="77777777" w:rsidR="002D58E4" w:rsidRDefault="00F721D4">
            <w:pPr>
              <w:spacing w:after="120"/>
              <w:rPr>
                <w:sz w:val="20"/>
                <w:szCs w:val="20"/>
              </w:rPr>
            </w:pPr>
            <w:r>
              <w:rPr>
                <w:sz w:val="20"/>
                <w:szCs w:val="20"/>
              </w:rPr>
              <w:t xml:space="preserve">4 of 9 cases present with positive </w:t>
            </w:r>
            <w:r>
              <w:rPr>
                <w:i/>
                <w:sz w:val="20"/>
                <w:szCs w:val="20"/>
              </w:rPr>
              <w:t>Borrelia</w:t>
            </w:r>
            <w:r>
              <w:rPr>
                <w:sz w:val="20"/>
                <w:szCs w:val="20"/>
              </w:rPr>
              <w:t xml:space="preserve"> serology. 4 of 9 cases present with positive PCR. Identification of spirochetes in 6 of 9 cases (4 in the myocardium, 1 in skeletal muscle, and 1 in the thalamus).</w:t>
            </w:r>
          </w:p>
        </w:tc>
        <w:tc>
          <w:tcPr>
            <w:tcW w:w="3090" w:type="dxa"/>
            <w:tcBorders>
              <w:top w:val="single" w:sz="6" w:space="0" w:color="AEAEAE"/>
              <w:left w:val="single" w:sz="6" w:space="0" w:color="AEAEAE"/>
              <w:bottom w:val="single" w:sz="6" w:space="0" w:color="AEAEAE"/>
              <w:right w:val="single" w:sz="6" w:space="0" w:color="AEAEAE"/>
            </w:tcBorders>
            <w:vAlign w:val="center"/>
          </w:tcPr>
          <w:p w14:paraId="78A54142" w14:textId="77777777" w:rsidR="002D58E4" w:rsidRDefault="00F721D4">
            <w:pPr>
              <w:rPr>
                <w:sz w:val="20"/>
                <w:szCs w:val="20"/>
              </w:rPr>
            </w:pPr>
            <w:r>
              <w:rPr>
                <w:sz w:val="20"/>
                <w:szCs w:val="20"/>
              </w:rPr>
              <w:t>Primary arrhythmogenic event (higher degree AV block) is immediate cause of death in these cases. 2 of 9 fatal cases were due to non-cardiac complications post Lyme disease.</w:t>
            </w:r>
          </w:p>
        </w:tc>
        <w:tc>
          <w:tcPr>
            <w:tcW w:w="2863"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6C56A9F" w14:textId="77777777" w:rsidR="002D58E4" w:rsidRDefault="00F721D4">
            <w:pPr>
              <w:rPr>
                <w:sz w:val="20"/>
                <w:szCs w:val="20"/>
              </w:rPr>
            </w:pPr>
            <w:r>
              <w:rPr>
                <w:sz w:val="20"/>
                <w:szCs w:val="20"/>
              </w:rPr>
              <w:t>Lyme disease mortality identified 9 documented deaths worldwide. 7 of 9 cases were sudden cardiac death as a result of acute lymphocytic myocarditis</w:t>
            </w:r>
          </w:p>
        </w:tc>
        <w:tc>
          <w:tcPr>
            <w:tcW w:w="2552" w:type="dxa"/>
            <w:tcBorders>
              <w:top w:val="single" w:sz="6" w:space="0" w:color="AEAEAE"/>
              <w:left w:val="single" w:sz="6" w:space="0" w:color="AEAEAE"/>
              <w:bottom w:val="single" w:sz="6" w:space="0" w:color="AEAEAE"/>
              <w:right w:val="single" w:sz="6" w:space="0" w:color="AEAEAE"/>
            </w:tcBorders>
            <w:vAlign w:val="center"/>
          </w:tcPr>
          <w:p w14:paraId="0E985A77" w14:textId="77777777" w:rsidR="002D58E4" w:rsidRDefault="00F721D4">
            <w:pPr>
              <w:rPr>
                <w:sz w:val="20"/>
                <w:szCs w:val="20"/>
              </w:rPr>
            </w:pPr>
            <w:r>
              <w:rPr>
                <w:sz w:val="20"/>
                <w:szCs w:val="20"/>
              </w:rPr>
              <w:t xml:space="preserve">Continuous ECG monitoring is required in patients who have experienced a syncope or present with a PR interval &gt;300ms. </w:t>
            </w:r>
          </w:p>
          <w:p w14:paraId="05D32EB9" w14:textId="77777777" w:rsidR="002D58E4" w:rsidRDefault="002D58E4">
            <w:pPr>
              <w:rPr>
                <w:sz w:val="20"/>
                <w:szCs w:val="20"/>
              </w:rPr>
            </w:pPr>
          </w:p>
          <w:p w14:paraId="11B4181F" w14:textId="77777777" w:rsidR="002D58E4" w:rsidRDefault="002D58E4">
            <w:pPr>
              <w:rPr>
                <w:sz w:val="20"/>
                <w:szCs w:val="20"/>
              </w:rPr>
            </w:pPr>
          </w:p>
        </w:tc>
      </w:tr>
      <w:tr w:rsidR="002D58E4" w14:paraId="55C58DC1" w14:textId="77777777" w:rsidTr="00E14B2B">
        <w:trPr>
          <w:trHeight w:val="3069"/>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8A7A8B1" w14:textId="77777777" w:rsidR="002D58E4" w:rsidRDefault="00F721D4">
            <w:pPr>
              <w:rPr>
                <w:sz w:val="20"/>
                <w:szCs w:val="20"/>
              </w:rPr>
            </w:pPr>
            <w:r>
              <w:rPr>
                <w:sz w:val="20"/>
                <w:szCs w:val="20"/>
              </w:rPr>
              <w:t>Muehlenbachs et al., 2016 (included 3 cases from Scheffold 2015)</w:t>
            </w:r>
          </w:p>
          <w:p w14:paraId="62FF746D" w14:textId="77777777" w:rsidR="002D58E4" w:rsidRDefault="002D58E4">
            <w:pPr>
              <w:rPr>
                <w:sz w:val="20"/>
                <w:szCs w:val="20"/>
              </w:rPr>
            </w:pPr>
          </w:p>
          <w:p w14:paraId="7D22698A" w14:textId="77777777" w:rsidR="002D58E4" w:rsidRDefault="00F721D4">
            <w:pPr>
              <w:rPr>
                <w:sz w:val="20"/>
                <w:szCs w:val="20"/>
              </w:rPr>
            </w:pPr>
            <w:r>
              <w:rPr>
                <w:sz w:val="20"/>
                <w:szCs w:val="20"/>
              </w:rPr>
              <w:t>Atlanta, Georgia</w:t>
            </w:r>
          </w:p>
        </w:tc>
        <w:tc>
          <w:tcPr>
            <w:tcW w:w="900" w:type="dxa"/>
            <w:tcBorders>
              <w:top w:val="single" w:sz="6" w:space="0" w:color="AEAEAE"/>
              <w:left w:val="single" w:sz="6" w:space="0" w:color="AEAEAE"/>
              <w:bottom w:val="single" w:sz="6" w:space="0" w:color="AEAEAE"/>
              <w:right w:val="single" w:sz="6" w:space="0" w:color="AEAEAE"/>
            </w:tcBorders>
            <w:vAlign w:val="center"/>
          </w:tcPr>
          <w:p w14:paraId="2C37BB36" w14:textId="77777777" w:rsidR="002D58E4" w:rsidRDefault="00F721D4">
            <w:pPr>
              <w:rPr>
                <w:sz w:val="20"/>
                <w:szCs w:val="20"/>
              </w:rPr>
            </w:pPr>
            <w:r>
              <w:rPr>
                <w:sz w:val="20"/>
                <w:szCs w:val="20"/>
              </w:rPr>
              <w:t>Case series (5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7115C5A1" w14:textId="77777777" w:rsidR="002D58E4" w:rsidRDefault="00F721D4">
            <w:pPr>
              <w:jc w:val="center"/>
              <w:rPr>
                <w:sz w:val="20"/>
                <w:szCs w:val="20"/>
              </w:rPr>
            </w:pPr>
            <w:r>
              <w:rPr>
                <w:sz w:val="20"/>
                <w:szCs w:val="20"/>
              </w:rPr>
              <w:t>NA</w:t>
            </w:r>
          </w:p>
        </w:tc>
        <w:tc>
          <w:tcPr>
            <w:tcW w:w="3486" w:type="dxa"/>
            <w:tcBorders>
              <w:top w:val="single" w:sz="6" w:space="0" w:color="AEAEAE"/>
              <w:left w:val="single" w:sz="6" w:space="0" w:color="AEAEAE"/>
              <w:bottom w:val="single" w:sz="6" w:space="0" w:color="AEAEAE"/>
              <w:right w:val="single" w:sz="6" w:space="0" w:color="AEAEAE"/>
            </w:tcBorders>
            <w:vAlign w:val="center"/>
          </w:tcPr>
          <w:p w14:paraId="6B4BA879" w14:textId="77777777" w:rsidR="002D58E4" w:rsidRDefault="00F721D4">
            <w:pPr>
              <w:rPr>
                <w:sz w:val="20"/>
                <w:szCs w:val="20"/>
              </w:rPr>
            </w:pPr>
            <w:r>
              <w:rPr>
                <w:sz w:val="20"/>
                <w:szCs w:val="20"/>
              </w:rPr>
              <w:t xml:space="preserve">Autopsy samples evaluated by light microscopy, Warthin-Starry stain, immunohistochemistry, and PCR for </w:t>
            </w:r>
            <w:r>
              <w:rPr>
                <w:i/>
                <w:sz w:val="20"/>
                <w:szCs w:val="20"/>
              </w:rPr>
              <w:t>B. burgdorferi</w:t>
            </w:r>
            <w:r>
              <w:rPr>
                <w:sz w:val="20"/>
                <w:szCs w:val="20"/>
              </w:rPr>
              <w:t xml:space="preserve">, post mortem blood test by serology. 4 of 5 patients were seropositive by IgM but not IgG WB criteria. </w:t>
            </w:r>
          </w:p>
          <w:p w14:paraId="508B14E1" w14:textId="77777777" w:rsidR="002D58E4" w:rsidRDefault="002D58E4">
            <w:pPr>
              <w:rPr>
                <w:sz w:val="20"/>
                <w:szCs w:val="20"/>
              </w:rPr>
            </w:pPr>
          </w:p>
          <w:p w14:paraId="02ACDD60" w14:textId="77777777" w:rsidR="002D58E4" w:rsidRDefault="00F721D4">
            <w:pPr>
              <w:rPr>
                <w:sz w:val="20"/>
                <w:szCs w:val="20"/>
              </w:rPr>
            </w:pPr>
            <w:r>
              <w:rPr>
                <w:sz w:val="20"/>
                <w:szCs w:val="20"/>
              </w:rPr>
              <w:t>2 of 5 cases presented with spirochetes in the leptomeninges. Spirochetes were not observed in other organs. 4 of 5 patients recalled past tick exposure.</w:t>
            </w:r>
          </w:p>
        </w:tc>
        <w:tc>
          <w:tcPr>
            <w:tcW w:w="3090" w:type="dxa"/>
            <w:tcBorders>
              <w:top w:val="single" w:sz="6" w:space="0" w:color="AEAEAE"/>
              <w:left w:val="single" w:sz="6" w:space="0" w:color="AEAEAE"/>
              <w:bottom w:val="single" w:sz="6" w:space="0" w:color="AEAEAE"/>
              <w:right w:val="single" w:sz="6" w:space="0" w:color="AEAEAE"/>
            </w:tcBorders>
            <w:vAlign w:val="center"/>
          </w:tcPr>
          <w:p w14:paraId="3CB552FD" w14:textId="77777777" w:rsidR="002D58E4" w:rsidRDefault="00F721D4">
            <w:pPr>
              <w:rPr>
                <w:sz w:val="20"/>
                <w:szCs w:val="20"/>
              </w:rPr>
            </w:pPr>
            <w:r>
              <w:rPr>
                <w:sz w:val="20"/>
                <w:szCs w:val="20"/>
              </w:rPr>
              <w:t xml:space="preserve"> 5 cases of sudden cardiac deaths were associated with Lyme carditis. All cases had similar clinical and pathological presentations suggesting a disease mechanism of spirochete cardiac tropism during early disease dissemination, infiltration of cardiac tissue by inflammatory cells, and involvement of conduction system (which could mediate sudden death).</w:t>
            </w:r>
          </w:p>
        </w:tc>
        <w:tc>
          <w:tcPr>
            <w:tcW w:w="2863"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33D86B6" w14:textId="77777777" w:rsidR="002D58E4" w:rsidRDefault="00F721D4">
            <w:pPr>
              <w:rPr>
                <w:sz w:val="20"/>
                <w:szCs w:val="20"/>
              </w:rPr>
            </w:pPr>
            <w:r>
              <w:rPr>
                <w:sz w:val="20"/>
                <w:szCs w:val="20"/>
              </w:rPr>
              <w:t xml:space="preserve">4 of 5 patients who died were male, at a median age of 28 years. </w:t>
            </w:r>
          </w:p>
        </w:tc>
        <w:tc>
          <w:tcPr>
            <w:tcW w:w="2552" w:type="dxa"/>
            <w:tcBorders>
              <w:top w:val="single" w:sz="6" w:space="0" w:color="AEAEAE"/>
              <w:left w:val="single" w:sz="6" w:space="0" w:color="AEAEAE"/>
              <w:bottom w:val="single" w:sz="6" w:space="0" w:color="AEAEAE"/>
              <w:right w:val="single" w:sz="6" w:space="0" w:color="AEAEAE"/>
            </w:tcBorders>
            <w:vAlign w:val="center"/>
          </w:tcPr>
          <w:p w14:paraId="3A65B395" w14:textId="77777777" w:rsidR="002D58E4" w:rsidRDefault="002D58E4">
            <w:pPr>
              <w:rPr>
                <w:sz w:val="20"/>
                <w:szCs w:val="20"/>
              </w:rPr>
            </w:pPr>
          </w:p>
          <w:p w14:paraId="6AA72F32" w14:textId="77777777" w:rsidR="002D58E4" w:rsidRDefault="00F721D4">
            <w:pPr>
              <w:rPr>
                <w:sz w:val="20"/>
                <w:szCs w:val="20"/>
              </w:rPr>
            </w:pPr>
            <w:r>
              <w:rPr>
                <w:sz w:val="20"/>
                <w:szCs w:val="20"/>
              </w:rPr>
              <w:t>Underlying heart disease might be an additional risk factor for Lyme carditis.</w:t>
            </w:r>
          </w:p>
          <w:p w14:paraId="2ACA89BA" w14:textId="77777777" w:rsidR="002D58E4" w:rsidRDefault="002D58E4">
            <w:pPr>
              <w:rPr>
                <w:sz w:val="20"/>
                <w:szCs w:val="20"/>
              </w:rPr>
            </w:pPr>
          </w:p>
          <w:p w14:paraId="37126203" w14:textId="77777777" w:rsidR="002D58E4" w:rsidRDefault="00F721D4">
            <w:pPr>
              <w:rPr>
                <w:sz w:val="20"/>
                <w:szCs w:val="20"/>
              </w:rPr>
            </w:pPr>
            <w:r>
              <w:rPr>
                <w:sz w:val="20"/>
                <w:szCs w:val="20"/>
              </w:rPr>
              <w:t>Healthcare professionals should evaluate all patients with suspected Lyme disease for cardiac signs and symptoms and obtain electrocardiogram promptly if carditis is suspected.</w:t>
            </w:r>
          </w:p>
          <w:p w14:paraId="5746E4D4" w14:textId="77777777" w:rsidR="002D58E4" w:rsidRDefault="002D58E4">
            <w:pPr>
              <w:rPr>
                <w:sz w:val="20"/>
                <w:szCs w:val="20"/>
              </w:rPr>
            </w:pPr>
          </w:p>
        </w:tc>
      </w:tr>
    </w:tbl>
    <w:p w14:paraId="16DBFECE" w14:textId="77777777" w:rsidR="002D58E4" w:rsidRDefault="00F721D4">
      <w:pPr>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10CAE893" w14:textId="77777777" w:rsidR="002D58E4" w:rsidRDefault="00F721D4">
      <w:pPr>
        <w:widowControl w:val="0"/>
        <w:pBdr>
          <w:top w:val="nil"/>
          <w:left w:val="nil"/>
          <w:bottom w:val="nil"/>
          <w:right w:val="nil"/>
          <w:between w:val="nil"/>
        </w:pBdr>
        <w:spacing w:after="0"/>
        <w:sectPr w:rsidR="002D58E4" w:rsidSect="002305C5">
          <w:type w:val="continuous"/>
          <w:pgSz w:w="15840" w:h="12240"/>
          <w:pgMar w:top="720" w:right="531" w:bottom="720" w:left="720" w:header="720" w:footer="720" w:gutter="0"/>
          <w:cols w:space="720" w:equalWidth="0">
            <w:col w:w="14589"/>
          </w:cols>
        </w:sectPr>
      </w:pPr>
      <w:r>
        <w:br w:type="page"/>
      </w:r>
    </w:p>
    <w:p w14:paraId="53490AAB" w14:textId="77777777" w:rsidR="002D58E4" w:rsidRDefault="002D58E4">
      <w:pPr>
        <w:widowControl w:val="0"/>
        <w:pBdr>
          <w:top w:val="nil"/>
          <w:left w:val="nil"/>
          <w:bottom w:val="nil"/>
          <w:right w:val="nil"/>
          <w:between w:val="nil"/>
        </w:pBdr>
        <w:spacing w:after="0"/>
      </w:pPr>
    </w:p>
    <w:tbl>
      <w:tblPr>
        <w:tblStyle w:val="affa"/>
        <w:tblW w:w="14601" w:type="dxa"/>
        <w:tblLayout w:type="fixed"/>
        <w:tblLook w:val="0600" w:firstRow="0" w:lastRow="0" w:firstColumn="0" w:lastColumn="0" w:noHBand="1" w:noVBand="1"/>
      </w:tblPr>
      <w:tblGrid>
        <w:gridCol w:w="1080"/>
        <w:gridCol w:w="900"/>
        <w:gridCol w:w="630"/>
        <w:gridCol w:w="3344"/>
        <w:gridCol w:w="3118"/>
        <w:gridCol w:w="2127"/>
        <w:gridCol w:w="3402"/>
      </w:tblGrid>
      <w:tr w:rsidR="002D58E4" w14:paraId="150FADC5" w14:textId="77777777" w:rsidTr="00E14B2B">
        <w:trPr>
          <w:trHeight w:val="500"/>
        </w:trPr>
        <w:tc>
          <w:tcPr>
            <w:tcW w:w="14601" w:type="dxa"/>
            <w:gridSpan w:val="7"/>
            <w:tcBorders>
              <w:bottom w:val="single" w:sz="6" w:space="0" w:color="AEAEAE"/>
            </w:tcBorders>
            <w:shd w:val="clear" w:color="auto" w:fill="auto"/>
            <w:tcMar>
              <w:top w:w="15" w:type="dxa"/>
              <w:left w:w="30" w:type="dxa"/>
              <w:bottom w:w="0" w:type="dxa"/>
              <w:right w:w="30" w:type="dxa"/>
            </w:tcMar>
          </w:tcPr>
          <w:p w14:paraId="342B35F6" w14:textId="4B8294E3" w:rsidR="002D58E4" w:rsidRDefault="008D091E">
            <w:pPr>
              <w:rPr>
                <w:b/>
                <w:sz w:val="32"/>
                <w:szCs w:val="32"/>
              </w:rPr>
            </w:pPr>
            <w:bookmarkStart w:id="22" w:name="_2jxsxqh" w:colFirst="0" w:colLast="0"/>
            <w:bookmarkEnd w:id="22"/>
            <w:r>
              <w:rPr>
                <w:b/>
                <w:sz w:val="32"/>
                <w:szCs w:val="32"/>
              </w:rPr>
              <w:t>XVIII</w:t>
            </w:r>
            <w:r w:rsidR="00F721D4">
              <w:rPr>
                <w:b/>
                <w:sz w:val="32"/>
                <w:szCs w:val="32"/>
              </w:rPr>
              <w:t>. What pacing modality should be used for the management of Lyme carditis?</w:t>
            </w:r>
          </w:p>
          <w:p w14:paraId="78C1F129" w14:textId="77777777" w:rsidR="002D58E4" w:rsidRDefault="002D58E4">
            <w:pPr>
              <w:rPr>
                <w:b/>
                <w:color w:val="000000"/>
                <w:sz w:val="18"/>
                <w:szCs w:val="18"/>
              </w:rPr>
            </w:pPr>
          </w:p>
          <w:p w14:paraId="7B0D8B7B" w14:textId="77777777" w:rsidR="002D58E4" w:rsidRDefault="00F721D4">
            <w:pPr>
              <w:rPr>
                <w:color w:val="000000"/>
                <w:sz w:val="18"/>
                <w:szCs w:val="18"/>
              </w:rPr>
            </w:pPr>
            <w:r>
              <w:rPr>
                <w:b/>
                <w:color w:val="000000"/>
                <w:sz w:val="18"/>
                <w:szCs w:val="18"/>
              </w:rPr>
              <w:t>Bibliography</w:t>
            </w:r>
            <w:r>
              <w:rPr>
                <w:color w:val="000000"/>
                <w:sz w:val="18"/>
                <w:szCs w:val="18"/>
              </w:rPr>
              <w:t xml:space="preserve">: 1. Steere, et al. Ann Intern Med. 1980 Jul; 93(1): 8-16; 2.McAlister, et al. Ann Intern Med. 1989 Mar 1; 110(5): 339-45; 3. </w:t>
            </w:r>
            <w:r w:rsidRPr="002914A2">
              <w:rPr>
                <w:color w:val="000000"/>
                <w:sz w:val="18"/>
                <w:szCs w:val="18"/>
                <w:lang w:val="fr-CA"/>
              </w:rPr>
              <w:t xml:space="preserve">Van der Linde, et al. Scand J Infect Dis Suppl. </w:t>
            </w:r>
            <w:r>
              <w:rPr>
                <w:color w:val="000000"/>
                <w:sz w:val="18"/>
                <w:szCs w:val="18"/>
              </w:rPr>
              <w:t>1991; 77: 81-4; 4. Costello, et al. Pediatrics. 2009 May; 123(5): e835-41; 5. Forrester, et al. Clin Infect Dis. 2014 Oct; 59 (7):996-1000.</w:t>
            </w:r>
          </w:p>
          <w:p w14:paraId="434DA715" w14:textId="04423590" w:rsidR="00171735" w:rsidRDefault="00171735">
            <w:pPr>
              <w:rPr>
                <w:b/>
                <w:color w:val="000000"/>
                <w:sz w:val="20"/>
                <w:szCs w:val="20"/>
              </w:rPr>
            </w:pPr>
          </w:p>
        </w:tc>
      </w:tr>
      <w:tr w:rsidR="002D58E4" w14:paraId="6069B8FF" w14:textId="77777777" w:rsidTr="00E14B2B">
        <w:trPr>
          <w:trHeight w:val="500"/>
        </w:trPr>
        <w:tc>
          <w:tcPr>
            <w:tcW w:w="108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158A0994" w14:textId="77777777" w:rsidR="002D58E4" w:rsidRDefault="00F721D4">
            <w:pPr>
              <w:jc w:val="center"/>
              <w:rPr>
                <w:sz w:val="20"/>
                <w:szCs w:val="20"/>
              </w:rPr>
            </w:pPr>
            <w:r>
              <w:rPr>
                <w:b/>
                <w:color w:val="000000"/>
                <w:sz w:val="20"/>
                <w:szCs w:val="20"/>
              </w:rPr>
              <w:t>Study and Location</w:t>
            </w:r>
          </w:p>
        </w:tc>
        <w:tc>
          <w:tcPr>
            <w:tcW w:w="900" w:type="dxa"/>
            <w:tcBorders>
              <w:top w:val="single" w:sz="6" w:space="0" w:color="AEAEAE"/>
              <w:left w:val="single" w:sz="6" w:space="0" w:color="AEAEAE"/>
              <w:bottom w:val="single" w:sz="6" w:space="0" w:color="AEAEAE"/>
              <w:right w:val="single" w:sz="6" w:space="0" w:color="AEAEAE"/>
            </w:tcBorders>
            <w:shd w:val="clear" w:color="auto" w:fill="D9D9D9"/>
          </w:tcPr>
          <w:p w14:paraId="6B9E3048"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2EAF18DE" w14:textId="77777777" w:rsidR="002D58E4" w:rsidRDefault="00F721D4">
            <w:pPr>
              <w:jc w:val="center"/>
              <w:rPr>
                <w:b/>
                <w:color w:val="000000"/>
                <w:sz w:val="20"/>
                <w:szCs w:val="20"/>
              </w:rPr>
            </w:pPr>
            <w:r>
              <w:rPr>
                <w:b/>
                <w:color w:val="000000"/>
                <w:sz w:val="20"/>
                <w:szCs w:val="20"/>
              </w:rPr>
              <w:t>Risk of bias*</w:t>
            </w:r>
          </w:p>
        </w:tc>
        <w:tc>
          <w:tcPr>
            <w:tcW w:w="3344" w:type="dxa"/>
            <w:tcBorders>
              <w:top w:val="single" w:sz="6" w:space="0" w:color="AEAEAE"/>
              <w:left w:val="single" w:sz="6" w:space="0" w:color="AEAEAE"/>
              <w:bottom w:val="single" w:sz="6" w:space="0" w:color="AEAEAE"/>
              <w:right w:val="single" w:sz="6" w:space="0" w:color="AEAEAE"/>
            </w:tcBorders>
            <w:shd w:val="clear" w:color="auto" w:fill="D9D9D9"/>
          </w:tcPr>
          <w:p w14:paraId="0E59C6E8" w14:textId="77777777" w:rsidR="002D58E4" w:rsidRDefault="00F721D4">
            <w:pPr>
              <w:jc w:val="center"/>
              <w:rPr>
                <w:b/>
                <w:color w:val="000000"/>
                <w:sz w:val="20"/>
                <w:szCs w:val="20"/>
              </w:rPr>
            </w:pPr>
            <w:r>
              <w:rPr>
                <w:b/>
                <w:color w:val="000000"/>
                <w:sz w:val="20"/>
                <w:szCs w:val="20"/>
              </w:rPr>
              <w:t>Lyme Disease Diagnosis method; Lyme disease characteristics</w:t>
            </w:r>
          </w:p>
        </w:tc>
        <w:tc>
          <w:tcPr>
            <w:tcW w:w="3118" w:type="dxa"/>
            <w:tcBorders>
              <w:top w:val="single" w:sz="6" w:space="0" w:color="AEAEAE"/>
              <w:left w:val="single" w:sz="6" w:space="0" w:color="AEAEAE"/>
              <w:bottom w:val="single" w:sz="6" w:space="0" w:color="AEAEAE"/>
              <w:right w:val="single" w:sz="6" w:space="0" w:color="AEAEAE"/>
            </w:tcBorders>
            <w:shd w:val="clear" w:color="auto" w:fill="D9D9D9"/>
          </w:tcPr>
          <w:p w14:paraId="253065FC" w14:textId="77777777" w:rsidR="002D58E4" w:rsidRDefault="00F721D4">
            <w:pPr>
              <w:jc w:val="center"/>
              <w:rPr>
                <w:b/>
                <w:color w:val="000000"/>
                <w:sz w:val="20"/>
                <w:szCs w:val="20"/>
              </w:rPr>
            </w:pPr>
            <w:r>
              <w:rPr>
                <w:b/>
                <w:color w:val="000000"/>
                <w:sz w:val="20"/>
                <w:szCs w:val="20"/>
              </w:rPr>
              <w:t>Cardiac presentation description (if applicable)</w:t>
            </w:r>
          </w:p>
        </w:tc>
        <w:tc>
          <w:tcPr>
            <w:tcW w:w="2127" w:type="dxa"/>
            <w:tcBorders>
              <w:top w:val="single" w:sz="6" w:space="0" w:color="AEAEAE"/>
              <w:left w:val="single" w:sz="6" w:space="0" w:color="AEAEAE"/>
              <w:bottom w:val="single" w:sz="6" w:space="0" w:color="AEAEAE"/>
              <w:right w:val="single" w:sz="6" w:space="0" w:color="AEAEAE"/>
            </w:tcBorders>
            <w:shd w:val="clear" w:color="auto" w:fill="D9D9D9"/>
          </w:tcPr>
          <w:p w14:paraId="4CC534C3" w14:textId="77777777" w:rsidR="002D58E4" w:rsidRDefault="00F721D4">
            <w:pPr>
              <w:jc w:val="center"/>
              <w:rPr>
                <w:sz w:val="20"/>
                <w:szCs w:val="20"/>
              </w:rPr>
            </w:pPr>
            <w:r>
              <w:rPr>
                <w:b/>
                <w:color w:val="000000"/>
                <w:sz w:val="20"/>
                <w:szCs w:val="20"/>
              </w:rPr>
              <w:t>% Patients who received a pacemaker, % Temporary</w:t>
            </w:r>
          </w:p>
        </w:tc>
        <w:tc>
          <w:tcPr>
            <w:tcW w:w="3402" w:type="dxa"/>
            <w:tcBorders>
              <w:top w:val="single" w:sz="6" w:space="0" w:color="AEAEAE"/>
              <w:left w:val="single" w:sz="6" w:space="0" w:color="AEAEAE"/>
              <w:bottom w:val="single" w:sz="6" w:space="0" w:color="AEAEAE"/>
              <w:right w:val="single" w:sz="6" w:space="0" w:color="AEAEAE"/>
            </w:tcBorders>
            <w:shd w:val="clear" w:color="auto" w:fill="D9D9D9"/>
          </w:tcPr>
          <w:p w14:paraId="4485E9DE" w14:textId="77777777" w:rsidR="002D58E4" w:rsidRDefault="00F721D4">
            <w:pPr>
              <w:jc w:val="center"/>
              <w:rPr>
                <w:b/>
                <w:color w:val="000000"/>
                <w:sz w:val="20"/>
                <w:szCs w:val="20"/>
              </w:rPr>
            </w:pPr>
            <w:r>
              <w:rPr>
                <w:b/>
                <w:color w:val="000000"/>
                <w:sz w:val="20"/>
                <w:szCs w:val="20"/>
              </w:rPr>
              <w:t>Treatment course and Study conclusions</w:t>
            </w:r>
          </w:p>
        </w:tc>
      </w:tr>
      <w:tr w:rsidR="002D58E4" w14:paraId="5060D20E" w14:textId="77777777" w:rsidTr="00E14B2B">
        <w:trPr>
          <w:trHeight w:val="12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2EAF630" w14:textId="77777777" w:rsidR="002D58E4" w:rsidRDefault="00F721D4">
            <w:pPr>
              <w:spacing w:after="120"/>
              <w:rPr>
                <w:sz w:val="20"/>
                <w:szCs w:val="20"/>
              </w:rPr>
            </w:pPr>
            <w:r>
              <w:rPr>
                <w:sz w:val="20"/>
                <w:szCs w:val="20"/>
              </w:rPr>
              <w:t>Steere, 1980</w:t>
            </w:r>
          </w:p>
          <w:p w14:paraId="1AF36A54" w14:textId="77777777" w:rsidR="002D58E4" w:rsidRDefault="002D58E4">
            <w:pPr>
              <w:spacing w:after="120"/>
              <w:rPr>
                <w:sz w:val="20"/>
                <w:szCs w:val="20"/>
              </w:rPr>
            </w:pPr>
          </w:p>
          <w:p w14:paraId="0742D8A8" w14:textId="77777777" w:rsidR="002D58E4" w:rsidRDefault="00F721D4">
            <w:pPr>
              <w:spacing w:after="120"/>
              <w:rPr>
                <w:sz w:val="20"/>
                <w:szCs w:val="20"/>
              </w:rPr>
            </w:pPr>
            <w:r>
              <w:rPr>
                <w:sz w:val="20"/>
                <w:szCs w:val="20"/>
              </w:rPr>
              <w:t>New Haven, CT</w:t>
            </w:r>
          </w:p>
        </w:tc>
        <w:tc>
          <w:tcPr>
            <w:tcW w:w="900" w:type="dxa"/>
            <w:tcBorders>
              <w:top w:val="single" w:sz="6" w:space="0" w:color="AEAEAE"/>
              <w:left w:val="single" w:sz="6" w:space="0" w:color="AEAEAE"/>
              <w:bottom w:val="single" w:sz="6" w:space="0" w:color="AEAEAE"/>
              <w:right w:val="single" w:sz="6" w:space="0" w:color="AEAEAE"/>
            </w:tcBorders>
            <w:vAlign w:val="center"/>
          </w:tcPr>
          <w:p w14:paraId="2A7E6B17" w14:textId="77777777" w:rsidR="002D58E4" w:rsidRDefault="00F721D4">
            <w:pPr>
              <w:spacing w:after="120"/>
              <w:rPr>
                <w:sz w:val="20"/>
                <w:szCs w:val="20"/>
              </w:rPr>
            </w:pPr>
            <w:r>
              <w:rPr>
                <w:sz w:val="20"/>
                <w:szCs w:val="20"/>
              </w:rPr>
              <w:t xml:space="preserve">Case series (20 cases) </w:t>
            </w:r>
          </w:p>
        </w:tc>
        <w:tc>
          <w:tcPr>
            <w:tcW w:w="630" w:type="dxa"/>
            <w:tcBorders>
              <w:top w:val="single" w:sz="6" w:space="0" w:color="AEAEAE"/>
              <w:left w:val="single" w:sz="6" w:space="0" w:color="AEAEAE"/>
              <w:bottom w:val="single" w:sz="6" w:space="0" w:color="AEAEAE"/>
              <w:right w:val="single" w:sz="6" w:space="0" w:color="AEAEAE"/>
            </w:tcBorders>
            <w:vAlign w:val="center"/>
          </w:tcPr>
          <w:p w14:paraId="4EDF24D3" w14:textId="77777777" w:rsidR="002D58E4" w:rsidRDefault="00F721D4">
            <w:pPr>
              <w:spacing w:after="120"/>
              <w:jc w:val="center"/>
              <w:rPr>
                <w:sz w:val="20"/>
                <w:szCs w:val="20"/>
              </w:rPr>
            </w:pPr>
            <w:r>
              <w:rPr>
                <w:sz w:val="20"/>
                <w:szCs w:val="20"/>
              </w:rPr>
              <w:t>NA</w:t>
            </w:r>
          </w:p>
        </w:tc>
        <w:tc>
          <w:tcPr>
            <w:tcW w:w="3344" w:type="dxa"/>
            <w:tcBorders>
              <w:top w:val="single" w:sz="6" w:space="0" w:color="AEAEAE"/>
              <w:left w:val="single" w:sz="6" w:space="0" w:color="AEAEAE"/>
              <w:bottom w:val="single" w:sz="6" w:space="0" w:color="AEAEAE"/>
              <w:right w:val="single" w:sz="6" w:space="0" w:color="AEAEAE"/>
            </w:tcBorders>
            <w:vAlign w:val="center"/>
          </w:tcPr>
          <w:p w14:paraId="619499D4" w14:textId="77777777" w:rsidR="002D58E4" w:rsidRDefault="00F721D4">
            <w:pPr>
              <w:spacing w:after="120"/>
              <w:rPr>
                <w:sz w:val="20"/>
                <w:szCs w:val="20"/>
              </w:rPr>
            </w:pPr>
            <w:r>
              <w:rPr>
                <w:sz w:val="20"/>
                <w:szCs w:val="20"/>
              </w:rPr>
              <w:t>19 of 20 patients (age range: 6-58 years) were diagnosed with Lyme disease by erythema migrans. 14 had elevated serum IgM levels.</w:t>
            </w:r>
          </w:p>
          <w:p w14:paraId="1CDE386E" w14:textId="77777777" w:rsidR="002D58E4" w:rsidRDefault="00F721D4">
            <w:pPr>
              <w:spacing w:after="120"/>
              <w:rPr>
                <w:sz w:val="20"/>
                <w:szCs w:val="20"/>
              </w:rPr>
            </w:pPr>
            <w:r>
              <w:rPr>
                <w:sz w:val="20"/>
                <w:szCs w:val="20"/>
              </w:rPr>
              <w:t>At the time of presentation of cardiac symptoms, 15 patients had skin lesions, 10 were febrile, 7 patients had neurologic manifestations, and 13 patients had joint involvement.</w:t>
            </w:r>
          </w:p>
        </w:tc>
        <w:tc>
          <w:tcPr>
            <w:tcW w:w="3118" w:type="dxa"/>
            <w:tcBorders>
              <w:top w:val="single" w:sz="6" w:space="0" w:color="AEAEAE"/>
              <w:left w:val="single" w:sz="6" w:space="0" w:color="AEAEAE"/>
              <w:bottom w:val="single" w:sz="6" w:space="0" w:color="AEAEAE"/>
              <w:right w:val="single" w:sz="6" w:space="0" w:color="AEAEAE"/>
            </w:tcBorders>
            <w:vAlign w:val="center"/>
          </w:tcPr>
          <w:p w14:paraId="14278258" w14:textId="77777777" w:rsidR="002D58E4" w:rsidRDefault="00F721D4">
            <w:pPr>
              <w:spacing w:after="120"/>
              <w:rPr>
                <w:sz w:val="20"/>
                <w:szCs w:val="20"/>
              </w:rPr>
            </w:pPr>
            <w:r>
              <w:rPr>
                <w:sz w:val="20"/>
                <w:szCs w:val="20"/>
              </w:rPr>
              <w:t>Eighteen of the 20 patients had AV block; 10 of them with high degree AV block developed symptoms of cardiac involvement (8 of these patients had a complete block). Some patients went from first-degree to complete block and back within minutes.</w:t>
            </w:r>
          </w:p>
          <w:p w14:paraId="4AC02E27" w14:textId="77777777" w:rsidR="002D58E4" w:rsidRDefault="00F721D4">
            <w:pPr>
              <w:spacing w:after="120"/>
              <w:rPr>
                <w:sz w:val="20"/>
                <w:szCs w:val="20"/>
              </w:rPr>
            </w:pPr>
            <w:r>
              <w:rPr>
                <w:sz w:val="20"/>
                <w:szCs w:val="20"/>
              </w:rPr>
              <w:t>Duration of cardiac involvement typically ranged from 3 days to 6 weeks.</w:t>
            </w:r>
          </w:p>
        </w:tc>
        <w:tc>
          <w:tcPr>
            <w:tcW w:w="2127" w:type="dxa"/>
            <w:tcBorders>
              <w:top w:val="single" w:sz="6" w:space="0" w:color="AEAEAE"/>
              <w:left w:val="single" w:sz="6" w:space="0" w:color="AEAEAE"/>
              <w:bottom w:val="single" w:sz="6" w:space="0" w:color="AEAEAE"/>
              <w:right w:val="single" w:sz="6" w:space="0" w:color="AEAEAE"/>
            </w:tcBorders>
            <w:vAlign w:val="center"/>
          </w:tcPr>
          <w:p w14:paraId="49B7733F" w14:textId="77777777" w:rsidR="002D58E4" w:rsidRDefault="00F721D4">
            <w:pPr>
              <w:spacing w:after="120"/>
              <w:rPr>
                <w:sz w:val="20"/>
                <w:szCs w:val="20"/>
              </w:rPr>
            </w:pPr>
            <w:r>
              <w:rPr>
                <w:sz w:val="20"/>
                <w:szCs w:val="20"/>
              </w:rPr>
              <w:t>Six of the 8 patients with complete heart block had temporary transvenous pacemakers inserted.</w:t>
            </w:r>
          </w:p>
        </w:tc>
        <w:tc>
          <w:tcPr>
            <w:tcW w:w="3402" w:type="dxa"/>
            <w:tcBorders>
              <w:top w:val="single" w:sz="6" w:space="0" w:color="AEAEAE"/>
              <w:left w:val="single" w:sz="6" w:space="0" w:color="AEAEAE"/>
              <w:bottom w:val="single" w:sz="6" w:space="0" w:color="AEAEAE"/>
              <w:right w:val="single" w:sz="6" w:space="0" w:color="AEAEAE"/>
            </w:tcBorders>
            <w:vAlign w:val="center"/>
          </w:tcPr>
          <w:p w14:paraId="1DCD1300" w14:textId="77777777" w:rsidR="002D58E4" w:rsidRDefault="00F721D4">
            <w:pPr>
              <w:spacing w:after="120"/>
              <w:rPr>
                <w:sz w:val="20"/>
                <w:szCs w:val="20"/>
              </w:rPr>
            </w:pPr>
            <w:r>
              <w:rPr>
                <w:sz w:val="20"/>
                <w:szCs w:val="20"/>
              </w:rPr>
              <w:t>20 of 20 patients had improvement in degree of block within 24-48 hours. 19 of 20 patients had complete resolution of symptoms within 1-2 weeks. In all 6 patients who received pacemakers, the pacemakers were removed within 1 week.</w:t>
            </w:r>
          </w:p>
          <w:p w14:paraId="5F5EBC0B" w14:textId="77777777" w:rsidR="002D58E4" w:rsidRDefault="00F721D4">
            <w:pPr>
              <w:spacing w:after="120"/>
              <w:rPr>
                <w:sz w:val="20"/>
                <w:szCs w:val="20"/>
              </w:rPr>
            </w:pPr>
            <w:r>
              <w:rPr>
                <w:sz w:val="20"/>
                <w:szCs w:val="20"/>
              </w:rPr>
              <w:t>In patients with complete heart block, the authors suggested pacemaker and aspirin as the treatments of choice.</w:t>
            </w:r>
          </w:p>
        </w:tc>
      </w:tr>
      <w:tr w:rsidR="002D58E4" w14:paraId="2334D2D3" w14:textId="77777777" w:rsidTr="00E14B2B">
        <w:trPr>
          <w:trHeight w:val="278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D6737AE" w14:textId="77777777" w:rsidR="002D58E4" w:rsidRDefault="00F721D4">
            <w:pPr>
              <w:spacing w:after="120"/>
              <w:rPr>
                <w:sz w:val="20"/>
                <w:szCs w:val="20"/>
              </w:rPr>
            </w:pPr>
            <w:r>
              <w:rPr>
                <w:sz w:val="20"/>
                <w:szCs w:val="20"/>
              </w:rPr>
              <w:t>McAlister, 1989</w:t>
            </w:r>
          </w:p>
          <w:p w14:paraId="6BCFEAD2" w14:textId="77777777" w:rsidR="002D58E4" w:rsidRDefault="002D58E4">
            <w:pPr>
              <w:spacing w:after="120"/>
              <w:rPr>
                <w:sz w:val="20"/>
                <w:szCs w:val="20"/>
              </w:rPr>
            </w:pPr>
          </w:p>
          <w:p w14:paraId="2270679D" w14:textId="77777777" w:rsidR="002D58E4" w:rsidRDefault="00F721D4">
            <w:pPr>
              <w:spacing w:after="120"/>
              <w:rPr>
                <w:sz w:val="20"/>
                <w:szCs w:val="20"/>
              </w:rPr>
            </w:pPr>
            <w:r>
              <w:rPr>
                <w:sz w:val="20"/>
                <w:szCs w:val="20"/>
              </w:rPr>
              <w:t>New York City, NY</w:t>
            </w:r>
          </w:p>
        </w:tc>
        <w:tc>
          <w:tcPr>
            <w:tcW w:w="900" w:type="dxa"/>
            <w:tcBorders>
              <w:top w:val="single" w:sz="6" w:space="0" w:color="AEAEAE"/>
              <w:left w:val="single" w:sz="6" w:space="0" w:color="AEAEAE"/>
              <w:bottom w:val="single" w:sz="6" w:space="0" w:color="AEAEAE"/>
              <w:right w:val="single" w:sz="6" w:space="0" w:color="AEAEAE"/>
            </w:tcBorders>
            <w:vAlign w:val="center"/>
          </w:tcPr>
          <w:p w14:paraId="4D43A61C" w14:textId="77777777" w:rsidR="002D58E4" w:rsidRDefault="00F721D4">
            <w:pPr>
              <w:spacing w:after="120"/>
              <w:rPr>
                <w:sz w:val="20"/>
                <w:szCs w:val="20"/>
              </w:rPr>
            </w:pPr>
            <w:r>
              <w:rPr>
                <w:sz w:val="20"/>
                <w:szCs w:val="20"/>
              </w:rPr>
              <w:t>Case series (4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3748633A" w14:textId="77777777" w:rsidR="002D58E4" w:rsidRDefault="00F721D4">
            <w:pPr>
              <w:spacing w:after="120"/>
              <w:jc w:val="center"/>
              <w:rPr>
                <w:sz w:val="20"/>
                <w:szCs w:val="20"/>
              </w:rPr>
            </w:pPr>
            <w:r>
              <w:rPr>
                <w:sz w:val="20"/>
                <w:szCs w:val="20"/>
              </w:rPr>
              <w:t>NA</w:t>
            </w:r>
          </w:p>
        </w:tc>
        <w:tc>
          <w:tcPr>
            <w:tcW w:w="3344" w:type="dxa"/>
            <w:tcBorders>
              <w:top w:val="single" w:sz="6" w:space="0" w:color="AEAEAE"/>
              <w:left w:val="single" w:sz="6" w:space="0" w:color="AEAEAE"/>
              <w:bottom w:val="single" w:sz="6" w:space="0" w:color="AEAEAE"/>
              <w:right w:val="single" w:sz="6" w:space="0" w:color="AEAEAE"/>
            </w:tcBorders>
            <w:vAlign w:val="center"/>
          </w:tcPr>
          <w:p w14:paraId="6F1386DA" w14:textId="77777777" w:rsidR="002D58E4" w:rsidRDefault="00F721D4">
            <w:pPr>
              <w:spacing w:after="120"/>
              <w:rPr>
                <w:sz w:val="20"/>
                <w:szCs w:val="20"/>
              </w:rPr>
            </w:pPr>
            <w:r>
              <w:rPr>
                <w:sz w:val="20"/>
                <w:szCs w:val="20"/>
              </w:rPr>
              <w:t>4 serologically confirmed cases of Lyme carditis (all male, mean age 45). All patients lived in endemic regions. Patients were serologically confirmed for Lyme disease by ELISA. Only 1 patient recalled a tick bite and recalled a rash resembling erythema migrans. Another patient had noticed large welts on his back and had experienced some convulsive episodes in addition to cardiac symptoms. The other two patients noted no typical symptoms of Lyme, and reported headache, dyspnea, and lightheadedness.</w:t>
            </w:r>
          </w:p>
        </w:tc>
        <w:tc>
          <w:tcPr>
            <w:tcW w:w="3118" w:type="dxa"/>
            <w:tcBorders>
              <w:top w:val="single" w:sz="6" w:space="0" w:color="AEAEAE"/>
              <w:left w:val="single" w:sz="6" w:space="0" w:color="AEAEAE"/>
              <w:bottom w:val="single" w:sz="6" w:space="0" w:color="AEAEAE"/>
              <w:right w:val="single" w:sz="6" w:space="0" w:color="AEAEAE"/>
            </w:tcBorders>
            <w:vAlign w:val="center"/>
          </w:tcPr>
          <w:p w14:paraId="5B2950C8" w14:textId="77777777" w:rsidR="002D58E4" w:rsidRDefault="002D58E4">
            <w:pPr>
              <w:rPr>
                <w:sz w:val="20"/>
                <w:szCs w:val="20"/>
              </w:rPr>
            </w:pPr>
          </w:p>
          <w:p w14:paraId="5B0CDE99" w14:textId="77777777" w:rsidR="002D58E4" w:rsidRDefault="00F721D4">
            <w:pPr>
              <w:rPr>
                <w:sz w:val="20"/>
                <w:szCs w:val="20"/>
              </w:rPr>
            </w:pPr>
            <w:r>
              <w:rPr>
                <w:sz w:val="20"/>
                <w:szCs w:val="20"/>
              </w:rPr>
              <w:t xml:space="preserve">100% of cases had severe symptomatic atrioventricular block, 75% (3 of 4) had episodes of prolonged ventricular asystole. 87% (45 of 52) of cases reported had documented atrioventricular block, 53% (28 of 52) were complete or high-grade atrioventricular block and most were symptomatic. </w:t>
            </w:r>
          </w:p>
          <w:p w14:paraId="17C47A89" w14:textId="77777777" w:rsidR="002D58E4" w:rsidRDefault="002D58E4">
            <w:pPr>
              <w:spacing w:after="120"/>
              <w:rPr>
                <w:sz w:val="20"/>
                <w:szCs w:val="20"/>
              </w:rPr>
            </w:pPr>
          </w:p>
          <w:p w14:paraId="679DA346" w14:textId="77777777" w:rsidR="002D58E4" w:rsidRDefault="002D58E4">
            <w:pPr>
              <w:spacing w:after="120"/>
              <w:rPr>
                <w:sz w:val="20"/>
                <w:szCs w:val="20"/>
              </w:rPr>
            </w:pPr>
          </w:p>
        </w:tc>
        <w:tc>
          <w:tcPr>
            <w:tcW w:w="2127" w:type="dxa"/>
            <w:tcBorders>
              <w:top w:val="single" w:sz="6" w:space="0" w:color="AEAEAE"/>
              <w:left w:val="single" w:sz="6" w:space="0" w:color="AEAEAE"/>
              <w:bottom w:val="single" w:sz="6" w:space="0" w:color="AEAEAE"/>
              <w:right w:val="single" w:sz="6" w:space="0" w:color="AEAEAE"/>
            </w:tcBorders>
            <w:vAlign w:val="center"/>
          </w:tcPr>
          <w:p w14:paraId="258D958A" w14:textId="77777777" w:rsidR="002D58E4" w:rsidRDefault="00F721D4">
            <w:pPr>
              <w:spacing w:after="120"/>
              <w:rPr>
                <w:sz w:val="20"/>
                <w:szCs w:val="20"/>
              </w:rPr>
            </w:pPr>
            <w:r>
              <w:rPr>
                <w:sz w:val="20"/>
                <w:szCs w:val="20"/>
              </w:rPr>
              <w:t xml:space="preserve">50% (2 of 4) had permanent pacemakers implanted (one later removed). </w:t>
            </w:r>
          </w:p>
        </w:tc>
        <w:tc>
          <w:tcPr>
            <w:tcW w:w="3402" w:type="dxa"/>
            <w:tcBorders>
              <w:top w:val="single" w:sz="6" w:space="0" w:color="AEAEAE"/>
              <w:left w:val="single" w:sz="6" w:space="0" w:color="AEAEAE"/>
              <w:bottom w:val="single" w:sz="6" w:space="0" w:color="AEAEAE"/>
              <w:right w:val="single" w:sz="6" w:space="0" w:color="AEAEAE"/>
            </w:tcBorders>
            <w:vAlign w:val="center"/>
          </w:tcPr>
          <w:p w14:paraId="43AE9232" w14:textId="77777777" w:rsidR="002D58E4" w:rsidRDefault="00F721D4">
            <w:pPr>
              <w:rPr>
                <w:sz w:val="20"/>
                <w:szCs w:val="20"/>
              </w:rPr>
            </w:pPr>
            <w:r>
              <w:rPr>
                <w:sz w:val="20"/>
                <w:szCs w:val="20"/>
              </w:rPr>
              <w:t>Only 1 of 4 patients did not completely resolve during the follow up period (persistent 2</w:t>
            </w:r>
            <w:r>
              <w:rPr>
                <w:sz w:val="20"/>
                <w:szCs w:val="20"/>
                <w:vertAlign w:val="superscript"/>
              </w:rPr>
              <w:t>nd</w:t>
            </w:r>
            <w:r>
              <w:rPr>
                <w:sz w:val="20"/>
                <w:szCs w:val="20"/>
              </w:rPr>
              <w:t xml:space="preserve"> degree atrioventricular block 16 months post treatment). One patient experienced an adverse event due to use of a pacemaker (bacterial infection). </w:t>
            </w:r>
          </w:p>
          <w:p w14:paraId="1B2B5172" w14:textId="77777777" w:rsidR="002D58E4" w:rsidRDefault="002D58E4">
            <w:pPr>
              <w:rPr>
                <w:sz w:val="20"/>
                <w:szCs w:val="20"/>
              </w:rPr>
            </w:pPr>
          </w:p>
          <w:p w14:paraId="67E04E9D" w14:textId="77777777" w:rsidR="002D58E4" w:rsidRDefault="00F721D4">
            <w:pPr>
              <w:rPr>
                <w:sz w:val="20"/>
                <w:szCs w:val="20"/>
              </w:rPr>
            </w:pPr>
            <w:r>
              <w:rPr>
                <w:sz w:val="20"/>
                <w:szCs w:val="20"/>
              </w:rPr>
              <w:t>The authors recommend hospitalization or continuous monitoring for patients with second degree or complete atrioventricular block or first-degree block if PR interval exceeds 0.30 seconds. Patients with high-grade or complete atrioventricular block may require temporary cardiac pacing.</w:t>
            </w:r>
          </w:p>
        </w:tc>
      </w:tr>
      <w:tr w:rsidR="002D58E4" w14:paraId="0EF47A20" w14:textId="77777777" w:rsidTr="00E14B2B">
        <w:trPr>
          <w:trHeight w:val="12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C88B0CF" w14:textId="77777777" w:rsidR="002D58E4" w:rsidRDefault="002D58E4">
            <w:pPr>
              <w:spacing w:after="120"/>
              <w:rPr>
                <w:sz w:val="20"/>
                <w:szCs w:val="20"/>
              </w:rPr>
            </w:pPr>
          </w:p>
          <w:p w14:paraId="62F3CBF7" w14:textId="77777777" w:rsidR="002D58E4" w:rsidRPr="002914A2" w:rsidRDefault="00F721D4">
            <w:pPr>
              <w:spacing w:after="120"/>
              <w:rPr>
                <w:sz w:val="20"/>
                <w:szCs w:val="20"/>
                <w:lang w:val="fr-CA"/>
              </w:rPr>
            </w:pPr>
            <w:r w:rsidRPr="002914A2">
              <w:rPr>
                <w:sz w:val="20"/>
                <w:szCs w:val="20"/>
                <w:lang w:val="fr-CA"/>
              </w:rPr>
              <w:t>Van der Linde, et al., 1991</w:t>
            </w:r>
          </w:p>
          <w:p w14:paraId="3DE4A99C" w14:textId="77777777" w:rsidR="002D58E4" w:rsidRPr="002914A2" w:rsidRDefault="002D58E4">
            <w:pPr>
              <w:spacing w:after="120"/>
              <w:rPr>
                <w:sz w:val="20"/>
                <w:szCs w:val="20"/>
                <w:lang w:val="fr-CA"/>
              </w:rPr>
            </w:pPr>
          </w:p>
          <w:p w14:paraId="084B8836" w14:textId="77777777" w:rsidR="002D58E4" w:rsidRDefault="00F721D4">
            <w:pPr>
              <w:spacing w:after="120"/>
              <w:rPr>
                <w:sz w:val="20"/>
                <w:szCs w:val="20"/>
              </w:rPr>
            </w:pPr>
            <w:r>
              <w:rPr>
                <w:sz w:val="20"/>
                <w:szCs w:val="20"/>
              </w:rPr>
              <w:t>The Netherlands</w:t>
            </w:r>
          </w:p>
          <w:p w14:paraId="54B53E7B" w14:textId="77777777" w:rsidR="002D58E4" w:rsidRDefault="002D58E4">
            <w:pPr>
              <w:spacing w:after="120"/>
              <w:rPr>
                <w:sz w:val="20"/>
                <w:szCs w:val="20"/>
              </w:rPr>
            </w:pPr>
          </w:p>
        </w:tc>
        <w:tc>
          <w:tcPr>
            <w:tcW w:w="900" w:type="dxa"/>
            <w:tcBorders>
              <w:top w:val="single" w:sz="6" w:space="0" w:color="AEAEAE"/>
              <w:left w:val="single" w:sz="6" w:space="0" w:color="AEAEAE"/>
              <w:bottom w:val="single" w:sz="6" w:space="0" w:color="AEAEAE"/>
              <w:right w:val="single" w:sz="6" w:space="0" w:color="AEAEAE"/>
            </w:tcBorders>
            <w:vAlign w:val="center"/>
          </w:tcPr>
          <w:p w14:paraId="482ADDBC" w14:textId="77777777" w:rsidR="002D58E4" w:rsidRDefault="00F721D4">
            <w:pPr>
              <w:spacing w:after="120"/>
              <w:rPr>
                <w:sz w:val="20"/>
                <w:szCs w:val="20"/>
              </w:rPr>
            </w:pPr>
            <w:r>
              <w:rPr>
                <w:sz w:val="20"/>
                <w:szCs w:val="20"/>
              </w:rPr>
              <w:t>Case series (105 cases; includes McAlister 1989)</w:t>
            </w:r>
          </w:p>
        </w:tc>
        <w:tc>
          <w:tcPr>
            <w:tcW w:w="630" w:type="dxa"/>
            <w:tcBorders>
              <w:top w:val="single" w:sz="6" w:space="0" w:color="AEAEAE"/>
              <w:left w:val="single" w:sz="6" w:space="0" w:color="AEAEAE"/>
              <w:bottom w:val="single" w:sz="6" w:space="0" w:color="AEAEAE"/>
              <w:right w:val="single" w:sz="6" w:space="0" w:color="AEAEAE"/>
            </w:tcBorders>
            <w:vAlign w:val="center"/>
          </w:tcPr>
          <w:p w14:paraId="2F89421A" w14:textId="77777777" w:rsidR="002D58E4" w:rsidRDefault="00F721D4">
            <w:pPr>
              <w:spacing w:after="120"/>
              <w:jc w:val="center"/>
              <w:rPr>
                <w:sz w:val="20"/>
                <w:szCs w:val="20"/>
              </w:rPr>
            </w:pPr>
            <w:r>
              <w:rPr>
                <w:sz w:val="20"/>
                <w:szCs w:val="20"/>
              </w:rPr>
              <w:t>NA</w:t>
            </w:r>
          </w:p>
        </w:tc>
        <w:tc>
          <w:tcPr>
            <w:tcW w:w="3344" w:type="dxa"/>
            <w:tcBorders>
              <w:top w:val="single" w:sz="6" w:space="0" w:color="AEAEAE"/>
              <w:left w:val="single" w:sz="6" w:space="0" w:color="AEAEAE"/>
              <w:bottom w:val="single" w:sz="6" w:space="0" w:color="AEAEAE"/>
              <w:right w:val="single" w:sz="6" w:space="0" w:color="AEAEAE"/>
            </w:tcBorders>
            <w:vAlign w:val="center"/>
          </w:tcPr>
          <w:p w14:paraId="3FB999E4" w14:textId="77777777" w:rsidR="002D58E4" w:rsidRDefault="00F721D4">
            <w:pPr>
              <w:spacing w:after="120"/>
              <w:rPr>
                <w:sz w:val="20"/>
                <w:szCs w:val="20"/>
              </w:rPr>
            </w:pPr>
            <w:r>
              <w:rPr>
                <w:sz w:val="20"/>
                <w:szCs w:val="20"/>
              </w:rPr>
              <w:t>105 patients (39 North American and 66 European, mean age 39 years) with Lyme carditis. Diagnostic procedure for Lyme is not described in detail.</w:t>
            </w:r>
          </w:p>
          <w:p w14:paraId="4E518D61" w14:textId="77777777" w:rsidR="002D58E4" w:rsidRDefault="00F721D4">
            <w:pPr>
              <w:spacing w:after="120"/>
              <w:rPr>
                <w:sz w:val="20"/>
                <w:szCs w:val="20"/>
              </w:rPr>
            </w:pPr>
            <w:r>
              <w:rPr>
                <w:sz w:val="20"/>
                <w:szCs w:val="20"/>
              </w:rPr>
              <w:t>Endomyocardial biopsies were obtained in 8 patients, in 5 of whom spirochetes were found.</w:t>
            </w:r>
          </w:p>
        </w:tc>
        <w:tc>
          <w:tcPr>
            <w:tcW w:w="3118" w:type="dxa"/>
            <w:tcBorders>
              <w:top w:val="single" w:sz="6" w:space="0" w:color="AEAEAE"/>
              <w:left w:val="single" w:sz="6" w:space="0" w:color="AEAEAE"/>
              <w:bottom w:val="single" w:sz="6" w:space="0" w:color="AEAEAE"/>
              <w:right w:val="single" w:sz="6" w:space="0" w:color="AEAEAE"/>
            </w:tcBorders>
            <w:vAlign w:val="center"/>
          </w:tcPr>
          <w:p w14:paraId="29A99C01" w14:textId="77777777" w:rsidR="002D58E4" w:rsidRDefault="002D58E4">
            <w:pPr>
              <w:spacing w:after="120"/>
              <w:rPr>
                <w:sz w:val="20"/>
                <w:szCs w:val="20"/>
              </w:rPr>
            </w:pPr>
          </w:p>
          <w:p w14:paraId="6AD29D11" w14:textId="77777777" w:rsidR="002D58E4" w:rsidRDefault="00F721D4">
            <w:pPr>
              <w:spacing w:after="120"/>
              <w:rPr>
                <w:sz w:val="20"/>
                <w:szCs w:val="20"/>
              </w:rPr>
            </w:pPr>
            <w:r>
              <w:rPr>
                <w:sz w:val="20"/>
                <w:szCs w:val="20"/>
              </w:rPr>
              <w:t>77% (81 of 105) had AV block; 49% (52 of 105) had 3</w:t>
            </w:r>
            <w:r>
              <w:rPr>
                <w:sz w:val="20"/>
                <w:szCs w:val="20"/>
                <w:vertAlign w:val="superscript"/>
              </w:rPr>
              <w:t>rd</w:t>
            </w:r>
            <w:r>
              <w:rPr>
                <w:sz w:val="20"/>
                <w:szCs w:val="20"/>
              </w:rPr>
              <w:t xml:space="preserve"> degree block; 12% (12 of 105) had 1</w:t>
            </w:r>
            <w:r>
              <w:rPr>
                <w:sz w:val="20"/>
                <w:szCs w:val="20"/>
                <w:vertAlign w:val="superscript"/>
              </w:rPr>
              <w:t>st</w:t>
            </w:r>
            <w:r>
              <w:rPr>
                <w:sz w:val="20"/>
                <w:szCs w:val="20"/>
              </w:rPr>
              <w:t xml:space="preserve"> degree block.   </w:t>
            </w:r>
          </w:p>
        </w:tc>
        <w:tc>
          <w:tcPr>
            <w:tcW w:w="2127" w:type="dxa"/>
            <w:tcBorders>
              <w:top w:val="single" w:sz="6" w:space="0" w:color="AEAEAE"/>
              <w:left w:val="single" w:sz="6" w:space="0" w:color="AEAEAE"/>
              <w:bottom w:val="single" w:sz="6" w:space="0" w:color="AEAEAE"/>
              <w:right w:val="single" w:sz="6" w:space="0" w:color="AEAEAE"/>
            </w:tcBorders>
            <w:vAlign w:val="center"/>
          </w:tcPr>
          <w:p w14:paraId="2CE072B0" w14:textId="77777777" w:rsidR="002D58E4" w:rsidRDefault="00F721D4">
            <w:pPr>
              <w:spacing w:after="120"/>
              <w:rPr>
                <w:sz w:val="20"/>
                <w:szCs w:val="20"/>
              </w:rPr>
            </w:pPr>
            <w:r>
              <w:rPr>
                <w:sz w:val="20"/>
                <w:szCs w:val="20"/>
              </w:rPr>
              <w:t>Thirteen European patients and 16 North American patients with AV block due to Lyme carditis had a temporary pacemaker inserted.</w:t>
            </w:r>
          </w:p>
          <w:p w14:paraId="399C97CA" w14:textId="77777777" w:rsidR="002D58E4" w:rsidRDefault="00F721D4">
            <w:pPr>
              <w:spacing w:after="120"/>
              <w:rPr>
                <w:sz w:val="20"/>
                <w:szCs w:val="20"/>
              </w:rPr>
            </w:pPr>
            <w:r>
              <w:rPr>
                <w:sz w:val="20"/>
                <w:szCs w:val="20"/>
              </w:rPr>
              <w:t xml:space="preserve">In 5 patients with AV block, a pacemaker implantation was performed. </w:t>
            </w:r>
          </w:p>
        </w:tc>
        <w:tc>
          <w:tcPr>
            <w:tcW w:w="3402" w:type="dxa"/>
            <w:tcBorders>
              <w:top w:val="single" w:sz="6" w:space="0" w:color="AEAEAE"/>
              <w:left w:val="single" w:sz="6" w:space="0" w:color="AEAEAE"/>
              <w:bottom w:val="single" w:sz="6" w:space="0" w:color="AEAEAE"/>
              <w:right w:val="single" w:sz="6" w:space="0" w:color="AEAEAE"/>
            </w:tcBorders>
            <w:vAlign w:val="center"/>
          </w:tcPr>
          <w:p w14:paraId="4777EFA8" w14:textId="77777777" w:rsidR="002D58E4" w:rsidRDefault="00F721D4">
            <w:pPr>
              <w:spacing w:after="120"/>
              <w:rPr>
                <w:sz w:val="20"/>
                <w:szCs w:val="20"/>
              </w:rPr>
            </w:pPr>
            <w:r>
              <w:rPr>
                <w:sz w:val="20"/>
                <w:szCs w:val="20"/>
              </w:rPr>
              <w:t>94% of all Lyme carditis patients had complete recovery, despite diverse treatment regimens. 10% of patients had spontaneous complete recovery. Follow-up ranged from 1 to 4 years.</w:t>
            </w:r>
          </w:p>
          <w:p w14:paraId="5F31E09D" w14:textId="77777777" w:rsidR="002D58E4" w:rsidRDefault="00F721D4">
            <w:pPr>
              <w:spacing w:after="120"/>
              <w:rPr>
                <w:sz w:val="20"/>
                <w:szCs w:val="20"/>
              </w:rPr>
            </w:pPr>
            <w:r>
              <w:rPr>
                <w:sz w:val="20"/>
                <w:szCs w:val="20"/>
              </w:rPr>
              <w:t>In 4 of 5 patients implanted with permanent pacemaker, conduction disturbances resolved completely, and in 2 patients, recovery led to removal of a pacemaker. Overall, 80% of patients who underwent pacemaker implantation were later pacemaker independent.</w:t>
            </w:r>
          </w:p>
          <w:p w14:paraId="1782C60C" w14:textId="77777777" w:rsidR="002D58E4" w:rsidRDefault="00F721D4">
            <w:pPr>
              <w:spacing w:after="120"/>
              <w:rPr>
                <w:sz w:val="20"/>
                <w:szCs w:val="20"/>
              </w:rPr>
            </w:pPr>
            <w:r>
              <w:rPr>
                <w:sz w:val="20"/>
                <w:szCs w:val="20"/>
              </w:rPr>
              <w:t xml:space="preserve">Temporary pacemakers are often inserted, but the authors noted that permanent pacemakers are rarely indicated. </w:t>
            </w:r>
          </w:p>
        </w:tc>
      </w:tr>
      <w:tr w:rsidR="002D58E4" w14:paraId="2B4CBFDF" w14:textId="77777777" w:rsidTr="00E14B2B">
        <w:trPr>
          <w:trHeight w:val="12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3FDE734" w14:textId="77777777" w:rsidR="002D58E4" w:rsidRPr="002914A2" w:rsidRDefault="00F721D4">
            <w:pPr>
              <w:spacing w:after="120"/>
              <w:rPr>
                <w:sz w:val="20"/>
                <w:szCs w:val="20"/>
                <w:lang w:val="fr-CA"/>
              </w:rPr>
            </w:pPr>
            <w:r w:rsidRPr="002914A2">
              <w:rPr>
                <w:sz w:val="20"/>
                <w:szCs w:val="20"/>
                <w:lang w:val="fr-CA"/>
              </w:rPr>
              <w:t>Costello, et al., 2009</w:t>
            </w:r>
          </w:p>
          <w:p w14:paraId="4E9B9DF7" w14:textId="77777777" w:rsidR="002D58E4" w:rsidRPr="002914A2" w:rsidRDefault="002D58E4">
            <w:pPr>
              <w:spacing w:after="120"/>
              <w:rPr>
                <w:sz w:val="20"/>
                <w:szCs w:val="20"/>
                <w:lang w:val="fr-CA"/>
              </w:rPr>
            </w:pPr>
          </w:p>
          <w:p w14:paraId="4307F209" w14:textId="77777777" w:rsidR="002D58E4" w:rsidRPr="002914A2" w:rsidRDefault="00F721D4">
            <w:pPr>
              <w:spacing w:after="120"/>
              <w:rPr>
                <w:sz w:val="20"/>
                <w:szCs w:val="20"/>
                <w:lang w:val="fr-CA"/>
              </w:rPr>
            </w:pPr>
            <w:r w:rsidRPr="002914A2">
              <w:rPr>
                <w:sz w:val="20"/>
                <w:szCs w:val="20"/>
                <w:lang w:val="fr-CA"/>
              </w:rPr>
              <w:t>Boston, MA</w:t>
            </w:r>
          </w:p>
        </w:tc>
        <w:tc>
          <w:tcPr>
            <w:tcW w:w="900" w:type="dxa"/>
            <w:tcBorders>
              <w:top w:val="single" w:sz="6" w:space="0" w:color="AEAEAE"/>
              <w:left w:val="single" w:sz="6" w:space="0" w:color="AEAEAE"/>
              <w:bottom w:val="single" w:sz="6" w:space="0" w:color="AEAEAE"/>
              <w:right w:val="single" w:sz="6" w:space="0" w:color="AEAEAE"/>
            </w:tcBorders>
            <w:vAlign w:val="center"/>
          </w:tcPr>
          <w:p w14:paraId="22DD0CED" w14:textId="77777777" w:rsidR="002D58E4" w:rsidRDefault="00F721D4">
            <w:pPr>
              <w:spacing w:after="120"/>
              <w:rPr>
                <w:sz w:val="20"/>
                <w:szCs w:val="20"/>
              </w:rPr>
            </w:pPr>
            <w:r>
              <w:rPr>
                <w:sz w:val="20"/>
                <w:szCs w:val="20"/>
              </w:rPr>
              <w:t>Case 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545A8C8" w14:textId="77777777" w:rsidR="002D58E4" w:rsidRDefault="00F721D4">
            <w:pPr>
              <w:spacing w:after="120"/>
              <w:jc w:val="center"/>
              <w:rPr>
                <w:sz w:val="20"/>
                <w:szCs w:val="20"/>
              </w:rPr>
            </w:pPr>
            <w:r>
              <w:rPr>
                <w:sz w:val="20"/>
                <w:szCs w:val="20"/>
              </w:rPr>
              <w:t>7</w:t>
            </w:r>
          </w:p>
        </w:tc>
        <w:tc>
          <w:tcPr>
            <w:tcW w:w="3344" w:type="dxa"/>
            <w:tcBorders>
              <w:top w:val="single" w:sz="6" w:space="0" w:color="AEAEAE"/>
              <w:left w:val="single" w:sz="6" w:space="0" w:color="AEAEAE"/>
              <w:bottom w:val="single" w:sz="6" w:space="0" w:color="AEAEAE"/>
              <w:right w:val="single" w:sz="6" w:space="0" w:color="AEAEAE"/>
            </w:tcBorders>
            <w:vAlign w:val="center"/>
          </w:tcPr>
          <w:p w14:paraId="2C68BB7A" w14:textId="77777777" w:rsidR="002D58E4" w:rsidRDefault="00F721D4">
            <w:pPr>
              <w:spacing w:after="120"/>
              <w:rPr>
                <w:sz w:val="20"/>
                <w:szCs w:val="20"/>
              </w:rPr>
            </w:pPr>
            <w:r>
              <w:rPr>
                <w:sz w:val="20"/>
                <w:szCs w:val="20"/>
              </w:rPr>
              <w:t xml:space="preserve">207 pediatric (&lt;21 years old) patients with early disseminated Lyme disease (multiple erythema migrans, meningitis, cranial neuritis, radiculoneuritis, ocular involvement, and/or carditis with laboratory conﬁrmation of </w:t>
            </w:r>
            <w:r>
              <w:rPr>
                <w:i/>
                <w:sz w:val="20"/>
                <w:szCs w:val="20"/>
              </w:rPr>
              <w:t>B. burgdorferi</w:t>
            </w:r>
            <w:r>
              <w:rPr>
                <w:sz w:val="20"/>
                <w:szCs w:val="20"/>
              </w:rPr>
              <w:t xml:space="preserve"> infection.</w:t>
            </w:r>
          </w:p>
          <w:p w14:paraId="48ED0159" w14:textId="77777777" w:rsidR="002D58E4" w:rsidRDefault="00F721D4">
            <w:pPr>
              <w:spacing w:after="120"/>
              <w:rPr>
                <w:sz w:val="20"/>
                <w:szCs w:val="20"/>
              </w:rPr>
            </w:pPr>
            <w:r>
              <w:rPr>
                <w:sz w:val="20"/>
                <w:szCs w:val="20"/>
              </w:rPr>
              <w:t xml:space="preserve">98% of non-carditis patients and 100% of carditis patients had positive serology. </w:t>
            </w:r>
          </w:p>
          <w:p w14:paraId="47599EDB" w14:textId="77777777" w:rsidR="002D58E4" w:rsidRDefault="00F721D4">
            <w:pPr>
              <w:spacing w:after="120"/>
              <w:rPr>
                <w:sz w:val="20"/>
                <w:szCs w:val="20"/>
              </w:rPr>
            </w:pPr>
            <w:r>
              <w:rPr>
                <w:sz w:val="20"/>
                <w:szCs w:val="20"/>
              </w:rPr>
              <w:t xml:space="preserve">Patients with carditis (33 of 207) had a wide range of systemic involvement, including flu-like symptoms in 94%, meningitis in 48%, multiple erythema migrans in 48%, and erythema migrans in 24%. </w:t>
            </w:r>
          </w:p>
          <w:p w14:paraId="54300422" w14:textId="77777777" w:rsidR="002D58E4" w:rsidRDefault="002D58E4">
            <w:pPr>
              <w:spacing w:after="120"/>
              <w:rPr>
                <w:sz w:val="20"/>
                <w:szCs w:val="20"/>
              </w:rPr>
            </w:pPr>
          </w:p>
        </w:tc>
        <w:tc>
          <w:tcPr>
            <w:tcW w:w="3118" w:type="dxa"/>
            <w:tcBorders>
              <w:top w:val="single" w:sz="6" w:space="0" w:color="AEAEAE"/>
              <w:left w:val="single" w:sz="6" w:space="0" w:color="AEAEAE"/>
              <w:bottom w:val="single" w:sz="6" w:space="0" w:color="AEAEAE"/>
              <w:right w:val="single" w:sz="6" w:space="0" w:color="AEAEAE"/>
            </w:tcBorders>
            <w:vAlign w:val="center"/>
          </w:tcPr>
          <w:p w14:paraId="406B99BD" w14:textId="432F449A" w:rsidR="00BD2C27" w:rsidRDefault="00F721D4">
            <w:pPr>
              <w:spacing w:after="120"/>
              <w:rPr>
                <w:sz w:val="20"/>
                <w:szCs w:val="20"/>
              </w:rPr>
            </w:pPr>
            <w:r>
              <w:rPr>
                <w:sz w:val="20"/>
                <w:szCs w:val="20"/>
              </w:rPr>
              <w:t>16% (33 of 207) of patients with early disseminated Lyme disease had carditis. 42% (14 of 33) of patients with Lyme carditis had advanced heart block, and 27% (9 of 33) of these patients had complete heart block.</w:t>
            </w:r>
          </w:p>
          <w:p w14:paraId="511B7E9E" w14:textId="7AF5CFBB" w:rsidR="00BD2C27" w:rsidRDefault="00BD2C27">
            <w:pPr>
              <w:spacing w:after="120"/>
              <w:rPr>
                <w:sz w:val="20"/>
                <w:szCs w:val="20"/>
              </w:rPr>
            </w:pPr>
            <w:r>
              <w:rPr>
                <w:sz w:val="20"/>
                <w:szCs w:val="20"/>
              </w:rPr>
              <w:t>12% (4 of 33) patients with carditis had depressed ventricular systolic function on echocardiogram, 9% (3 of 33) presented in cardiogenic shock. Two of these 3 children with severe Lyme carditis with complete heart block and severely depressed biventricular function were treated with a temporary dual-chamber pacing, of which one required cardiopulmonary resuscitation and extracorporeal membrane oxygenation (ECMO) for 5 days before complete recovery.</w:t>
            </w:r>
          </w:p>
        </w:tc>
        <w:tc>
          <w:tcPr>
            <w:tcW w:w="2127" w:type="dxa"/>
            <w:tcBorders>
              <w:top w:val="single" w:sz="6" w:space="0" w:color="AEAEAE"/>
              <w:left w:val="single" w:sz="6" w:space="0" w:color="AEAEAE"/>
              <w:bottom w:val="single" w:sz="6" w:space="0" w:color="AEAEAE"/>
              <w:right w:val="single" w:sz="6" w:space="0" w:color="AEAEAE"/>
            </w:tcBorders>
            <w:vAlign w:val="center"/>
          </w:tcPr>
          <w:p w14:paraId="26D54D50" w14:textId="77777777" w:rsidR="002D58E4" w:rsidRDefault="00F721D4">
            <w:pPr>
              <w:spacing w:after="120"/>
              <w:rPr>
                <w:sz w:val="20"/>
                <w:szCs w:val="20"/>
              </w:rPr>
            </w:pPr>
            <w:r>
              <w:rPr>
                <w:sz w:val="20"/>
                <w:szCs w:val="20"/>
              </w:rPr>
              <w:t xml:space="preserve">Temporary transvenous pacing was used for 1-7 days to treat complete heart block in 4 (12%) children. </w:t>
            </w:r>
          </w:p>
          <w:p w14:paraId="6003CEB3" w14:textId="77777777" w:rsidR="002D58E4" w:rsidRDefault="00F721D4">
            <w:pPr>
              <w:spacing w:after="120"/>
              <w:rPr>
                <w:sz w:val="20"/>
                <w:szCs w:val="20"/>
              </w:rPr>
            </w:pPr>
            <w:r>
              <w:rPr>
                <w:sz w:val="20"/>
                <w:szCs w:val="20"/>
              </w:rPr>
              <w:t>None of the patients with advanced heart block required a permanent pacemaker.</w:t>
            </w:r>
          </w:p>
        </w:tc>
        <w:tc>
          <w:tcPr>
            <w:tcW w:w="3402" w:type="dxa"/>
            <w:tcBorders>
              <w:top w:val="single" w:sz="6" w:space="0" w:color="AEAEAE"/>
              <w:left w:val="single" w:sz="6" w:space="0" w:color="AEAEAE"/>
              <w:bottom w:val="single" w:sz="6" w:space="0" w:color="AEAEAE"/>
              <w:right w:val="single" w:sz="6" w:space="0" w:color="AEAEAE"/>
            </w:tcBorders>
            <w:vAlign w:val="center"/>
          </w:tcPr>
          <w:p w14:paraId="0D1DA4AA" w14:textId="77777777" w:rsidR="002D58E4" w:rsidRDefault="00F721D4">
            <w:pPr>
              <w:spacing w:after="120"/>
              <w:rPr>
                <w:sz w:val="20"/>
                <w:szCs w:val="20"/>
              </w:rPr>
            </w:pPr>
            <w:r>
              <w:rPr>
                <w:sz w:val="20"/>
                <w:szCs w:val="20"/>
              </w:rPr>
              <w:t>Of 27 patients for whom follow-up data was available, 24 (88.9%) had complete resolution of their cardiac symptoms.</w:t>
            </w:r>
          </w:p>
          <w:p w14:paraId="2B4989A1" w14:textId="0D02116A" w:rsidR="00BD2C27" w:rsidRDefault="00F721D4">
            <w:pPr>
              <w:spacing w:after="120"/>
              <w:rPr>
                <w:sz w:val="20"/>
                <w:szCs w:val="20"/>
              </w:rPr>
            </w:pPr>
            <w:r>
              <w:rPr>
                <w:sz w:val="20"/>
                <w:szCs w:val="20"/>
              </w:rPr>
              <w:t xml:space="preserve">The authors recommended that children with Lyme carditis and myocardial dysfunction be hospitalized </w:t>
            </w:r>
            <w:r w:rsidR="00BD2C27">
              <w:rPr>
                <w:sz w:val="20"/>
                <w:szCs w:val="20"/>
              </w:rPr>
              <w:t>in an institution capable of providing pacemakers and rapid deployment ECMO for mechanical cardiac support.</w:t>
            </w:r>
          </w:p>
          <w:p w14:paraId="4542B5FF" w14:textId="0767919B" w:rsidR="002D58E4" w:rsidRDefault="00F721D4">
            <w:pPr>
              <w:spacing w:after="120"/>
              <w:rPr>
                <w:sz w:val="20"/>
                <w:szCs w:val="20"/>
              </w:rPr>
            </w:pPr>
            <w:r>
              <w:rPr>
                <w:sz w:val="20"/>
                <w:szCs w:val="20"/>
              </w:rPr>
              <w:t xml:space="preserve">They commented on the fact that permanent pacemakers are rarely necessary for patients with Lyme carditis.  </w:t>
            </w:r>
          </w:p>
        </w:tc>
      </w:tr>
      <w:tr w:rsidR="002D58E4" w14:paraId="1938F880" w14:textId="77777777" w:rsidTr="00E14B2B">
        <w:trPr>
          <w:trHeight w:val="1260"/>
        </w:trPr>
        <w:tc>
          <w:tcPr>
            <w:tcW w:w="108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A698562" w14:textId="77777777" w:rsidR="002D58E4" w:rsidRDefault="002D58E4">
            <w:pPr>
              <w:rPr>
                <w:sz w:val="20"/>
                <w:szCs w:val="20"/>
              </w:rPr>
            </w:pPr>
          </w:p>
          <w:p w14:paraId="7D2EE35B" w14:textId="77777777" w:rsidR="002D58E4" w:rsidRDefault="00F721D4">
            <w:pPr>
              <w:rPr>
                <w:sz w:val="20"/>
                <w:szCs w:val="20"/>
              </w:rPr>
            </w:pPr>
            <w:r>
              <w:rPr>
                <w:sz w:val="20"/>
                <w:szCs w:val="20"/>
              </w:rPr>
              <w:t>Forrester, et al., 2014</w:t>
            </w:r>
          </w:p>
          <w:p w14:paraId="0AD50356" w14:textId="77777777" w:rsidR="002D58E4" w:rsidRDefault="002D58E4">
            <w:pPr>
              <w:rPr>
                <w:sz w:val="20"/>
                <w:szCs w:val="20"/>
              </w:rPr>
            </w:pPr>
          </w:p>
          <w:p w14:paraId="28EDB5A9" w14:textId="77777777" w:rsidR="002D58E4" w:rsidRDefault="00F721D4">
            <w:pPr>
              <w:rPr>
                <w:sz w:val="20"/>
                <w:szCs w:val="20"/>
              </w:rPr>
            </w:pPr>
            <w:r>
              <w:rPr>
                <w:sz w:val="20"/>
                <w:szCs w:val="20"/>
              </w:rPr>
              <w:t>Atlanta, Georgia</w:t>
            </w:r>
          </w:p>
          <w:p w14:paraId="425EEFCF" w14:textId="77777777" w:rsidR="002D58E4" w:rsidRDefault="002D58E4">
            <w:pPr>
              <w:rPr>
                <w:sz w:val="20"/>
                <w:szCs w:val="20"/>
              </w:rPr>
            </w:pPr>
          </w:p>
        </w:tc>
        <w:tc>
          <w:tcPr>
            <w:tcW w:w="900" w:type="dxa"/>
            <w:tcBorders>
              <w:top w:val="single" w:sz="6" w:space="0" w:color="AEAEAE"/>
              <w:left w:val="single" w:sz="6" w:space="0" w:color="AEAEAE"/>
              <w:bottom w:val="single" w:sz="6" w:space="0" w:color="AEAEAE"/>
              <w:right w:val="single" w:sz="6" w:space="0" w:color="AEAEAE"/>
            </w:tcBorders>
            <w:vAlign w:val="center"/>
          </w:tcPr>
          <w:p w14:paraId="4F22A2C1" w14:textId="77777777" w:rsidR="002D58E4" w:rsidRDefault="00F721D4">
            <w:pPr>
              <w:rPr>
                <w:sz w:val="20"/>
                <w:szCs w:val="20"/>
              </w:rPr>
            </w:pPr>
            <w:r>
              <w:rPr>
                <w:sz w:val="20"/>
                <w:szCs w:val="20"/>
              </w:rPr>
              <w:t xml:space="preserve">Case series </w:t>
            </w:r>
          </w:p>
          <w:p w14:paraId="7ECA95AF" w14:textId="77777777" w:rsidR="002D58E4" w:rsidRDefault="00F721D4">
            <w:pPr>
              <w:rPr>
                <w:sz w:val="20"/>
                <w:szCs w:val="20"/>
              </w:rPr>
            </w:pPr>
            <w:r>
              <w:rPr>
                <w:sz w:val="20"/>
                <w:szCs w:val="20"/>
              </w:rPr>
              <w:t>(45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3CDD5708" w14:textId="77777777" w:rsidR="002D58E4" w:rsidRDefault="00F721D4">
            <w:pPr>
              <w:jc w:val="center"/>
              <w:rPr>
                <w:sz w:val="20"/>
                <w:szCs w:val="20"/>
              </w:rPr>
            </w:pPr>
            <w:r>
              <w:rPr>
                <w:sz w:val="20"/>
                <w:szCs w:val="20"/>
              </w:rPr>
              <w:t>NA</w:t>
            </w:r>
          </w:p>
        </w:tc>
        <w:tc>
          <w:tcPr>
            <w:tcW w:w="3344" w:type="dxa"/>
            <w:tcBorders>
              <w:top w:val="single" w:sz="6" w:space="0" w:color="AEAEAE"/>
              <w:left w:val="single" w:sz="6" w:space="0" w:color="AEAEAE"/>
              <w:bottom w:val="single" w:sz="6" w:space="0" w:color="AEAEAE"/>
              <w:right w:val="single" w:sz="6" w:space="0" w:color="AEAEAE"/>
            </w:tcBorders>
            <w:vAlign w:val="center"/>
          </w:tcPr>
          <w:p w14:paraId="12609C82" w14:textId="77777777" w:rsidR="002D58E4" w:rsidRDefault="00F721D4">
            <w:pPr>
              <w:rPr>
                <w:sz w:val="20"/>
                <w:szCs w:val="20"/>
              </w:rPr>
            </w:pPr>
            <w:r>
              <w:rPr>
                <w:sz w:val="20"/>
                <w:szCs w:val="20"/>
              </w:rPr>
              <w:t xml:space="preserve">45 patients (median age 32) with clinician-documented erythema migrans (EM) or laboratory confirmation of </w:t>
            </w:r>
            <w:r>
              <w:rPr>
                <w:i/>
                <w:sz w:val="20"/>
                <w:szCs w:val="20"/>
              </w:rPr>
              <w:t>B. burgdorferi</w:t>
            </w:r>
            <w:r>
              <w:rPr>
                <w:sz w:val="20"/>
                <w:szCs w:val="20"/>
              </w:rPr>
              <w:t xml:space="preserve"> infection. </w:t>
            </w:r>
          </w:p>
          <w:p w14:paraId="1F60EF76" w14:textId="77777777" w:rsidR="002D58E4" w:rsidRDefault="002D58E4">
            <w:pPr>
              <w:rPr>
                <w:sz w:val="20"/>
                <w:szCs w:val="20"/>
              </w:rPr>
            </w:pPr>
          </w:p>
          <w:p w14:paraId="64CF393D" w14:textId="77777777" w:rsidR="002D58E4" w:rsidRDefault="00F721D4">
            <w:pPr>
              <w:rPr>
                <w:sz w:val="20"/>
                <w:szCs w:val="20"/>
              </w:rPr>
            </w:pPr>
            <w:r>
              <w:rPr>
                <w:sz w:val="20"/>
                <w:szCs w:val="20"/>
              </w:rPr>
              <w:t>44% of patients presented with EM. Other associated presenting symptoms included syncope, fever, lightheadedness/dizziness, dyspnea, lethargy/weakness, palpitations, chest pain, headache, myalgia, and arthralgia.</w:t>
            </w:r>
          </w:p>
        </w:tc>
        <w:tc>
          <w:tcPr>
            <w:tcW w:w="3118" w:type="dxa"/>
            <w:tcBorders>
              <w:top w:val="single" w:sz="6" w:space="0" w:color="AEAEAE"/>
              <w:left w:val="single" w:sz="6" w:space="0" w:color="AEAEAE"/>
              <w:bottom w:val="single" w:sz="6" w:space="0" w:color="AEAEAE"/>
              <w:right w:val="single" w:sz="6" w:space="0" w:color="AEAEAE"/>
            </w:tcBorders>
            <w:vAlign w:val="center"/>
          </w:tcPr>
          <w:p w14:paraId="7CD3BBEA" w14:textId="77777777" w:rsidR="002D58E4" w:rsidRDefault="00F721D4">
            <w:pPr>
              <w:rPr>
                <w:sz w:val="20"/>
                <w:szCs w:val="20"/>
              </w:rPr>
            </w:pPr>
            <w:r>
              <w:rPr>
                <w:sz w:val="20"/>
                <w:szCs w:val="20"/>
              </w:rPr>
              <w:t>80% of patients had ECG documented 3</w:t>
            </w:r>
            <w:r>
              <w:rPr>
                <w:sz w:val="20"/>
                <w:szCs w:val="20"/>
                <w:vertAlign w:val="superscript"/>
              </w:rPr>
              <w:t>rd</w:t>
            </w:r>
            <w:r>
              <w:rPr>
                <w:sz w:val="20"/>
                <w:szCs w:val="20"/>
              </w:rPr>
              <w:t>-degree block when first evaluated. Of patients who developed third-degree heart block, median time from presentation to development was 3 hours (range 0.5-24 hours). 84% of patients who had 3</w:t>
            </w:r>
            <w:r>
              <w:rPr>
                <w:sz w:val="20"/>
                <w:szCs w:val="20"/>
                <w:vertAlign w:val="superscript"/>
              </w:rPr>
              <w:t xml:space="preserve">rd </w:t>
            </w:r>
            <w:r>
              <w:rPr>
                <w:sz w:val="20"/>
                <w:szCs w:val="20"/>
              </w:rPr>
              <w:t>degree heart block were male.</w:t>
            </w:r>
          </w:p>
        </w:tc>
        <w:tc>
          <w:tcPr>
            <w:tcW w:w="2127" w:type="dxa"/>
            <w:tcBorders>
              <w:top w:val="single" w:sz="6" w:space="0" w:color="AEAEAE"/>
              <w:left w:val="single" w:sz="6" w:space="0" w:color="AEAEAE"/>
              <w:bottom w:val="single" w:sz="6" w:space="0" w:color="AEAEAE"/>
              <w:right w:val="single" w:sz="6" w:space="0" w:color="AEAEAE"/>
            </w:tcBorders>
            <w:vAlign w:val="center"/>
          </w:tcPr>
          <w:p w14:paraId="61DCE948" w14:textId="77777777" w:rsidR="002D58E4" w:rsidRDefault="002D58E4">
            <w:pPr>
              <w:rPr>
                <w:sz w:val="20"/>
                <w:szCs w:val="20"/>
              </w:rPr>
            </w:pPr>
          </w:p>
          <w:p w14:paraId="72EE50EF" w14:textId="77777777" w:rsidR="002D58E4" w:rsidRDefault="00F721D4">
            <w:pPr>
              <w:rPr>
                <w:sz w:val="20"/>
                <w:szCs w:val="20"/>
              </w:rPr>
            </w:pPr>
            <w:r>
              <w:rPr>
                <w:sz w:val="20"/>
                <w:szCs w:val="20"/>
              </w:rPr>
              <w:t>40% (18 of 45) of patients required supportive transvenous pacing. 2 of 45 (4%) patients had permanent pacemaker placement.</w:t>
            </w:r>
          </w:p>
        </w:tc>
        <w:tc>
          <w:tcPr>
            <w:tcW w:w="3402" w:type="dxa"/>
            <w:tcBorders>
              <w:top w:val="single" w:sz="6" w:space="0" w:color="AEAEAE"/>
              <w:left w:val="single" w:sz="6" w:space="0" w:color="AEAEAE"/>
              <w:bottom w:val="single" w:sz="6" w:space="0" w:color="AEAEAE"/>
              <w:right w:val="single" w:sz="6" w:space="0" w:color="AEAEAE"/>
            </w:tcBorders>
            <w:vAlign w:val="center"/>
          </w:tcPr>
          <w:p w14:paraId="3BA3E29A" w14:textId="77777777" w:rsidR="002D58E4" w:rsidRDefault="00F721D4">
            <w:pPr>
              <w:rPr>
                <w:sz w:val="20"/>
                <w:szCs w:val="20"/>
              </w:rPr>
            </w:pPr>
            <w:r>
              <w:rPr>
                <w:sz w:val="20"/>
                <w:szCs w:val="20"/>
              </w:rPr>
              <w:t>The authors concluded that temporary transvenous pacing should be the modality of choice in Lyme carditis patients after appropriate antibiotic therapy has been administered. They noted that permanent pacing should be considered if symptoms do not resolve.</w:t>
            </w:r>
          </w:p>
        </w:tc>
      </w:tr>
    </w:tbl>
    <w:p w14:paraId="09A78C6C" w14:textId="77777777" w:rsidR="00E14B2B" w:rsidRDefault="00E14B2B" w:rsidP="00E14B2B">
      <w:pPr>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1A35ACFF" w14:textId="65FAC2BD" w:rsidR="002D58E4" w:rsidRDefault="00F721D4">
      <w:pPr>
        <w:widowControl w:val="0"/>
        <w:pBdr>
          <w:top w:val="nil"/>
          <w:left w:val="nil"/>
          <w:bottom w:val="nil"/>
          <w:right w:val="nil"/>
          <w:between w:val="nil"/>
        </w:pBdr>
        <w:spacing w:after="0"/>
        <w:sectPr w:rsidR="002D58E4" w:rsidSect="00E14B2B">
          <w:type w:val="continuous"/>
          <w:pgSz w:w="15840" w:h="12240"/>
          <w:pgMar w:top="720" w:right="531" w:bottom="720" w:left="720" w:header="720" w:footer="720" w:gutter="0"/>
          <w:cols w:space="720" w:equalWidth="0">
            <w:col w:w="14591"/>
          </w:cols>
        </w:sectPr>
      </w:pPr>
      <w:r>
        <w:br w:type="page"/>
      </w:r>
    </w:p>
    <w:p w14:paraId="679721C2" w14:textId="6B969EA1" w:rsidR="00E14B2B" w:rsidRDefault="00445E97" w:rsidP="00E14B2B">
      <w:pPr>
        <w:spacing w:after="0"/>
        <w:ind w:right="-1429"/>
        <w:rPr>
          <w:b/>
          <w:sz w:val="32"/>
          <w:szCs w:val="32"/>
        </w:rPr>
      </w:pPr>
      <w:r>
        <w:rPr>
          <w:b/>
          <w:sz w:val="32"/>
          <w:szCs w:val="32"/>
        </w:rPr>
        <w:t>XIX</w:t>
      </w:r>
      <w:r w:rsidR="00E14B2B">
        <w:rPr>
          <w:b/>
          <w:sz w:val="32"/>
          <w:szCs w:val="32"/>
        </w:rPr>
        <w:t xml:space="preserve">. What are the preferred antibiotics regimens for the treatment of Lyme carditis? </w:t>
      </w:r>
    </w:p>
    <w:p w14:paraId="183A812A" w14:textId="77777777" w:rsidR="002D58E4" w:rsidRDefault="002D58E4">
      <w:pPr>
        <w:spacing w:after="0"/>
        <w:rPr>
          <w:b/>
          <w:sz w:val="32"/>
          <w:szCs w:val="32"/>
          <w:highlight w:val="yellow"/>
        </w:rPr>
      </w:pPr>
    </w:p>
    <w:p w14:paraId="1B9BFB5E" w14:textId="1C4CC43E" w:rsidR="002D58E4" w:rsidRDefault="00F721D4">
      <w:pPr>
        <w:spacing w:after="0"/>
        <w:rPr>
          <w:b/>
        </w:rPr>
      </w:pPr>
      <w:r>
        <w:rPr>
          <w:b/>
        </w:rPr>
        <w:t>In patients with Lyme carditis, should oral doxycycline be used over IV antibiotics (ceftriaxone)?</w:t>
      </w:r>
    </w:p>
    <w:p w14:paraId="4A070B95" w14:textId="77777777" w:rsidR="002D58E4" w:rsidRDefault="00F721D4">
      <w:pPr>
        <w:spacing w:after="0"/>
      </w:pPr>
      <w:r>
        <w:t>P: In patients with Lyme carditis</w:t>
      </w:r>
    </w:p>
    <w:p w14:paraId="0B542315" w14:textId="77777777" w:rsidR="002D58E4" w:rsidRDefault="00F721D4">
      <w:pPr>
        <w:spacing w:after="0"/>
      </w:pPr>
      <w:r>
        <w:t>I: Oral doxycycline</w:t>
      </w:r>
    </w:p>
    <w:p w14:paraId="68D85A06" w14:textId="51ACFA66" w:rsidR="002D58E4" w:rsidRPr="00171735" w:rsidRDefault="00F721D4">
      <w:pPr>
        <w:spacing w:after="0"/>
      </w:pPr>
      <w:r>
        <w:t>C: IV antibiotics (ceftriaxone)</w:t>
      </w:r>
    </w:p>
    <w:p w14:paraId="4F0281AE" w14:textId="77777777" w:rsidR="002D58E4" w:rsidRDefault="002D58E4">
      <w:pPr>
        <w:spacing w:after="0"/>
        <w:rPr>
          <w:b/>
          <w:color w:val="000000"/>
          <w:sz w:val="14"/>
          <w:szCs w:val="14"/>
        </w:rPr>
      </w:pPr>
    </w:p>
    <w:p w14:paraId="2E35C076" w14:textId="77777777" w:rsidR="002D58E4" w:rsidRDefault="00F721D4">
      <w:pPr>
        <w:rPr>
          <w:color w:val="000000"/>
          <w:sz w:val="18"/>
          <w:szCs w:val="18"/>
        </w:rPr>
      </w:pPr>
      <w:r>
        <w:rPr>
          <w:b/>
          <w:color w:val="000000"/>
          <w:sz w:val="18"/>
          <w:szCs w:val="18"/>
        </w:rPr>
        <w:t>Bibliography</w:t>
      </w:r>
      <w:r>
        <w:rPr>
          <w:color w:val="000000"/>
          <w:sz w:val="18"/>
          <w:szCs w:val="18"/>
        </w:rPr>
        <w:t>: 1. Dattwyler, et al. N Engl J Med. 1997 Jul 31; 337(5): 289-94</w:t>
      </w:r>
    </w:p>
    <w:tbl>
      <w:tblPr>
        <w:tblStyle w:val="affb"/>
        <w:tblW w:w="1460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708"/>
        <w:gridCol w:w="850"/>
        <w:gridCol w:w="1134"/>
        <w:gridCol w:w="1123"/>
        <w:gridCol w:w="1154"/>
        <w:gridCol w:w="873"/>
        <w:gridCol w:w="1132"/>
        <w:gridCol w:w="1253"/>
        <w:gridCol w:w="1270"/>
        <w:gridCol w:w="2285"/>
        <w:gridCol w:w="1111"/>
        <w:gridCol w:w="1001"/>
      </w:tblGrid>
      <w:tr w:rsidR="00E14B2B" w14:paraId="2D9F3FBF" w14:textId="77777777" w:rsidTr="00E343BA">
        <w:tc>
          <w:tcPr>
            <w:tcW w:w="6551"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5F2536F2" w14:textId="77777777" w:rsidR="00E14B2B" w:rsidRDefault="00E14B2B">
            <w:pPr>
              <w:jc w:val="center"/>
              <w:rPr>
                <w:b/>
                <w:sz w:val="20"/>
                <w:szCs w:val="20"/>
              </w:rPr>
            </w:pPr>
            <w:r>
              <w:rPr>
                <w:b/>
                <w:sz w:val="20"/>
                <w:szCs w:val="20"/>
              </w:rPr>
              <w:t>Certainty assessment</w:t>
            </w: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1B9D814" w14:textId="77777777" w:rsidR="00E14B2B" w:rsidRDefault="00E14B2B">
            <w:pPr>
              <w:jc w:val="center"/>
              <w:rPr>
                <w:b/>
                <w:sz w:val="20"/>
                <w:szCs w:val="20"/>
              </w:rPr>
            </w:pPr>
            <w:r>
              <w:rPr>
                <w:b/>
                <w:sz w:val="20"/>
                <w:szCs w:val="20"/>
              </w:rPr>
              <w:t>№ of patients</w:t>
            </w:r>
          </w:p>
        </w:tc>
        <w:tc>
          <w:tcPr>
            <w:tcW w:w="355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1A33BE6" w14:textId="77777777" w:rsidR="00E14B2B" w:rsidRDefault="00E14B2B">
            <w:pPr>
              <w:jc w:val="center"/>
              <w:rPr>
                <w:b/>
                <w:sz w:val="20"/>
                <w:szCs w:val="20"/>
              </w:rPr>
            </w:pPr>
            <w:r>
              <w:rPr>
                <w:b/>
                <w:sz w:val="20"/>
                <w:szCs w:val="20"/>
              </w:rPr>
              <w:t>Effect</w:t>
            </w:r>
          </w:p>
        </w:tc>
        <w:tc>
          <w:tcPr>
            <w:tcW w:w="1111" w:type="dxa"/>
            <w:vMerge w:val="restart"/>
            <w:tcBorders>
              <w:top w:val="single" w:sz="6" w:space="0" w:color="000000"/>
              <w:left w:val="single" w:sz="6" w:space="0" w:color="000000"/>
              <w:right w:val="single" w:sz="6" w:space="0" w:color="000000"/>
            </w:tcBorders>
            <w:shd w:val="clear" w:color="auto" w:fill="D9D9D9"/>
            <w:vAlign w:val="center"/>
          </w:tcPr>
          <w:p w14:paraId="2E3DCF15" w14:textId="77777777" w:rsidR="00E14B2B" w:rsidRDefault="00E14B2B">
            <w:pPr>
              <w:jc w:val="center"/>
              <w:rPr>
                <w:b/>
                <w:sz w:val="20"/>
                <w:szCs w:val="20"/>
              </w:rPr>
            </w:pPr>
            <w:r>
              <w:rPr>
                <w:b/>
                <w:sz w:val="20"/>
                <w:szCs w:val="20"/>
              </w:rPr>
              <w:t>Certainty</w:t>
            </w:r>
          </w:p>
        </w:tc>
        <w:tc>
          <w:tcPr>
            <w:tcW w:w="999" w:type="dxa"/>
            <w:vMerge w:val="restart"/>
            <w:tcBorders>
              <w:top w:val="single" w:sz="6" w:space="0" w:color="000000"/>
              <w:left w:val="single" w:sz="6" w:space="0" w:color="000000"/>
              <w:right w:val="single" w:sz="6" w:space="0" w:color="000000"/>
            </w:tcBorders>
            <w:shd w:val="clear" w:color="auto" w:fill="D9D9D9"/>
            <w:vAlign w:val="center"/>
          </w:tcPr>
          <w:p w14:paraId="143E1B05" w14:textId="77777777" w:rsidR="00E14B2B" w:rsidRDefault="00E14B2B">
            <w:pPr>
              <w:jc w:val="center"/>
              <w:rPr>
                <w:b/>
                <w:sz w:val="20"/>
                <w:szCs w:val="20"/>
              </w:rPr>
            </w:pPr>
            <w:r>
              <w:rPr>
                <w:b/>
                <w:sz w:val="20"/>
                <w:szCs w:val="20"/>
              </w:rPr>
              <w:t>Importance</w:t>
            </w:r>
          </w:p>
        </w:tc>
      </w:tr>
      <w:tr w:rsidR="00E14B2B" w14:paraId="18940F84" w14:textId="77777777" w:rsidTr="00E343BA">
        <w:tc>
          <w:tcPr>
            <w:tcW w:w="70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15D4D50" w14:textId="77777777" w:rsidR="00E14B2B" w:rsidRDefault="00E14B2B">
            <w:pPr>
              <w:jc w:val="center"/>
              <w:rPr>
                <w:b/>
                <w:sz w:val="20"/>
                <w:szCs w:val="20"/>
              </w:rPr>
            </w:pPr>
            <w:r>
              <w:rPr>
                <w:b/>
                <w:sz w:val="20"/>
                <w:szCs w:val="20"/>
              </w:rPr>
              <w:t>№ of studies</w:t>
            </w:r>
          </w:p>
        </w:tc>
        <w:tc>
          <w:tcPr>
            <w:tcW w:w="7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36BE87B" w14:textId="77777777" w:rsidR="00E14B2B" w:rsidRDefault="00E14B2B">
            <w:pPr>
              <w:jc w:val="center"/>
              <w:rPr>
                <w:b/>
                <w:sz w:val="20"/>
                <w:szCs w:val="20"/>
              </w:rPr>
            </w:pPr>
            <w:r>
              <w:rPr>
                <w:b/>
                <w:sz w:val="20"/>
                <w:szCs w:val="20"/>
              </w:rPr>
              <w:t>Study design</w:t>
            </w:r>
          </w:p>
        </w:tc>
        <w:tc>
          <w:tcPr>
            <w:tcW w:w="85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DC2782B" w14:textId="77777777" w:rsidR="00E14B2B" w:rsidRDefault="00E14B2B">
            <w:pPr>
              <w:jc w:val="center"/>
              <w:rPr>
                <w:b/>
                <w:sz w:val="20"/>
                <w:szCs w:val="20"/>
              </w:rPr>
            </w:pPr>
            <w:r>
              <w:rPr>
                <w:b/>
                <w:sz w:val="20"/>
                <w:szCs w:val="20"/>
              </w:rPr>
              <w:t>Risk of bias</w:t>
            </w:r>
          </w:p>
        </w:tc>
        <w:tc>
          <w:tcPr>
            <w:tcW w:w="11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8890063" w14:textId="77777777" w:rsidR="00E14B2B" w:rsidRDefault="00E14B2B">
            <w:pPr>
              <w:jc w:val="center"/>
              <w:rPr>
                <w:b/>
                <w:sz w:val="20"/>
                <w:szCs w:val="20"/>
              </w:rPr>
            </w:pPr>
            <w:r>
              <w:rPr>
                <w:b/>
                <w:sz w:val="20"/>
                <w:szCs w:val="20"/>
              </w:rPr>
              <w:t>Inconsistency</w:t>
            </w:r>
          </w:p>
        </w:tc>
        <w:tc>
          <w:tcPr>
            <w:tcW w:w="112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E0859F" w14:textId="77777777" w:rsidR="00E14B2B" w:rsidRDefault="00E14B2B">
            <w:pPr>
              <w:jc w:val="center"/>
              <w:rPr>
                <w:b/>
                <w:sz w:val="20"/>
                <w:szCs w:val="20"/>
              </w:rPr>
            </w:pPr>
            <w:r>
              <w:rPr>
                <w:b/>
                <w:sz w:val="20"/>
                <w:szCs w:val="20"/>
              </w:rPr>
              <w:t>Indirectness</w:t>
            </w:r>
          </w:p>
        </w:tc>
        <w:tc>
          <w:tcPr>
            <w:tcW w:w="115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72EC51" w14:textId="77777777" w:rsidR="00E14B2B" w:rsidRDefault="00E14B2B">
            <w:pPr>
              <w:jc w:val="center"/>
              <w:rPr>
                <w:b/>
                <w:sz w:val="20"/>
                <w:szCs w:val="20"/>
              </w:rPr>
            </w:pPr>
            <w:r>
              <w:rPr>
                <w:b/>
                <w:sz w:val="20"/>
                <w:szCs w:val="20"/>
              </w:rPr>
              <w:t>Imprecision</w:t>
            </w:r>
          </w:p>
        </w:tc>
        <w:tc>
          <w:tcPr>
            <w:tcW w:w="87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E0CB2C" w14:textId="77777777" w:rsidR="00E14B2B" w:rsidRDefault="00E14B2B">
            <w:pPr>
              <w:jc w:val="center"/>
              <w:rPr>
                <w:b/>
                <w:sz w:val="20"/>
                <w:szCs w:val="20"/>
              </w:rPr>
            </w:pPr>
            <w:r>
              <w:rPr>
                <w:b/>
                <w:sz w:val="20"/>
                <w:szCs w:val="20"/>
              </w:rPr>
              <w:t>Other considerations</w:t>
            </w:r>
          </w:p>
        </w:tc>
        <w:tc>
          <w:tcPr>
            <w:tcW w:w="113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3DF3877" w14:textId="77777777" w:rsidR="00E14B2B" w:rsidRDefault="00E14B2B">
            <w:pPr>
              <w:jc w:val="center"/>
              <w:rPr>
                <w:b/>
                <w:sz w:val="20"/>
                <w:szCs w:val="20"/>
              </w:rPr>
            </w:pPr>
            <w:r>
              <w:rPr>
                <w:b/>
                <w:sz w:val="20"/>
                <w:szCs w:val="20"/>
              </w:rPr>
              <w:t xml:space="preserve">Oral doxycycline </w:t>
            </w:r>
          </w:p>
        </w:tc>
        <w:tc>
          <w:tcPr>
            <w:tcW w:w="125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861336" w14:textId="77777777" w:rsidR="00E14B2B" w:rsidRDefault="00E14B2B">
            <w:pPr>
              <w:jc w:val="center"/>
              <w:rPr>
                <w:b/>
                <w:sz w:val="20"/>
                <w:szCs w:val="20"/>
              </w:rPr>
            </w:pPr>
            <w:r>
              <w:rPr>
                <w:b/>
                <w:sz w:val="20"/>
                <w:szCs w:val="20"/>
              </w:rPr>
              <w:t>IV antibiotics (ceftriaxone)</w:t>
            </w:r>
          </w:p>
        </w:tc>
        <w:tc>
          <w:tcPr>
            <w:tcW w:w="127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39BBA44" w14:textId="77777777" w:rsidR="00E14B2B" w:rsidRDefault="00E14B2B">
            <w:pPr>
              <w:jc w:val="center"/>
              <w:rPr>
                <w:b/>
                <w:sz w:val="20"/>
                <w:szCs w:val="20"/>
              </w:rPr>
            </w:pPr>
            <w:r>
              <w:rPr>
                <w:b/>
                <w:sz w:val="20"/>
                <w:szCs w:val="20"/>
              </w:rPr>
              <w:t>Relative</w:t>
            </w:r>
            <w:r>
              <w:rPr>
                <w:b/>
                <w:sz w:val="20"/>
                <w:szCs w:val="20"/>
              </w:rPr>
              <w:br/>
              <w:t>(95% CI)</w:t>
            </w:r>
          </w:p>
        </w:tc>
        <w:tc>
          <w:tcPr>
            <w:tcW w:w="228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845664C" w14:textId="77777777" w:rsidR="00E14B2B" w:rsidRDefault="00E14B2B">
            <w:pPr>
              <w:jc w:val="center"/>
              <w:rPr>
                <w:b/>
                <w:sz w:val="20"/>
                <w:szCs w:val="20"/>
              </w:rPr>
            </w:pPr>
            <w:r>
              <w:rPr>
                <w:b/>
                <w:sz w:val="20"/>
                <w:szCs w:val="20"/>
              </w:rPr>
              <w:t>Absolute</w:t>
            </w:r>
            <w:r>
              <w:rPr>
                <w:b/>
                <w:sz w:val="20"/>
                <w:szCs w:val="20"/>
              </w:rPr>
              <w:br/>
              <w:t>(95% CI)</w:t>
            </w:r>
          </w:p>
        </w:tc>
        <w:tc>
          <w:tcPr>
            <w:tcW w:w="1111" w:type="dxa"/>
            <w:vMerge/>
            <w:tcBorders>
              <w:left w:val="single" w:sz="6" w:space="0" w:color="000000"/>
              <w:bottom w:val="single" w:sz="6" w:space="0" w:color="000000"/>
              <w:right w:val="single" w:sz="6" w:space="0" w:color="000000"/>
            </w:tcBorders>
            <w:shd w:val="clear" w:color="auto" w:fill="D9D9D9"/>
            <w:vAlign w:val="center"/>
          </w:tcPr>
          <w:p w14:paraId="69722FCC" w14:textId="77777777" w:rsidR="00E14B2B" w:rsidRDefault="00E14B2B">
            <w:pPr>
              <w:rPr>
                <w:b/>
                <w:sz w:val="20"/>
                <w:szCs w:val="20"/>
              </w:rPr>
            </w:pPr>
          </w:p>
        </w:tc>
        <w:tc>
          <w:tcPr>
            <w:tcW w:w="1001" w:type="dxa"/>
            <w:vMerge/>
            <w:tcBorders>
              <w:left w:val="single" w:sz="6" w:space="0" w:color="000000"/>
              <w:bottom w:val="single" w:sz="6" w:space="0" w:color="000000"/>
              <w:right w:val="single" w:sz="6" w:space="0" w:color="000000"/>
            </w:tcBorders>
            <w:shd w:val="clear" w:color="auto" w:fill="D9D9D9"/>
            <w:vAlign w:val="center"/>
          </w:tcPr>
          <w:p w14:paraId="5CA09C2B" w14:textId="77777777" w:rsidR="00E14B2B" w:rsidRDefault="00E14B2B">
            <w:pPr>
              <w:rPr>
                <w:b/>
                <w:sz w:val="20"/>
                <w:szCs w:val="20"/>
              </w:rPr>
            </w:pPr>
          </w:p>
        </w:tc>
      </w:tr>
      <w:tr w:rsidR="002D58E4" w14:paraId="1508BD6E"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323F208" w14:textId="77777777" w:rsidR="002D58E4" w:rsidRDefault="00F721D4">
            <w:pPr>
              <w:rPr>
                <w:b/>
                <w:sz w:val="20"/>
                <w:szCs w:val="20"/>
              </w:rPr>
            </w:pPr>
            <w:r>
              <w:rPr>
                <w:b/>
                <w:sz w:val="20"/>
                <w:szCs w:val="20"/>
              </w:rPr>
              <w:t xml:space="preserve">Clinical cure </w:t>
            </w:r>
            <w:r>
              <w:rPr>
                <w:sz w:val="20"/>
                <w:szCs w:val="20"/>
              </w:rPr>
              <w:t>(at last follow-up) *</w:t>
            </w:r>
          </w:p>
        </w:tc>
      </w:tr>
      <w:tr w:rsidR="002D58E4" w14:paraId="7EBC6F0C" w14:textId="77777777" w:rsidTr="00E343BA">
        <w:tc>
          <w:tcPr>
            <w:tcW w:w="708" w:type="dxa"/>
            <w:tcBorders>
              <w:top w:val="single" w:sz="6" w:space="0" w:color="000000"/>
              <w:left w:val="single" w:sz="6" w:space="0" w:color="000000"/>
              <w:bottom w:val="single" w:sz="6" w:space="0" w:color="000000"/>
              <w:right w:val="single" w:sz="6" w:space="0" w:color="000000"/>
            </w:tcBorders>
          </w:tcPr>
          <w:p w14:paraId="0B57D200"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431FF47C" w14:textId="77777777" w:rsidR="002D58E4" w:rsidRDefault="00F721D4">
            <w:pPr>
              <w:rPr>
                <w:sz w:val="20"/>
                <w:szCs w:val="20"/>
              </w:rPr>
            </w:pPr>
            <w:r>
              <w:rPr>
                <w:sz w:val="20"/>
                <w:szCs w:val="20"/>
              </w:rPr>
              <w:t xml:space="preserve">RTC </w:t>
            </w:r>
            <w:r>
              <w:rPr>
                <w:sz w:val="20"/>
                <w:szCs w:val="20"/>
                <w:vertAlign w:val="superscript"/>
              </w:rPr>
              <w:t>1</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3BF31283" w14:textId="77777777" w:rsidR="002D58E4" w:rsidRDefault="00F721D4">
            <w:pPr>
              <w:rPr>
                <w:sz w:val="20"/>
                <w:szCs w:val="20"/>
              </w:rPr>
            </w:pPr>
            <w:r>
              <w:rPr>
                <w:sz w:val="20"/>
                <w:szCs w:val="20"/>
              </w:rPr>
              <w:t>not serious</w:t>
            </w:r>
          </w:p>
        </w:tc>
        <w:tc>
          <w:tcPr>
            <w:tcW w:w="1134" w:type="dxa"/>
            <w:tcBorders>
              <w:top w:val="single" w:sz="6" w:space="0" w:color="000000"/>
              <w:left w:val="single" w:sz="6" w:space="0" w:color="000000"/>
              <w:bottom w:val="single" w:sz="6" w:space="0" w:color="000000"/>
              <w:right w:val="single" w:sz="6" w:space="0" w:color="000000"/>
            </w:tcBorders>
          </w:tcPr>
          <w:p w14:paraId="771A00C8" w14:textId="77777777" w:rsidR="002D58E4" w:rsidRDefault="00F721D4">
            <w:pPr>
              <w:rPr>
                <w:sz w:val="20"/>
                <w:szCs w:val="20"/>
              </w:rPr>
            </w:pPr>
            <w:r>
              <w:rPr>
                <w:sz w:val="20"/>
                <w:szCs w:val="20"/>
              </w:rPr>
              <w:t xml:space="preserve">not serious </w:t>
            </w:r>
          </w:p>
        </w:tc>
        <w:tc>
          <w:tcPr>
            <w:tcW w:w="1123" w:type="dxa"/>
            <w:tcBorders>
              <w:top w:val="single" w:sz="6" w:space="0" w:color="000000"/>
              <w:left w:val="single" w:sz="6" w:space="0" w:color="000000"/>
              <w:bottom w:val="single" w:sz="6" w:space="0" w:color="000000"/>
              <w:right w:val="single" w:sz="6" w:space="0" w:color="000000"/>
            </w:tcBorders>
          </w:tcPr>
          <w:p w14:paraId="3B9CE6A7"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0D496106"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531BDA2D"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6E8DD69F" w14:textId="77777777" w:rsidR="002D58E4" w:rsidRDefault="00F721D4">
            <w:pPr>
              <w:jc w:val="center"/>
              <w:rPr>
                <w:sz w:val="20"/>
                <w:szCs w:val="20"/>
              </w:rPr>
            </w:pPr>
            <w:r>
              <w:rPr>
                <w:sz w:val="20"/>
                <w:szCs w:val="20"/>
              </w:rPr>
              <w:t xml:space="preserve">63/72 (87.5%) </w:t>
            </w:r>
          </w:p>
        </w:tc>
        <w:tc>
          <w:tcPr>
            <w:tcW w:w="1253" w:type="dxa"/>
            <w:tcBorders>
              <w:top w:val="single" w:sz="6" w:space="0" w:color="000000"/>
              <w:left w:val="single" w:sz="6" w:space="0" w:color="000000"/>
              <w:bottom w:val="single" w:sz="6" w:space="0" w:color="000000"/>
              <w:right w:val="single" w:sz="6" w:space="0" w:color="000000"/>
            </w:tcBorders>
          </w:tcPr>
          <w:p w14:paraId="526F8FA4" w14:textId="77777777" w:rsidR="002D58E4" w:rsidRDefault="00F721D4">
            <w:pPr>
              <w:jc w:val="center"/>
              <w:rPr>
                <w:sz w:val="20"/>
                <w:szCs w:val="20"/>
              </w:rPr>
            </w:pPr>
            <w:r>
              <w:rPr>
                <w:sz w:val="20"/>
                <w:szCs w:val="20"/>
              </w:rPr>
              <w:t xml:space="preserve">58/68 </w:t>
            </w:r>
          </w:p>
          <w:p w14:paraId="1CE6666A" w14:textId="77777777" w:rsidR="002D58E4" w:rsidRDefault="00F721D4">
            <w:pPr>
              <w:jc w:val="center"/>
              <w:rPr>
                <w:sz w:val="20"/>
                <w:szCs w:val="20"/>
              </w:rPr>
            </w:pPr>
            <w:r>
              <w:rPr>
                <w:sz w:val="20"/>
                <w:szCs w:val="20"/>
              </w:rPr>
              <w:t xml:space="preserve">(85.3%) </w:t>
            </w:r>
          </w:p>
        </w:tc>
        <w:tc>
          <w:tcPr>
            <w:tcW w:w="1270" w:type="dxa"/>
            <w:tcBorders>
              <w:top w:val="single" w:sz="6" w:space="0" w:color="000000"/>
              <w:left w:val="single" w:sz="6" w:space="0" w:color="000000"/>
              <w:bottom w:val="single" w:sz="6" w:space="0" w:color="000000"/>
              <w:right w:val="single" w:sz="6" w:space="0" w:color="000000"/>
            </w:tcBorders>
          </w:tcPr>
          <w:p w14:paraId="4DF3B032" w14:textId="77777777" w:rsidR="002D58E4" w:rsidRDefault="00F721D4">
            <w:pPr>
              <w:jc w:val="center"/>
              <w:rPr>
                <w:sz w:val="20"/>
                <w:szCs w:val="20"/>
              </w:rPr>
            </w:pPr>
            <w:r>
              <w:rPr>
                <w:sz w:val="20"/>
                <w:szCs w:val="20"/>
              </w:rPr>
              <w:t xml:space="preserve">RR 1.03 </w:t>
            </w:r>
          </w:p>
          <w:p w14:paraId="18BB5724" w14:textId="77777777" w:rsidR="002D58E4" w:rsidRDefault="00F721D4">
            <w:pPr>
              <w:jc w:val="center"/>
              <w:rPr>
                <w:sz w:val="20"/>
                <w:szCs w:val="20"/>
              </w:rPr>
            </w:pPr>
            <w:r>
              <w:rPr>
                <w:sz w:val="20"/>
                <w:szCs w:val="20"/>
              </w:rPr>
              <w:t>(0.90 to 1.17)</w:t>
            </w:r>
          </w:p>
        </w:tc>
        <w:tc>
          <w:tcPr>
            <w:tcW w:w="2283" w:type="dxa"/>
            <w:tcBorders>
              <w:top w:val="single" w:sz="6" w:space="0" w:color="000000"/>
              <w:left w:val="single" w:sz="6" w:space="0" w:color="000000"/>
              <w:bottom w:val="single" w:sz="6" w:space="0" w:color="000000"/>
              <w:right w:val="single" w:sz="6" w:space="0" w:color="000000"/>
            </w:tcBorders>
          </w:tcPr>
          <w:p w14:paraId="660AC5E9" w14:textId="77777777" w:rsidR="002D58E4" w:rsidRDefault="00F721D4">
            <w:pPr>
              <w:jc w:val="center"/>
              <w:rPr>
                <w:sz w:val="20"/>
                <w:szCs w:val="20"/>
              </w:rPr>
            </w:pPr>
            <w:r>
              <w:rPr>
                <w:sz w:val="20"/>
                <w:szCs w:val="20"/>
              </w:rPr>
              <w:t>22 more per 1,000</w:t>
            </w:r>
            <w:r>
              <w:rPr>
                <w:sz w:val="20"/>
                <w:szCs w:val="20"/>
              </w:rPr>
              <w:br/>
              <w:t xml:space="preserve">(from 86 fewer to 145 more) </w:t>
            </w:r>
          </w:p>
        </w:tc>
        <w:tc>
          <w:tcPr>
            <w:tcW w:w="1111" w:type="dxa"/>
            <w:tcBorders>
              <w:top w:val="single" w:sz="6" w:space="0" w:color="000000"/>
              <w:left w:val="single" w:sz="6" w:space="0" w:color="000000"/>
              <w:bottom w:val="single" w:sz="6" w:space="0" w:color="000000"/>
              <w:right w:val="single" w:sz="6" w:space="0" w:color="000000"/>
            </w:tcBorders>
          </w:tcPr>
          <w:p w14:paraId="46576093"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001" w:type="dxa"/>
            <w:tcBorders>
              <w:top w:val="single" w:sz="6" w:space="0" w:color="000000"/>
              <w:left w:val="single" w:sz="6" w:space="0" w:color="000000"/>
              <w:bottom w:val="single" w:sz="6" w:space="0" w:color="000000"/>
              <w:right w:val="single" w:sz="6" w:space="0" w:color="000000"/>
            </w:tcBorders>
          </w:tcPr>
          <w:p w14:paraId="2120B495" w14:textId="77777777" w:rsidR="002D58E4" w:rsidRDefault="00F721D4">
            <w:pPr>
              <w:rPr>
                <w:sz w:val="20"/>
                <w:szCs w:val="20"/>
              </w:rPr>
            </w:pPr>
            <w:r>
              <w:rPr>
                <w:sz w:val="20"/>
                <w:szCs w:val="20"/>
              </w:rPr>
              <w:t xml:space="preserve">CRITICAL </w:t>
            </w:r>
          </w:p>
        </w:tc>
      </w:tr>
      <w:tr w:rsidR="002D58E4" w14:paraId="13827F8C"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DFD2509" w14:textId="77777777" w:rsidR="002D58E4" w:rsidRDefault="00F721D4">
            <w:pPr>
              <w:rPr>
                <w:b/>
                <w:sz w:val="20"/>
                <w:szCs w:val="20"/>
              </w:rPr>
            </w:pPr>
            <w:r>
              <w:rPr>
                <w:b/>
                <w:sz w:val="20"/>
                <w:szCs w:val="20"/>
              </w:rPr>
              <w:t xml:space="preserve">Treatment failure </w:t>
            </w:r>
            <w:r>
              <w:rPr>
                <w:sz w:val="20"/>
                <w:szCs w:val="20"/>
              </w:rPr>
              <w:t>(at last follow-up) *</w:t>
            </w:r>
          </w:p>
        </w:tc>
      </w:tr>
      <w:tr w:rsidR="002D58E4" w14:paraId="3B29848B" w14:textId="77777777" w:rsidTr="00E343BA">
        <w:tc>
          <w:tcPr>
            <w:tcW w:w="708" w:type="dxa"/>
            <w:tcBorders>
              <w:top w:val="single" w:sz="6" w:space="0" w:color="000000"/>
              <w:left w:val="single" w:sz="6" w:space="0" w:color="000000"/>
              <w:bottom w:val="single" w:sz="6" w:space="0" w:color="000000"/>
              <w:right w:val="single" w:sz="6" w:space="0" w:color="000000"/>
            </w:tcBorders>
          </w:tcPr>
          <w:p w14:paraId="1063D6F5"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613A3836" w14:textId="77777777" w:rsidR="002D58E4" w:rsidRDefault="00F721D4">
            <w:pPr>
              <w:rPr>
                <w:sz w:val="20"/>
                <w:szCs w:val="20"/>
              </w:rPr>
            </w:pPr>
            <w:r>
              <w:rPr>
                <w:sz w:val="20"/>
                <w:szCs w:val="20"/>
              </w:rPr>
              <w:t xml:space="preserve">RCT </w:t>
            </w:r>
            <w:r>
              <w:rPr>
                <w:sz w:val="20"/>
                <w:szCs w:val="20"/>
                <w:vertAlign w:val="superscript"/>
              </w:rPr>
              <w:t xml:space="preserve">1 </w:t>
            </w:r>
          </w:p>
        </w:tc>
        <w:tc>
          <w:tcPr>
            <w:tcW w:w="850" w:type="dxa"/>
            <w:tcBorders>
              <w:top w:val="single" w:sz="6" w:space="0" w:color="000000"/>
              <w:left w:val="single" w:sz="6" w:space="0" w:color="000000"/>
              <w:bottom w:val="single" w:sz="6" w:space="0" w:color="000000"/>
              <w:right w:val="single" w:sz="6" w:space="0" w:color="000000"/>
            </w:tcBorders>
          </w:tcPr>
          <w:p w14:paraId="118B6D33" w14:textId="77777777" w:rsidR="002D58E4" w:rsidRDefault="00F721D4">
            <w:pPr>
              <w:rPr>
                <w:sz w:val="20"/>
                <w:szCs w:val="20"/>
              </w:rPr>
            </w:pPr>
            <w:r>
              <w:rPr>
                <w:sz w:val="20"/>
                <w:szCs w:val="20"/>
              </w:rPr>
              <w:t>not serious</w:t>
            </w:r>
          </w:p>
        </w:tc>
        <w:tc>
          <w:tcPr>
            <w:tcW w:w="1134" w:type="dxa"/>
            <w:tcBorders>
              <w:top w:val="single" w:sz="6" w:space="0" w:color="000000"/>
              <w:left w:val="single" w:sz="6" w:space="0" w:color="000000"/>
              <w:bottom w:val="single" w:sz="6" w:space="0" w:color="000000"/>
              <w:right w:val="single" w:sz="6" w:space="0" w:color="000000"/>
            </w:tcBorders>
          </w:tcPr>
          <w:p w14:paraId="2CE9017D" w14:textId="77777777" w:rsidR="002D58E4" w:rsidRDefault="00F721D4">
            <w:pPr>
              <w:rPr>
                <w:sz w:val="20"/>
                <w:szCs w:val="20"/>
              </w:rPr>
            </w:pPr>
            <w:r>
              <w:rPr>
                <w:sz w:val="20"/>
                <w:szCs w:val="20"/>
              </w:rPr>
              <w:t>not serious</w:t>
            </w:r>
          </w:p>
        </w:tc>
        <w:tc>
          <w:tcPr>
            <w:tcW w:w="1123" w:type="dxa"/>
            <w:tcBorders>
              <w:top w:val="single" w:sz="6" w:space="0" w:color="000000"/>
              <w:left w:val="single" w:sz="6" w:space="0" w:color="000000"/>
              <w:bottom w:val="single" w:sz="6" w:space="0" w:color="000000"/>
              <w:right w:val="single" w:sz="6" w:space="0" w:color="000000"/>
            </w:tcBorders>
          </w:tcPr>
          <w:p w14:paraId="01EAE896"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2BE9839B"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386AA53B"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6E51A3B2" w14:textId="77777777" w:rsidR="002D58E4" w:rsidRDefault="00F721D4">
            <w:pPr>
              <w:jc w:val="center"/>
              <w:rPr>
                <w:sz w:val="20"/>
                <w:szCs w:val="20"/>
              </w:rPr>
            </w:pPr>
            <w:r>
              <w:rPr>
                <w:sz w:val="20"/>
                <w:szCs w:val="20"/>
              </w:rPr>
              <w:t xml:space="preserve">1/72 </w:t>
            </w:r>
          </w:p>
          <w:p w14:paraId="4D01C6A5" w14:textId="77777777" w:rsidR="002D58E4" w:rsidRDefault="00F721D4">
            <w:pPr>
              <w:jc w:val="center"/>
              <w:rPr>
                <w:sz w:val="20"/>
                <w:szCs w:val="20"/>
              </w:rPr>
            </w:pPr>
            <w:r>
              <w:rPr>
                <w:sz w:val="20"/>
                <w:szCs w:val="20"/>
              </w:rPr>
              <w:t xml:space="preserve">(1.4%)  </w:t>
            </w:r>
          </w:p>
        </w:tc>
        <w:tc>
          <w:tcPr>
            <w:tcW w:w="1253" w:type="dxa"/>
            <w:tcBorders>
              <w:top w:val="single" w:sz="6" w:space="0" w:color="000000"/>
              <w:left w:val="single" w:sz="6" w:space="0" w:color="000000"/>
              <w:bottom w:val="single" w:sz="6" w:space="0" w:color="000000"/>
              <w:right w:val="single" w:sz="6" w:space="0" w:color="000000"/>
            </w:tcBorders>
          </w:tcPr>
          <w:p w14:paraId="582E7FD5" w14:textId="77777777" w:rsidR="002D58E4" w:rsidRDefault="00F721D4">
            <w:pPr>
              <w:jc w:val="center"/>
              <w:rPr>
                <w:sz w:val="20"/>
                <w:szCs w:val="20"/>
              </w:rPr>
            </w:pPr>
            <w:r>
              <w:rPr>
                <w:sz w:val="20"/>
                <w:szCs w:val="20"/>
              </w:rPr>
              <w:t xml:space="preserve">1/68 </w:t>
            </w:r>
          </w:p>
          <w:p w14:paraId="0AEAEAB2" w14:textId="77777777" w:rsidR="002D58E4" w:rsidRDefault="00F721D4">
            <w:pPr>
              <w:jc w:val="center"/>
              <w:rPr>
                <w:sz w:val="20"/>
                <w:szCs w:val="20"/>
              </w:rPr>
            </w:pPr>
            <w:r>
              <w:rPr>
                <w:sz w:val="20"/>
                <w:szCs w:val="20"/>
              </w:rPr>
              <w:t xml:space="preserve">(1.5%) </w:t>
            </w:r>
          </w:p>
        </w:tc>
        <w:tc>
          <w:tcPr>
            <w:tcW w:w="1270" w:type="dxa"/>
            <w:tcBorders>
              <w:top w:val="single" w:sz="6" w:space="0" w:color="000000"/>
              <w:left w:val="single" w:sz="6" w:space="0" w:color="000000"/>
              <w:bottom w:val="single" w:sz="6" w:space="0" w:color="000000"/>
              <w:right w:val="single" w:sz="6" w:space="0" w:color="000000"/>
            </w:tcBorders>
          </w:tcPr>
          <w:p w14:paraId="713A59BF" w14:textId="77777777" w:rsidR="002D58E4" w:rsidRDefault="00F721D4">
            <w:pPr>
              <w:jc w:val="center"/>
              <w:rPr>
                <w:sz w:val="20"/>
                <w:szCs w:val="20"/>
              </w:rPr>
            </w:pPr>
            <w:r>
              <w:rPr>
                <w:sz w:val="20"/>
                <w:szCs w:val="20"/>
              </w:rPr>
              <w:t>RR 0.94</w:t>
            </w:r>
            <w:r>
              <w:rPr>
                <w:sz w:val="20"/>
                <w:szCs w:val="20"/>
              </w:rPr>
              <w:br/>
              <w:t xml:space="preserve">(0.06 to 14.80) </w:t>
            </w:r>
          </w:p>
        </w:tc>
        <w:tc>
          <w:tcPr>
            <w:tcW w:w="2283" w:type="dxa"/>
            <w:tcBorders>
              <w:top w:val="single" w:sz="6" w:space="0" w:color="000000"/>
              <w:left w:val="single" w:sz="6" w:space="0" w:color="000000"/>
              <w:bottom w:val="single" w:sz="6" w:space="0" w:color="000000"/>
              <w:right w:val="single" w:sz="6" w:space="0" w:color="000000"/>
            </w:tcBorders>
          </w:tcPr>
          <w:p w14:paraId="6691DF3C" w14:textId="77777777" w:rsidR="002D58E4" w:rsidRDefault="00F721D4">
            <w:pPr>
              <w:jc w:val="center"/>
              <w:rPr>
                <w:sz w:val="20"/>
                <w:szCs w:val="20"/>
              </w:rPr>
            </w:pPr>
            <w:r>
              <w:rPr>
                <w:sz w:val="20"/>
                <w:szCs w:val="20"/>
              </w:rPr>
              <w:t>1 fewer per 1,000</w:t>
            </w:r>
            <w:r>
              <w:rPr>
                <w:sz w:val="20"/>
                <w:szCs w:val="20"/>
              </w:rPr>
              <w:br/>
              <w:t xml:space="preserve">(from 14 fewer to 203 more) </w:t>
            </w:r>
          </w:p>
        </w:tc>
        <w:tc>
          <w:tcPr>
            <w:tcW w:w="1111" w:type="dxa"/>
            <w:tcBorders>
              <w:top w:val="single" w:sz="6" w:space="0" w:color="000000"/>
              <w:left w:val="single" w:sz="6" w:space="0" w:color="000000"/>
              <w:bottom w:val="single" w:sz="6" w:space="0" w:color="000000"/>
              <w:right w:val="single" w:sz="6" w:space="0" w:color="000000"/>
            </w:tcBorders>
          </w:tcPr>
          <w:p w14:paraId="052DDB8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001" w:type="dxa"/>
            <w:tcBorders>
              <w:top w:val="single" w:sz="6" w:space="0" w:color="000000"/>
              <w:left w:val="single" w:sz="6" w:space="0" w:color="000000"/>
              <w:bottom w:val="single" w:sz="6" w:space="0" w:color="000000"/>
              <w:right w:val="single" w:sz="6" w:space="0" w:color="000000"/>
            </w:tcBorders>
          </w:tcPr>
          <w:p w14:paraId="4B4BEF56" w14:textId="77777777" w:rsidR="002D58E4" w:rsidRDefault="00F721D4">
            <w:pPr>
              <w:rPr>
                <w:sz w:val="20"/>
                <w:szCs w:val="20"/>
              </w:rPr>
            </w:pPr>
            <w:r>
              <w:rPr>
                <w:sz w:val="20"/>
                <w:szCs w:val="20"/>
              </w:rPr>
              <w:t xml:space="preserve">CRITICAL </w:t>
            </w:r>
          </w:p>
        </w:tc>
      </w:tr>
      <w:tr w:rsidR="002D58E4" w14:paraId="0B257B34"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2CE9B38" w14:textId="77777777" w:rsidR="002D58E4" w:rsidRDefault="00F721D4">
            <w:pPr>
              <w:rPr>
                <w:b/>
                <w:sz w:val="20"/>
                <w:szCs w:val="20"/>
              </w:rPr>
            </w:pPr>
            <w:r>
              <w:rPr>
                <w:b/>
                <w:sz w:val="20"/>
                <w:szCs w:val="20"/>
              </w:rPr>
              <w:t>Resolution of Erythema migrans</w:t>
            </w:r>
            <w:r>
              <w:rPr>
                <w:sz w:val="20"/>
                <w:szCs w:val="20"/>
              </w:rPr>
              <w:t xml:space="preserve"> (at 90 days) </w:t>
            </w:r>
          </w:p>
        </w:tc>
      </w:tr>
      <w:tr w:rsidR="002D58E4" w14:paraId="1C790333" w14:textId="77777777" w:rsidTr="00E343BA">
        <w:tc>
          <w:tcPr>
            <w:tcW w:w="708" w:type="dxa"/>
            <w:tcBorders>
              <w:top w:val="single" w:sz="6" w:space="0" w:color="000000"/>
              <w:left w:val="single" w:sz="6" w:space="0" w:color="000000"/>
              <w:bottom w:val="single" w:sz="6" w:space="0" w:color="000000"/>
              <w:right w:val="single" w:sz="6" w:space="0" w:color="000000"/>
            </w:tcBorders>
          </w:tcPr>
          <w:p w14:paraId="37F434C9"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2E99D405"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5E6784DA" w14:textId="77777777" w:rsidR="002D58E4" w:rsidRDefault="00F721D4">
            <w:pPr>
              <w:rPr>
                <w:sz w:val="20"/>
                <w:szCs w:val="20"/>
              </w:rPr>
            </w:pPr>
            <w:r>
              <w:rPr>
                <w:sz w:val="20"/>
                <w:szCs w:val="20"/>
              </w:rPr>
              <w:t>not serious</w:t>
            </w:r>
          </w:p>
        </w:tc>
        <w:tc>
          <w:tcPr>
            <w:tcW w:w="1134" w:type="dxa"/>
            <w:tcBorders>
              <w:top w:val="single" w:sz="6" w:space="0" w:color="000000"/>
              <w:left w:val="single" w:sz="6" w:space="0" w:color="000000"/>
              <w:bottom w:val="single" w:sz="6" w:space="0" w:color="000000"/>
              <w:right w:val="single" w:sz="6" w:space="0" w:color="000000"/>
            </w:tcBorders>
          </w:tcPr>
          <w:p w14:paraId="44609283" w14:textId="77777777" w:rsidR="002D58E4" w:rsidRDefault="00F721D4">
            <w:pPr>
              <w:rPr>
                <w:sz w:val="20"/>
                <w:szCs w:val="20"/>
              </w:rPr>
            </w:pPr>
            <w:r>
              <w:rPr>
                <w:sz w:val="20"/>
                <w:szCs w:val="20"/>
              </w:rPr>
              <w:t>not serious</w:t>
            </w:r>
          </w:p>
        </w:tc>
        <w:tc>
          <w:tcPr>
            <w:tcW w:w="1123" w:type="dxa"/>
            <w:tcBorders>
              <w:top w:val="single" w:sz="6" w:space="0" w:color="000000"/>
              <w:left w:val="single" w:sz="6" w:space="0" w:color="000000"/>
              <w:bottom w:val="single" w:sz="6" w:space="0" w:color="000000"/>
              <w:right w:val="single" w:sz="6" w:space="0" w:color="000000"/>
            </w:tcBorders>
          </w:tcPr>
          <w:p w14:paraId="47E173F8"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2F2ADCC4"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1A6425B8"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0F07C782" w14:textId="77777777" w:rsidR="002D58E4" w:rsidRDefault="00F721D4">
            <w:pPr>
              <w:jc w:val="center"/>
              <w:rPr>
                <w:sz w:val="20"/>
                <w:szCs w:val="20"/>
              </w:rPr>
            </w:pPr>
            <w:r>
              <w:rPr>
                <w:sz w:val="20"/>
                <w:szCs w:val="20"/>
              </w:rPr>
              <w:t xml:space="preserve">63/67 </w:t>
            </w:r>
          </w:p>
          <w:p w14:paraId="387D7A87" w14:textId="77777777" w:rsidR="002D58E4" w:rsidRDefault="00F721D4">
            <w:pPr>
              <w:jc w:val="center"/>
              <w:rPr>
                <w:sz w:val="20"/>
                <w:szCs w:val="20"/>
              </w:rPr>
            </w:pPr>
            <w:r>
              <w:rPr>
                <w:sz w:val="20"/>
                <w:szCs w:val="20"/>
              </w:rPr>
              <w:t xml:space="preserve">(94.0%) </w:t>
            </w:r>
          </w:p>
        </w:tc>
        <w:tc>
          <w:tcPr>
            <w:tcW w:w="1253" w:type="dxa"/>
            <w:tcBorders>
              <w:top w:val="single" w:sz="6" w:space="0" w:color="000000"/>
              <w:left w:val="single" w:sz="6" w:space="0" w:color="000000"/>
              <w:bottom w:val="single" w:sz="6" w:space="0" w:color="000000"/>
              <w:right w:val="single" w:sz="6" w:space="0" w:color="000000"/>
            </w:tcBorders>
          </w:tcPr>
          <w:p w14:paraId="40D25EA4" w14:textId="77777777" w:rsidR="002D58E4" w:rsidRDefault="00F721D4">
            <w:pPr>
              <w:jc w:val="center"/>
              <w:rPr>
                <w:sz w:val="20"/>
                <w:szCs w:val="20"/>
              </w:rPr>
            </w:pPr>
            <w:r>
              <w:rPr>
                <w:sz w:val="20"/>
                <w:szCs w:val="20"/>
              </w:rPr>
              <w:t xml:space="preserve">55/60 </w:t>
            </w:r>
          </w:p>
          <w:p w14:paraId="61858BFF" w14:textId="77777777" w:rsidR="002D58E4" w:rsidRDefault="00F721D4">
            <w:pPr>
              <w:jc w:val="center"/>
              <w:rPr>
                <w:sz w:val="20"/>
                <w:szCs w:val="20"/>
              </w:rPr>
            </w:pPr>
            <w:r>
              <w:rPr>
                <w:sz w:val="20"/>
                <w:szCs w:val="20"/>
              </w:rPr>
              <w:t xml:space="preserve">(91.7%) </w:t>
            </w:r>
          </w:p>
        </w:tc>
        <w:tc>
          <w:tcPr>
            <w:tcW w:w="1270" w:type="dxa"/>
            <w:tcBorders>
              <w:top w:val="single" w:sz="6" w:space="0" w:color="000000"/>
              <w:left w:val="single" w:sz="6" w:space="0" w:color="000000"/>
              <w:bottom w:val="single" w:sz="6" w:space="0" w:color="000000"/>
              <w:right w:val="single" w:sz="6" w:space="0" w:color="000000"/>
            </w:tcBorders>
          </w:tcPr>
          <w:p w14:paraId="5B58AE58" w14:textId="77777777" w:rsidR="002D58E4" w:rsidRDefault="00F721D4">
            <w:pPr>
              <w:jc w:val="center"/>
              <w:rPr>
                <w:sz w:val="20"/>
                <w:szCs w:val="20"/>
              </w:rPr>
            </w:pPr>
            <w:r>
              <w:rPr>
                <w:sz w:val="20"/>
                <w:szCs w:val="20"/>
              </w:rPr>
              <w:t>RR 1.03</w:t>
            </w:r>
            <w:r>
              <w:rPr>
                <w:sz w:val="20"/>
                <w:szCs w:val="20"/>
              </w:rPr>
              <w:br/>
              <w:t xml:space="preserve">(0.93 to 1.13) </w:t>
            </w:r>
          </w:p>
        </w:tc>
        <w:tc>
          <w:tcPr>
            <w:tcW w:w="2283" w:type="dxa"/>
            <w:tcBorders>
              <w:top w:val="single" w:sz="6" w:space="0" w:color="000000"/>
              <w:left w:val="single" w:sz="6" w:space="0" w:color="000000"/>
              <w:bottom w:val="single" w:sz="6" w:space="0" w:color="000000"/>
              <w:right w:val="single" w:sz="6" w:space="0" w:color="000000"/>
            </w:tcBorders>
          </w:tcPr>
          <w:p w14:paraId="742557B5" w14:textId="77777777" w:rsidR="002D58E4" w:rsidRDefault="00F721D4">
            <w:pPr>
              <w:jc w:val="center"/>
              <w:rPr>
                <w:sz w:val="20"/>
                <w:szCs w:val="20"/>
              </w:rPr>
            </w:pPr>
            <w:r>
              <w:rPr>
                <w:sz w:val="20"/>
                <w:szCs w:val="20"/>
              </w:rPr>
              <w:t>24 more per 1,000</w:t>
            </w:r>
            <w:r>
              <w:rPr>
                <w:sz w:val="20"/>
                <w:szCs w:val="20"/>
              </w:rPr>
              <w:br/>
              <w:t xml:space="preserve">(from 64 fewer to 120 more) </w:t>
            </w:r>
          </w:p>
        </w:tc>
        <w:tc>
          <w:tcPr>
            <w:tcW w:w="1111" w:type="dxa"/>
            <w:tcBorders>
              <w:top w:val="single" w:sz="6" w:space="0" w:color="000000"/>
              <w:left w:val="single" w:sz="6" w:space="0" w:color="000000"/>
              <w:bottom w:val="single" w:sz="6" w:space="0" w:color="000000"/>
              <w:right w:val="single" w:sz="6" w:space="0" w:color="000000"/>
            </w:tcBorders>
          </w:tcPr>
          <w:p w14:paraId="57A2B09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001" w:type="dxa"/>
            <w:tcBorders>
              <w:top w:val="single" w:sz="6" w:space="0" w:color="000000"/>
              <w:left w:val="single" w:sz="6" w:space="0" w:color="000000"/>
              <w:bottom w:val="single" w:sz="6" w:space="0" w:color="000000"/>
              <w:right w:val="single" w:sz="6" w:space="0" w:color="000000"/>
            </w:tcBorders>
          </w:tcPr>
          <w:p w14:paraId="175E6C9A" w14:textId="77777777" w:rsidR="002D58E4" w:rsidRDefault="00F721D4">
            <w:pPr>
              <w:rPr>
                <w:sz w:val="20"/>
                <w:szCs w:val="20"/>
              </w:rPr>
            </w:pPr>
            <w:r>
              <w:rPr>
                <w:sz w:val="20"/>
                <w:szCs w:val="20"/>
              </w:rPr>
              <w:t>CRITICAL</w:t>
            </w:r>
          </w:p>
        </w:tc>
      </w:tr>
      <w:tr w:rsidR="002D58E4" w14:paraId="671FBAFF"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97C784B" w14:textId="77777777" w:rsidR="002D58E4" w:rsidRDefault="00F721D4">
            <w:pPr>
              <w:rPr>
                <w:sz w:val="20"/>
                <w:szCs w:val="20"/>
              </w:rPr>
            </w:pPr>
            <w:r>
              <w:rPr>
                <w:b/>
                <w:sz w:val="20"/>
                <w:szCs w:val="20"/>
              </w:rPr>
              <w:t>Withdrawals due to Adverse Events</w:t>
            </w:r>
          </w:p>
        </w:tc>
      </w:tr>
      <w:tr w:rsidR="002D58E4" w14:paraId="532F47D8" w14:textId="77777777" w:rsidTr="00E343BA">
        <w:tc>
          <w:tcPr>
            <w:tcW w:w="708" w:type="dxa"/>
            <w:tcBorders>
              <w:top w:val="single" w:sz="6" w:space="0" w:color="000000"/>
              <w:left w:val="single" w:sz="6" w:space="0" w:color="000000"/>
              <w:bottom w:val="single" w:sz="6" w:space="0" w:color="000000"/>
              <w:right w:val="single" w:sz="6" w:space="0" w:color="000000"/>
            </w:tcBorders>
          </w:tcPr>
          <w:p w14:paraId="4755BC1A"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3F1E07C3"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E1CA744" w14:textId="77777777" w:rsidR="002D58E4" w:rsidRDefault="00F721D4">
            <w:pPr>
              <w:rPr>
                <w:sz w:val="20"/>
                <w:szCs w:val="20"/>
              </w:rPr>
            </w:pPr>
            <w:r>
              <w:rPr>
                <w:sz w:val="20"/>
                <w:szCs w:val="20"/>
              </w:rPr>
              <w:t xml:space="preserve">serious </w:t>
            </w:r>
            <w:r>
              <w:rPr>
                <w:sz w:val="20"/>
                <w:szCs w:val="20"/>
                <w:vertAlign w:val="superscript"/>
              </w:rPr>
              <w:t>a</w:t>
            </w:r>
          </w:p>
        </w:tc>
        <w:tc>
          <w:tcPr>
            <w:tcW w:w="1134" w:type="dxa"/>
            <w:tcBorders>
              <w:top w:val="single" w:sz="6" w:space="0" w:color="000000"/>
              <w:left w:val="single" w:sz="6" w:space="0" w:color="000000"/>
              <w:bottom w:val="single" w:sz="6" w:space="0" w:color="000000"/>
              <w:right w:val="single" w:sz="6" w:space="0" w:color="000000"/>
            </w:tcBorders>
          </w:tcPr>
          <w:p w14:paraId="2C49DD55" w14:textId="77777777" w:rsidR="002D58E4" w:rsidRDefault="00F721D4">
            <w:pPr>
              <w:rPr>
                <w:sz w:val="20"/>
                <w:szCs w:val="20"/>
              </w:rPr>
            </w:pPr>
            <w:r>
              <w:rPr>
                <w:sz w:val="20"/>
                <w:szCs w:val="20"/>
              </w:rPr>
              <w:t>not serious</w:t>
            </w:r>
          </w:p>
        </w:tc>
        <w:tc>
          <w:tcPr>
            <w:tcW w:w="1123" w:type="dxa"/>
            <w:tcBorders>
              <w:top w:val="single" w:sz="6" w:space="0" w:color="000000"/>
              <w:left w:val="single" w:sz="6" w:space="0" w:color="000000"/>
              <w:bottom w:val="single" w:sz="6" w:space="0" w:color="000000"/>
              <w:right w:val="single" w:sz="6" w:space="0" w:color="000000"/>
            </w:tcBorders>
          </w:tcPr>
          <w:p w14:paraId="28BCC2A6"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6C8419B1"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22DA8EC4"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35A3CB99" w14:textId="77777777" w:rsidR="002D58E4" w:rsidRDefault="00F721D4">
            <w:pPr>
              <w:jc w:val="center"/>
              <w:rPr>
                <w:sz w:val="20"/>
                <w:szCs w:val="20"/>
              </w:rPr>
            </w:pPr>
            <w:r>
              <w:rPr>
                <w:sz w:val="20"/>
                <w:szCs w:val="20"/>
              </w:rPr>
              <w:t xml:space="preserve">0/72 </w:t>
            </w:r>
          </w:p>
          <w:p w14:paraId="67C6709D" w14:textId="77777777" w:rsidR="002D58E4" w:rsidRDefault="00F721D4">
            <w:pPr>
              <w:jc w:val="center"/>
              <w:rPr>
                <w:sz w:val="20"/>
                <w:szCs w:val="20"/>
              </w:rPr>
            </w:pPr>
            <w:r>
              <w:rPr>
                <w:sz w:val="20"/>
                <w:szCs w:val="20"/>
              </w:rPr>
              <w:t xml:space="preserve">(0.0%) </w:t>
            </w:r>
          </w:p>
        </w:tc>
        <w:tc>
          <w:tcPr>
            <w:tcW w:w="1253" w:type="dxa"/>
            <w:tcBorders>
              <w:top w:val="single" w:sz="6" w:space="0" w:color="000000"/>
              <w:left w:val="single" w:sz="6" w:space="0" w:color="000000"/>
              <w:bottom w:val="single" w:sz="6" w:space="0" w:color="000000"/>
              <w:right w:val="single" w:sz="6" w:space="0" w:color="000000"/>
            </w:tcBorders>
          </w:tcPr>
          <w:p w14:paraId="42DB348A" w14:textId="77777777" w:rsidR="002D58E4" w:rsidRDefault="00F721D4">
            <w:pPr>
              <w:jc w:val="center"/>
              <w:rPr>
                <w:sz w:val="20"/>
                <w:szCs w:val="20"/>
              </w:rPr>
            </w:pPr>
            <w:r>
              <w:rPr>
                <w:sz w:val="20"/>
                <w:szCs w:val="20"/>
              </w:rPr>
              <w:t xml:space="preserve">4/68 </w:t>
            </w:r>
          </w:p>
          <w:p w14:paraId="6E7B757C" w14:textId="77777777" w:rsidR="002D58E4" w:rsidRDefault="00F721D4">
            <w:pPr>
              <w:jc w:val="center"/>
              <w:rPr>
                <w:sz w:val="20"/>
                <w:szCs w:val="20"/>
              </w:rPr>
            </w:pPr>
            <w:r>
              <w:rPr>
                <w:sz w:val="20"/>
                <w:szCs w:val="20"/>
              </w:rPr>
              <w:t>(5.9%)</w:t>
            </w:r>
          </w:p>
        </w:tc>
        <w:tc>
          <w:tcPr>
            <w:tcW w:w="1270" w:type="dxa"/>
            <w:tcBorders>
              <w:top w:val="single" w:sz="6" w:space="0" w:color="000000"/>
              <w:left w:val="single" w:sz="6" w:space="0" w:color="000000"/>
              <w:bottom w:val="single" w:sz="6" w:space="0" w:color="000000"/>
              <w:right w:val="single" w:sz="6" w:space="0" w:color="000000"/>
            </w:tcBorders>
          </w:tcPr>
          <w:p w14:paraId="115710B5" w14:textId="77777777" w:rsidR="002D58E4" w:rsidRDefault="00F721D4">
            <w:pPr>
              <w:jc w:val="center"/>
              <w:rPr>
                <w:sz w:val="20"/>
                <w:szCs w:val="20"/>
              </w:rPr>
            </w:pPr>
            <w:r>
              <w:rPr>
                <w:sz w:val="20"/>
                <w:szCs w:val="20"/>
              </w:rPr>
              <w:t xml:space="preserve">NA </w:t>
            </w:r>
            <w:r>
              <w:rPr>
                <w:sz w:val="20"/>
                <w:szCs w:val="20"/>
                <w:vertAlign w:val="superscript"/>
              </w:rPr>
              <w:t>d</w:t>
            </w:r>
          </w:p>
        </w:tc>
        <w:tc>
          <w:tcPr>
            <w:tcW w:w="2283" w:type="dxa"/>
            <w:tcBorders>
              <w:top w:val="single" w:sz="6" w:space="0" w:color="000000"/>
              <w:left w:val="single" w:sz="6" w:space="0" w:color="000000"/>
              <w:bottom w:val="single" w:sz="6" w:space="0" w:color="000000"/>
              <w:right w:val="single" w:sz="6" w:space="0" w:color="000000"/>
            </w:tcBorders>
          </w:tcPr>
          <w:p w14:paraId="5428B091" w14:textId="77777777" w:rsidR="002D58E4" w:rsidRDefault="00F721D4">
            <w:pPr>
              <w:jc w:val="center"/>
              <w:rPr>
                <w:sz w:val="20"/>
                <w:szCs w:val="20"/>
              </w:rPr>
            </w:pPr>
            <w:r>
              <w:rPr>
                <w:sz w:val="20"/>
                <w:szCs w:val="20"/>
              </w:rPr>
              <w:t>59 fewer per 1,000</w:t>
            </w:r>
          </w:p>
        </w:tc>
        <w:tc>
          <w:tcPr>
            <w:tcW w:w="1111" w:type="dxa"/>
            <w:tcBorders>
              <w:top w:val="single" w:sz="6" w:space="0" w:color="000000"/>
              <w:left w:val="single" w:sz="6" w:space="0" w:color="000000"/>
              <w:bottom w:val="single" w:sz="6" w:space="0" w:color="000000"/>
              <w:right w:val="single" w:sz="6" w:space="0" w:color="000000"/>
            </w:tcBorders>
          </w:tcPr>
          <w:p w14:paraId="380A891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001" w:type="dxa"/>
            <w:tcBorders>
              <w:top w:val="single" w:sz="6" w:space="0" w:color="000000"/>
              <w:left w:val="single" w:sz="6" w:space="0" w:color="000000"/>
              <w:bottom w:val="single" w:sz="6" w:space="0" w:color="000000"/>
              <w:right w:val="single" w:sz="6" w:space="0" w:color="000000"/>
            </w:tcBorders>
          </w:tcPr>
          <w:p w14:paraId="0739E5BD" w14:textId="77777777" w:rsidR="002D58E4" w:rsidRDefault="00F721D4">
            <w:pPr>
              <w:rPr>
                <w:sz w:val="20"/>
                <w:szCs w:val="20"/>
              </w:rPr>
            </w:pPr>
            <w:r>
              <w:rPr>
                <w:sz w:val="20"/>
                <w:szCs w:val="20"/>
              </w:rPr>
              <w:t xml:space="preserve">CRITICAL </w:t>
            </w:r>
          </w:p>
        </w:tc>
      </w:tr>
      <w:tr w:rsidR="002D58E4" w14:paraId="630EEBF8"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7E40E8C" w14:textId="77777777" w:rsidR="002D58E4" w:rsidRDefault="00F721D4">
            <w:pPr>
              <w:rPr>
                <w:sz w:val="20"/>
                <w:szCs w:val="20"/>
              </w:rPr>
            </w:pPr>
            <w:r>
              <w:rPr>
                <w:b/>
                <w:sz w:val="20"/>
                <w:szCs w:val="20"/>
              </w:rPr>
              <w:t>Treatment-Related Adverse Events</w:t>
            </w:r>
            <w:r>
              <w:rPr>
                <w:sz w:val="20"/>
                <w:szCs w:val="20"/>
              </w:rPr>
              <w:t xml:space="preserve"> </w:t>
            </w:r>
          </w:p>
        </w:tc>
      </w:tr>
      <w:tr w:rsidR="002D58E4" w14:paraId="5A6379D5" w14:textId="77777777" w:rsidTr="00E343BA">
        <w:tc>
          <w:tcPr>
            <w:tcW w:w="708" w:type="dxa"/>
            <w:tcBorders>
              <w:top w:val="single" w:sz="6" w:space="0" w:color="000000"/>
              <w:left w:val="single" w:sz="6" w:space="0" w:color="000000"/>
              <w:bottom w:val="single" w:sz="6" w:space="0" w:color="000000"/>
              <w:right w:val="single" w:sz="6" w:space="0" w:color="000000"/>
            </w:tcBorders>
          </w:tcPr>
          <w:p w14:paraId="4E7F8480"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0D0B0290"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A6DFC8A" w14:textId="77777777" w:rsidR="002D58E4" w:rsidRDefault="00F721D4">
            <w:pPr>
              <w:rPr>
                <w:sz w:val="20"/>
                <w:szCs w:val="20"/>
              </w:rPr>
            </w:pPr>
            <w:r>
              <w:rPr>
                <w:sz w:val="20"/>
                <w:szCs w:val="20"/>
              </w:rPr>
              <w:t xml:space="preserve">serious </w:t>
            </w:r>
            <w:r>
              <w:rPr>
                <w:sz w:val="20"/>
                <w:szCs w:val="20"/>
                <w:vertAlign w:val="superscript"/>
              </w:rPr>
              <w:t>a</w:t>
            </w:r>
          </w:p>
        </w:tc>
        <w:tc>
          <w:tcPr>
            <w:tcW w:w="1134" w:type="dxa"/>
            <w:tcBorders>
              <w:top w:val="single" w:sz="6" w:space="0" w:color="000000"/>
              <w:left w:val="single" w:sz="6" w:space="0" w:color="000000"/>
              <w:bottom w:val="single" w:sz="6" w:space="0" w:color="000000"/>
              <w:right w:val="single" w:sz="6" w:space="0" w:color="000000"/>
            </w:tcBorders>
          </w:tcPr>
          <w:p w14:paraId="687E3D1B" w14:textId="77777777" w:rsidR="002D58E4" w:rsidRDefault="00F721D4">
            <w:pPr>
              <w:rPr>
                <w:sz w:val="20"/>
                <w:szCs w:val="20"/>
              </w:rPr>
            </w:pPr>
            <w:r>
              <w:rPr>
                <w:sz w:val="20"/>
                <w:szCs w:val="20"/>
              </w:rPr>
              <w:t>not serious</w:t>
            </w:r>
          </w:p>
        </w:tc>
        <w:tc>
          <w:tcPr>
            <w:tcW w:w="1123" w:type="dxa"/>
            <w:tcBorders>
              <w:top w:val="single" w:sz="6" w:space="0" w:color="000000"/>
              <w:left w:val="single" w:sz="6" w:space="0" w:color="000000"/>
              <w:bottom w:val="single" w:sz="6" w:space="0" w:color="000000"/>
              <w:right w:val="single" w:sz="6" w:space="0" w:color="000000"/>
            </w:tcBorders>
          </w:tcPr>
          <w:p w14:paraId="4DFB2221"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3659265A"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152126C9"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33D9A990" w14:textId="77777777" w:rsidR="002D58E4" w:rsidRDefault="00F721D4">
            <w:pPr>
              <w:jc w:val="center"/>
              <w:rPr>
                <w:sz w:val="20"/>
                <w:szCs w:val="20"/>
              </w:rPr>
            </w:pPr>
            <w:r>
              <w:rPr>
                <w:sz w:val="20"/>
                <w:szCs w:val="20"/>
              </w:rPr>
              <w:t xml:space="preserve">31/72 </w:t>
            </w:r>
          </w:p>
          <w:p w14:paraId="404ACA29" w14:textId="77777777" w:rsidR="002D58E4" w:rsidRDefault="00F721D4">
            <w:pPr>
              <w:jc w:val="center"/>
              <w:rPr>
                <w:sz w:val="20"/>
                <w:szCs w:val="20"/>
              </w:rPr>
            </w:pPr>
            <w:r>
              <w:rPr>
                <w:sz w:val="20"/>
                <w:szCs w:val="20"/>
              </w:rPr>
              <w:t xml:space="preserve">(43.1%) </w:t>
            </w:r>
          </w:p>
        </w:tc>
        <w:tc>
          <w:tcPr>
            <w:tcW w:w="1253" w:type="dxa"/>
            <w:tcBorders>
              <w:top w:val="single" w:sz="6" w:space="0" w:color="000000"/>
              <w:left w:val="single" w:sz="6" w:space="0" w:color="000000"/>
              <w:bottom w:val="single" w:sz="6" w:space="0" w:color="000000"/>
              <w:right w:val="single" w:sz="6" w:space="0" w:color="000000"/>
            </w:tcBorders>
          </w:tcPr>
          <w:p w14:paraId="103A605D" w14:textId="77777777" w:rsidR="002D58E4" w:rsidRDefault="00F721D4">
            <w:pPr>
              <w:jc w:val="center"/>
              <w:rPr>
                <w:sz w:val="20"/>
                <w:szCs w:val="20"/>
              </w:rPr>
            </w:pPr>
            <w:r>
              <w:rPr>
                <w:sz w:val="20"/>
                <w:szCs w:val="20"/>
              </w:rPr>
              <w:t xml:space="preserve">39/68 </w:t>
            </w:r>
          </w:p>
          <w:p w14:paraId="2A8F7E9E" w14:textId="77777777" w:rsidR="002D58E4" w:rsidRDefault="00F721D4">
            <w:pPr>
              <w:jc w:val="center"/>
              <w:rPr>
                <w:sz w:val="20"/>
                <w:szCs w:val="20"/>
              </w:rPr>
            </w:pPr>
            <w:r>
              <w:rPr>
                <w:sz w:val="20"/>
                <w:szCs w:val="20"/>
              </w:rPr>
              <w:t xml:space="preserve">(57.4%) </w:t>
            </w:r>
          </w:p>
        </w:tc>
        <w:tc>
          <w:tcPr>
            <w:tcW w:w="1270" w:type="dxa"/>
            <w:tcBorders>
              <w:top w:val="single" w:sz="6" w:space="0" w:color="000000"/>
              <w:left w:val="single" w:sz="6" w:space="0" w:color="000000"/>
              <w:bottom w:val="single" w:sz="6" w:space="0" w:color="000000"/>
              <w:right w:val="single" w:sz="6" w:space="0" w:color="000000"/>
            </w:tcBorders>
          </w:tcPr>
          <w:p w14:paraId="5DF93B07" w14:textId="77777777" w:rsidR="002D58E4" w:rsidRDefault="00F721D4">
            <w:pPr>
              <w:jc w:val="center"/>
              <w:rPr>
                <w:sz w:val="20"/>
                <w:szCs w:val="20"/>
              </w:rPr>
            </w:pPr>
            <w:r>
              <w:rPr>
                <w:sz w:val="20"/>
                <w:szCs w:val="20"/>
              </w:rPr>
              <w:t>RR 0.75</w:t>
            </w:r>
            <w:r>
              <w:rPr>
                <w:sz w:val="20"/>
                <w:szCs w:val="20"/>
              </w:rPr>
              <w:br/>
              <w:t xml:space="preserve">(0.54 to 1.05) </w:t>
            </w:r>
          </w:p>
        </w:tc>
        <w:tc>
          <w:tcPr>
            <w:tcW w:w="2283" w:type="dxa"/>
            <w:tcBorders>
              <w:top w:val="single" w:sz="6" w:space="0" w:color="000000"/>
              <w:left w:val="single" w:sz="6" w:space="0" w:color="000000"/>
              <w:bottom w:val="single" w:sz="6" w:space="0" w:color="000000"/>
              <w:right w:val="single" w:sz="6" w:space="0" w:color="000000"/>
            </w:tcBorders>
          </w:tcPr>
          <w:p w14:paraId="3D5A6E42" w14:textId="77777777" w:rsidR="002D58E4" w:rsidRDefault="00F721D4">
            <w:pPr>
              <w:jc w:val="center"/>
              <w:rPr>
                <w:sz w:val="20"/>
                <w:szCs w:val="20"/>
              </w:rPr>
            </w:pPr>
            <w:r>
              <w:rPr>
                <w:sz w:val="20"/>
                <w:szCs w:val="20"/>
              </w:rPr>
              <w:t>143 fewer per 1,000</w:t>
            </w:r>
            <w:r>
              <w:rPr>
                <w:sz w:val="20"/>
                <w:szCs w:val="20"/>
              </w:rPr>
              <w:br/>
              <w:t xml:space="preserve">(from 29 more to 266 fewer) </w:t>
            </w:r>
          </w:p>
        </w:tc>
        <w:tc>
          <w:tcPr>
            <w:tcW w:w="1111" w:type="dxa"/>
            <w:tcBorders>
              <w:top w:val="single" w:sz="6" w:space="0" w:color="000000"/>
              <w:left w:val="single" w:sz="6" w:space="0" w:color="000000"/>
              <w:bottom w:val="single" w:sz="6" w:space="0" w:color="000000"/>
              <w:right w:val="single" w:sz="6" w:space="0" w:color="000000"/>
            </w:tcBorders>
          </w:tcPr>
          <w:p w14:paraId="5144B75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001" w:type="dxa"/>
            <w:tcBorders>
              <w:top w:val="single" w:sz="6" w:space="0" w:color="000000"/>
              <w:left w:val="single" w:sz="6" w:space="0" w:color="000000"/>
              <w:bottom w:val="single" w:sz="6" w:space="0" w:color="000000"/>
              <w:right w:val="single" w:sz="6" w:space="0" w:color="000000"/>
            </w:tcBorders>
          </w:tcPr>
          <w:p w14:paraId="543A4485" w14:textId="77777777" w:rsidR="002D58E4" w:rsidRDefault="00F721D4">
            <w:pPr>
              <w:rPr>
                <w:sz w:val="20"/>
                <w:szCs w:val="20"/>
              </w:rPr>
            </w:pPr>
            <w:r>
              <w:rPr>
                <w:sz w:val="20"/>
                <w:szCs w:val="20"/>
              </w:rPr>
              <w:t xml:space="preserve">CRITICAL </w:t>
            </w:r>
          </w:p>
        </w:tc>
      </w:tr>
      <w:tr w:rsidR="002D58E4" w14:paraId="4FEBBDAB"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545C037" w14:textId="77777777" w:rsidR="002D58E4" w:rsidRDefault="00F721D4">
            <w:pPr>
              <w:rPr>
                <w:sz w:val="20"/>
                <w:szCs w:val="20"/>
              </w:rPr>
            </w:pPr>
            <w:r>
              <w:rPr>
                <w:b/>
                <w:sz w:val="20"/>
                <w:szCs w:val="20"/>
              </w:rPr>
              <w:t>Gastrointestinal Adverse Events</w:t>
            </w:r>
            <w:r>
              <w:rPr>
                <w:sz w:val="20"/>
                <w:szCs w:val="20"/>
              </w:rPr>
              <w:t xml:space="preserve"> </w:t>
            </w:r>
          </w:p>
        </w:tc>
      </w:tr>
      <w:tr w:rsidR="002D58E4" w14:paraId="5F110045" w14:textId="77777777" w:rsidTr="00E343BA">
        <w:tc>
          <w:tcPr>
            <w:tcW w:w="708" w:type="dxa"/>
            <w:tcBorders>
              <w:top w:val="single" w:sz="6" w:space="0" w:color="000000"/>
              <w:left w:val="single" w:sz="6" w:space="0" w:color="000000"/>
              <w:bottom w:val="single" w:sz="6" w:space="0" w:color="000000"/>
              <w:right w:val="single" w:sz="6" w:space="0" w:color="000000"/>
            </w:tcBorders>
          </w:tcPr>
          <w:p w14:paraId="21D83219"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7E06AEE9"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1712BEF" w14:textId="77777777" w:rsidR="002D58E4" w:rsidRDefault="00F721D4">
            <w:pPr>
              <w:rPr>
                <w:sz w:val="20"/>
                <w:szCs w:val="20"/>
              </w:rPr>
            </w:pPr>
            <w:r>
              <w:rPr>
                <w:sz w:val="20"/>
                <w:szCs w:val="20"/>
              </w:rPr>
              <w:t xml:space="preserve">serious </w:t>
            </w:r>
            <w:r>
              <w:rPr>
                <w:sz w:val="20"/>
                <w:szCs w:val="20"/>
                <w:vertAlign w:val="superscript"/>
              </w:rPr>
              <w:t>a</w:t>
            </w:r>
          </w:p>
        </w:tc>
        <w:tc>
          <w:tcPr>
            <w:tcW w:w="1134" w:type="dxa"/>
            <w:tcBorders>
              <w:top w:val="single" w:sz="6" w:space="0" w:color="000000"/>
              <w:left w:val="single" w:sz="6" w:space="0" w:color="000000"/>
              <w:bottom w:val="single" w:sz="6" w:space="0" w:color="000000"/>
              <w:right w:val="single" w:sz="6" w:space="0" w:color="000000"/>
            </w:tcBorders>
          </w:tcPr>
          <w:p w14:paraId="4DAF6370" w14:textId="77777777" w:rsidR="002D58E4" w:rsidRDefault="00F721D4">
            <w:pPr>
              <w:rPr>
                <w:sz w:val="20"/>
                <w:szCs w:val="20"/>
              </w:rPr>
            </w:pPr>
            <w:r>
              <w:rPr>
                <w:sz w:val="20"/>
                <w:szCs w:val="20"/>
              </w:rPr>
              <w:t>not serious</w:t>
            </w:r>
          </w:p>
        </w:tc>
        <w:tc>
          <w:tcPr>
            <w:tcW w:w="1123" w:type="dxa"/>
            <w:tcBorders>
              <w:top w:val="single" w:sz="6" w:space="0" w:color="000000"/>
              <w:left w:val="single" w:sz="6" w:space="0" w:color="000000"/>
              <w:bottom w:val="single" w:sz="6" w:space="0" w:color="000000"/>
              <w:right w:val="single" w:sz="6" w:space="0" w:color="000000"/>
            </w:tcBorders>
          </w:tcPr>
          <w:p w14:paraId="5C86A3F1"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344C2FBD"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69D041AB"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75743F6B" w14:textId="77777777" w:rsidR="002D58E4" w:rsidRDefault="00F721D4">
            <w:pPr>
              <w:jc w:val="center"/>
              <w:rPr>
                <w:sz w:val="20"/>
                <w:szCs w:val="20"/>
              </w:rPr>
            </w:pPr>
            <w:r>
              <w:rPr>
                <w:sz w:val="20"/>
                <w:szCs w:val="20"/>
              </w:rPr>
              <w:t xml:space="preserve">18/72 </w:t>
            </w:r>
          </w:p>
          <w:p w14:paraId="07B1E735" w14:textId="77777777" w:rsidR="002D58E4" w:rsidRDefault="00F721D4">
            <w:pPr>
              <w:jc w:val="center"/>
              <w:rPr>
                <w:sz w:val="20"/>
                <w:szCs w:val="20"/>
              </w:rPr>
            </w:pPr>
            <w:r>
              <w:rPr>
                <w:sz w:val="20"/>
                <w:szCs w:val="20"/>
              </w:rPr>
              <w:t xml:space="preserve">(25.0%) </w:t>
            </w:r>
          </w:p>
        </w:tc>
        <w:tc>
          <w:tcPr>
            <w:tcW w:w="1253" w:type="dxa"/>
            <w:tcBorders>
              <w:top w:val="single" w:sz="6" w:space="0" w:color="000000"/>
              <w:left w:val="single" w:sz="6" w:space="0" w:color="000000"/>
              <w:bottom w:val="single" w:sz="6" w:space="0" w:color="000000"/>
              <w:right w:val="single" w:sz="6" w:space="0" w:color="000000"/>
            </w:tcBorders>
          </w:tcPr>
          <w:p w14:paraId="4EFF8F21" w14:textId="77777777" w:rsidR="002D58E4" w:rsidRDefault="00F721D4">
            <w:pPr>
              <w:jc w:val="center"/>
              <w:rPr>
                <w:sz w:val="20"/>
                <w:szCs w:val="20"/>
              </w:rPr>
            </w:pPr>
            <w:r>
              <w:rPr>
                <w:sz w:val="20"/>
                <w:szCs w:val="20"/>
              </w:rPr>
              <w:t xml:space="preserve">28/68 </w:t>
            </w:r>
          </w:p>
          <w:p w14:paraId="3D22CBA4" w14:textId="77777777" w:rsidR="002D58E4" w:rsidRDefault="00F721D4">
            <w:pPr>
              <w:jc w:val="center"/>
              <w:rPr>
                <w:sz w:val="20"/>
                <w:szCs w:val="20"/>
              </w:rPr>
            </w:pPr>
            <w:r>
              <w:rPr>
                <w:sz w:val="20"/>
                <w:szCs w:val="20"/>
              </w:rPr>
              <w:t>(41.2%)</w:t>
            </w:r>
          </w:p>
        </w:tc>
        <w:tc>
          <w:tcPr>
            <w:tcW w:w="1270" w:type="dxa"/>
            <w:tcBorders>
              <w:top w:val="single" w:sz="6" w:space="0" w:color="000000"/>
              <w:left w:val="single" w:sz="6" w:space="0" w:color="000000"/>
              <w:bottom w:val="single" w:sz="6" w:space="0" w:color="000000"/>
              <w:right w:val="single" w:sz="6" w:space="0" w:color="000000"/>
            </w:tcBorders>
          </w:tcPr>
          <w:p w14:paraId="7AEB2692" w14:textId="77777777" w:rsidR="002D58E4" w:rsidRDefault="00F721D4">
            <w:pPr>
              <w:jc w:val="center"/>
              <w:rPr>
                <w:b/>
                <w:sz w:val="20"/>
                <w:szCs w:val="20"/>
              </w:rPr>
            </w:pPr>
            <w:r>
              <w:rPr>
                <w:b/>
                <w:sz w:val="20"/>
                <w:szCs w:val="20"/>
              </w:rPr>
              <w:t>RR 0.61</w:t>
            </w:r>
            <w:r>
              <w:rPr>
                <w:b/>
                <w:sz w:val="20"/>
                <w:szCs w:val="20"/>
              </w:rPr>
              <w:br/>
              <w:t xml:space="preserve">(0.37 to 0.99) </w:t>
            </w:r>
          </w:p>
        </w:tc>
        <w:tc>
          <w:tcPr>
            <w:tcW w:w="2283" w:type="dxa"/>
            <w:tcBorders>
              <w:top w:val="single" w:sz="6" w:space="0" w:color="000000"/>
              <w:left w:val="single" w:sz="6" w:space="0" w:color="000000"/>
              <w:bottom w:val="single" w:sz="6" w:space="0" w:color="000000"/>
              <w:right w:val="single" w:sz="6" w:space="0" w:color="000000"/>
            </w:tcBorders>
          </w:tcPr>
          <w:p w14:paraId="2A33A0A2" w14:textId="77777777" w:rsidR="002D58E4" w:rsidRDefault="00F721D4">
            <w:pPr>
              <w:jc w:val="center"/>
              <w:rPr>
                <w:b/>
                <w:sz w:val="20"/>
                <w:szCs w:val="20"/>
              </w:rPr>
            </w:pPr>
            <w:r>
              <w:rPr>
                <w:b/>
                <w:sz w:val="20"/>
                <w:szCs w:val="20"/>
              </w:rPr>
              <w:t>162 fewer per 1,000</w:t>
            </w:r>
            <w:r>
              <w:rPr>
                <w:b/>
                <w:sz w:val="20"/>
                <w:szCs w:val="20"/>
              </w:rPr>
              <w:br/>
              <w:t xml:space="preserve">(from 3 fewer to 259 fewer) </w:t>
            </w:r>
          </w:p>
        </w:tc>
        <w:tc>
          <w:tcPr>
            <w:tcW w:w="1111" w:type="dxa"/>
            <w:tcBorders>
              <w:top w:val="single" w:sz="6" w:space="0" w:color="000000"/>
              <w:left w:val="single" w:sz="6" w:space="0" w:color="000000"/>
              <w:bottom w:val="single" w:sz="6" w:space="0" w:color="000000"/>
              <w:right w:val="single" w:sz="6" w:space="0" w:color="000000"/>
            </w:tcBorders>
          </w:tcPr>
          <w:p w14:paraId="19A6286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001" w:type="dxa"/>
            <w:tcBorders>
              <w:top w:val="single" w:sz="6" w:space="0" w:color="000000"/>
              <w:left w:val="single" w:sz="6" w:space="0" w:color="000000"/>
              <w:bottom w:val="single" w:sz="6" w:space="0" w:color="000000"/>
              <w:right w:val="single" w:sz="6" w:space="0" w:color="000000"/>
            </w:tcBorders>
          </w:tcPr>
          <w:p w14:paraId="166941E1" w14:textId="77777777" w:rsidR="002D58E4" w:rsidRDefault="00F721D4">
            <w:pPr>
              <w:rPr>
                <w:sz w:val="20"/>
                <w:szCs w:val="20"/>
              </w:rPr>
            </w:pPr>
            <w:r>
              <w:rPr>
                <w:sz w:val="20"/>
                <w:szCs w:val="20"/>
              </w:rPr>
              <w:t xml:space="preserve">CRITICAL </w:t>
            </w:r>
          </w:p>
        </w:tc>
      </w:tr>
      <w:tr w:rsidR="002D58E4" w14:paraId="1825C2A6"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A44455D" w14:textId="77777777" w:rsidR="002D58E4" w:rsidRDefault="00F721D4">
            <w:pPr>
              <w:rPr>
                <w:sz w:val="20"/>
                <w:szCs w:val="20"/>
              </w:rPr>
            </w:pPr>
            <w:r>
              <w:rPr>
                <w:b/>
                <w:sz w:val="20"/>
                <w:szCs w:val="20"/>
              </w:rPr>
              <w:t>Diarrhea</w:t>
            </w:r>
            <w:r>
              <w:rPr>
                <w:sz w:val="20"/>
                <w:szCs w:val="20"/>
              </w:rPr>
              <w:t xml:space="preserve"> </w:t>
            </w:r>
          </w:p>
        </w:tc>
      </w:tr>
      <w:tr w:rsidR="002D58E4" w14:paraId="2F32FB6E" w14:textId="77777777" w:rsidTr="00E343BA">
        <w:tc>
          <w:tcPr>
            <w:tcW w:w="708" w:type="dxa"/>
            <w:tcBorders>
              <w:top w:val="single" w:sz="6" w:space="0" w:color="000000"/>
              <w:left w:val="single" w:sz="6" w:space="0" w:color="000000"/>
              <w:bottom w:val="single" w:sz="6" w:space="0" w:color="000000"/>
              <w:right w:val="single" w:sz="6" w:space="0" w:color="000000"/>
            </w:tcBorders>
          </w:tcPr>
          <w:p w14:paraId="7BA9272E"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2350F77D"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4333FE9" w14:textId="77777777" w:rsidR="002D58E4" w:rsidRDefault="00F721D4">
            <w:pPr>
              <w:rPr>
                <w:sz w:val="20"/>
                <w:szCs w:val="20"/>
              </w:rPr>
            </w:pPr>
            <w:r>
              <w:rPr>
                <w:sz w:val="20"/>
                <w:szCs w:val="20"/>
              </w:rPr>
              <w:t xml:space="preserve">serious </w:t>
            </w:r>
            <w:r>
              <w:rPr>
                <w:sz w:val="20"/>
                <w:szCs w:val="20"/>
                <w:vertAlign w:val="superscript"/>
              </w:rPr>
              <w:t>a</w:t>
            </w:r>
          </w:p>
        </w:tc>
        <w:tc>
          <w:tcPr>
            <w:tcW w:w="1134" w:type="dxa"/>
            <w:tcBorders>
              <w:top w:val="single" w:sz="6" w:space="0" w:color="000000"/>
              <w:left w:val="single" w:sz="6" w:space="0" w:color="000000"/>
              <w:bottom w:val="single" w:sz="6" w:space="0" w:color="000000"/>
              <w:right w:val="single" w:sz="6" w:space="0" w:color="000000"/>
            </w:tcBorders>
          </w:tcPr>
          <w:p w14:paraId="6D27D51D" w14:textId="77777777" w:rsidR="002D58E4" w:rsidRDefault="00F721D4">
            <w:pPr>
              <w:rPr>
                <w:sz w:val="20"/>
                <w:szCs w:val="20"/>
              </w:rPr>
            </w:pPr>
            <w:r>
              <w:rPr>
                <w:sz w:val="20"/>
                <w:szCs w:val="20"/>
              </w:rPr>
              <w:t>not serious</w:t>
            </w:r>
          </w:p>
        </w:tc>
        <w:tc>
          <w:tcPr>
            <w:tcW w:w="1123" w:type="dxa"/>
            <w:tcBorders>
              <w:top w:val="single" w:sz="6" w:space="0" w:color="000000"/>
              <w:left w:val="single" w:sz="6" w:space="0" w:color="000000"/>
              <w:bottom w:val="single" w:sz="6" w:space="0" w:color="000000"/>
              <w:right w:val="single" w:sz="6" w:space="0" w:color="000000"/>
            </w:tcBorders>
          </w:tcPr>
          <w:p w14:paraId="2C27A2F6"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07A380BA"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268E0C61"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327DB08B" w14:textId="77777777" w:rsidR="002D58E4" w:rsidRDefault="00F721D4">
            <w:pPr>
              <w:jc w:val="center"/>
              <w:rPr>
                <w:sz w:val="20"/>
                <w:szCs w:val="20"/>
              </w:rPr>
            </w:pPr>
            <w:r>
              <w:rPr>
                <w:sz w:val="20"/>
                <w:szCs w:val="20"/>
              </w:rPr>
              <w:t xml:space="preserve">4/72 </w:t>
            </w:r>
          </w:p>
          <w:p w14:paraId="1AEA8D07" w14:textId="77777777" w:rsidR="002D58E4" w:rsidRDefault="00F721D4">
            <w:pPr>
              <w:jc w:val="center"/>
              <w:rPr>
                <w:sz w:val="20"/>
                <w:szCs w:val="20"/>
              </w:rPr>
            </w:pPr>
            <w:r>
              <w:rPr>
                <w:sz w:val="20"/>
                <w:szCs w:val="20"/>
              </w:rPr>
              <w:t xml:space="preserve">(5.6%) </w:t>
            </w:r>
          </w:p>
        </w:tc>
        <w:tc>
          <w:tcPr>
            <w:tcW w:w="1253" w:type="dxa"/>
            <w:tcBorders>
              <w:top w:val="single" w:sz="6" w:space="0" w:color="000000"/>
              <w:left w:val="single" w:sz="6" w:space="0" w:color="000000"/>
              <w:bottom w:val="single" w:sz="6" w:space="0" w:color="000000"/>
              <w:right w:val="single" w:sz="6" w:space="0" w:color="000000"/>
            </w:tcBorders>
          </w:tcPr>
          <w:p w14:paraId="333118CA" w14:textId="77777777" w:rsidR="002D58E4" w:rsidRDefault="00F721D4">
            <w:pPr>
              <w:jc w:val="center"/>
              <w:rPr>
                <w:sz w:val="20"/>
                <w:szCs w:val="20"/>
              </w:rPr>
            </w:pPr>
            <w:r>
              <w:rPr>
                <w:sz w:val="20"/>
                <w:szCs w:val="20"/>
              </w:rPr>
              <w:t xml:space="preserve">25/68 </w:t>
            </w:r>
          </w:p>
          <w:p w14:paraId="7D90CFA7" w14:textId="77777777" w:rsidR="002D58E4" w:rsidRDefault="00F721D4">
            <w:pPr>
              <w:jc w:val="center"/>
              <w:rPr>
                <w:sz w:val="20"/>
                <w:szCs w:val="20"/>
              </w:rPr>
            </w:pPr>
            <w:r>
              <w:rPr>
                <w:sz w:val="20"/>
                <w:szCs w:val="20"/>
              </w:rPr>
              <w:t xml:space="preserve">(36.8%) </w:t>
            </w:r>
          </w:p>
        </w:tc>
        <w:tc>
          <w:tcPr>
            <w:tcW w:w="1270" w:type="dxa"/>
            <w:tcBorders>
              <w:top w:val="single" w:sz="6" w:space="0" w:color="000000"/>
              <w:left w:val="single" w:sz="6" w:space="0" w:color="000000"/>
              <w:bottom w:val="single" w:sz="6" w:space="0" w:color="000000"/>
              <w:right w:val="single" w:sz="6" w:space="0" w:color="000000"/>
            </w:tcBorders>
          </w:tcPr>
          <w:p w14:paraId="377B2471" w14:textId="77777777" w:rsidR="002D58E4" w:rsidRDefault="00F721D4">
            <w:pPr>
              <w:jc w:val="center"/>
              <w:rPr>
                <w:b/>
                <w:sz w:val="20"/>
                <w:szCs w:val="20"/>
              </w:rPr>
            </w:pPr>
            <w:r>
              <w:rPr>
                <w:b/>
                <w:sz w:val="20"/>
                <w:szCs w:val="20"/>
              </w:rPr>
              <w:t>RR 0.15</w:t>
            </w:r>
            <w:r>
              <w:rPr>
                <w:b/>
                <w:sz w:val="20"/>
                <w:szCs w:val="20"/>
              </w:rPr>
              <w:br/>
              <w:t xml:space="preserve">(0.06 to 0.41) </w:t>
            </w:r>
          </w:p>
        </w:tc>
        <w:tc>
          <w:tcPr>
            <w:tcW w:w="2283" w:type="dxa"/>
            <w:tcBorders>
              <w:top w:val="single" w:sz="6" w:space="0" w:color="000000"/>
              <w:left w:val="single" w:sz="6" w:space="0" w:color="000000"/>
              <w:bottom w:val="single" w:sz="6" w:space="0" w:color="000000"/>
              <w:right w:val="single" w:sz="6" w:space="0" w:color="000000"/>
            </w:tcBorders>
          </w:tcPr>
          <w:p w14:paraId="0A31D6C0" w14:textId="77777777" w:rsidR="002D58E4" w:rsidRDefault="00F721D4">
            <w:pPr>
              <w:jc w:val="center"/>
              <w:rPr>
                <w:b/>
                <w:sz w:val="20"/>
                <w:szCs w:val="20"/>
              </w:rPr>
            </w:pPr>
            <w:r>
              <w:rPr>
                <w:b/>
                <w:sz w:val="20"/>
                <w:szCs w:val="20"/>
              </w:rPr>
              <w:t>312 fewer per 1,000</w:t>
            </w:r>
            <w:r>
              <w:rPr>
                <w:b/>
                <w:sz w:val="20"/>
                <w:szCs w:val="20"/>
              </w:rPr>
              <w:br/>
              <w:t xml:space="preserve">(from 216 fewer 347 fewer) </w:t>
            </w:r>
          </w:p>
        </w:tc>
        <w:tc>
          <w:tcPr>
            <w:tcW w:w="1111" w:type="dxa"/>
            <w:tcBorders>
              <w:top w:val="single" w:sz="6" w:space="0" w:color="000000"/>
              <w:left w:val="single" w:sz="6" w:space="0" w:color="000000"/>
              <w:bottom w:val="single" w:sz="6" w:space="0" w:color="000000"/>
              <w:right w:val="single" w:sz="6" w:space="0" w:color="000000"/>
            </w:tcBorders>
          </w:tcPr>
          <w:p w14:paraId="3508331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001" w:type="dxa"/>
            <w:tcBorders>
              <w:top w:val="single" w:sz="6" w:space="0" w:color="000000"/>
              <w:left w:val="single" w:sz="6" w:space="0" w:color="000000"/>
              <w:bottom w:val="single" w:sz="6" w:space="0" w:color="000000"/>
              <w:right w:val="single" w:sz="6" w:space="0" w:color="000000"/>
            </w:tcBorders>
          </w:tcPr>
          <w:p w14:paraId="169D64DC" w14:textId="77777777" w:rsidR="002D58E4" w:rsidRDefault="00F721D4">
            <w:pPr>
              <w:rPr>
                <w:sz w:val="20"/>
                <w:szCs w:val="20"/>
              </w:rPr>
            </w:pPr>
            <w:r>
              <w:rPr>
                <w:sz w:val="20"/>
                <w:szCs w:val="20"/>
              </w:rPr>
              <w:t xml:space="preserve"> CRITICAL</w:t>
            </w:r>
          </w:p>
        </w:tc>
      </w:tr>
      <w:tr w:rsidR="002D58E4" w14:paraId="41F375C1" w14:textId="77777777" w:rsidTr="00E343BA">
        <w:tc>
          <w:tcPr>
            <w:tcW w:w="14601"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51E46494" w14:textId="77777777" w:rsidR="002D58E4" w:rsidRDefault="00F721D4">
            <w:pPr>
              <w:rPr>
                <w:sz w:val="20"/>
                <w:szCs w:val="20"/>
              </w:rPr>
            </w:pPr>
            <w:r>
              <w:rPr>
                <w:b/>
                <w:sz w:val="20"/>
                <w:szCs w:val="20"/>
              </w:rPr>
              <w:t>Allergic Reaction</w:t>
            </w:r>
            <w:r>
              <w:rPr>
                <w:sz w:val="20"/>
                <w:szCs w:val="20"/>
              </w:rPr>
              <w:t xml:space="preserve"> </w:t>
            </w:r>
          </w:p>
        </w:tc>
      </w:tr>
      <w:tr w:rsidR="002D58E4" w14:paraId="443E0630" w14:textId="77777777" w:rsidTr="00E343BA">
        <w:tc>
          <w:tcPr>
            <w:tcW w:w="708" w:type="dxa"/>
            <w:tcBorders>
              <w:top w:val="single" w:sz="6" w:space="0" w:color="000000"/>
              <w:left w:val="single" w:sz="6" w:space="0" w:color="000000"/>
              <w:bottom w:val="single" w:sz="6" w:space="0" w:color="000000"/>
              <w:right w:val="single" w:sz="6" w:space="0" w:color="000000"/>
            </w:tcBorders>
          </w:tcPr>
          <w:p w14:paraId="33F94DD9" w14:textId="77777777" w:rsidR="002D58E4" w:rsidRDefault="00F721D4">
            <w:pPr>
              <w:rPr>
                <w:sz w:val="20"/>
                <w:szCs w:val="20"/>
              </w:rPr>
            </w:pPr>
            <w:r>
              <w:rPr>
                <w:sz w:val="20"/>
                <w:szCs w:val="20"/>
              </w:rPr>
              <w:t xml:space="preserve">1 </w:t>
            </w:r>
          </w:p>
        </w:tc>
        <w:tc>
          <w:tcPr>
            <w:tcW w:w="709" w:type="dxa"/>
            <w:tcBorders>
              <w:top w:val="single" w:sz="6" w:space="0" w:color="000000"/>
              <w:left w:val="single" w:sz="6" w:space="0" w:color="000000"/>
              <w:bottom w:val="single" w:sz="6" w:space="0" w:color="000000"/>
              <w:right w:val="single" w:sz="6" w:space="0" w:color="000000"/>
            </w:tcBorders>
          </w:tcPr>
          <w:p w14:paraId="7E2C4469"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03497466" w14:textId="77777777" w:rsidR="002D58E4" w:rsidRDefault="00F721D4">
            <w:pPr>
              <w:rPr>
                <w:sz w:val="20"/>
                <w:szCs w:val="20"/>
              </w:rPr>
            </w:pPr>
            <w:r>
              <w:rPr>
                <w:sz w:val="20"/>
                <w:szCs w:val="20"/>
              </w:rPr>
              <w:t xml:space="preserve">serious </w:t>
            </w:r>
            <w:r>
              <w:rPr>
                <w:sz w:val="20"/>
                <w:szCs w:val="20"/>
                <w:vertAlign w:val="superscript"/>
              </w:rPr>
              <w:t>a</w:t>
            </w:r>
          </w:p>
        </w:tc>
        <w:tc>
          <w:tcPr>
            <w:tcW w:w="1134" w:type="dxa"/>
            <w:tcBorders>
              <w:top w:val="single" w:sz="6" w:space="0" w:color="000000"/>
              <w:left w:val="single" w:sz="6" w:space="0" w:color="000000"/>
              <w:bottom w:val="single" w:sz="6" w:space="0" w:color="000000"/>
              <w:right w:val="single" w:sz="6" w:space="0" w:color="000000"/>
            </w:tcBorders>
          </w:tcPr>
          <w:p w14:paraId="34031119" w14:textId="77777777" w:rsidR="002D58E4" w:rsidRDefault="00F721D4">
            <w:pPr>
              <w:rPr>
                <w:sz w:val="20"/>
                <w:szCs w:val="20"/>
              </w:rPr>
            </w:pPr>
            <w:r>
              <w:rPr>
                <w:sz w:val="20"/>
                <w:szCs w:val="20"/>
              </w:rPr>
              <w:t>not serious</w:t>
            </w:r>
          </w:p>
        </w:tc>
        <w:tc>
          <w:tcPr>
            <w:tcW w:w="1123" w:type="dxa"/>
            <w:tcBorders>
              <w:top w:val="single" w:sz="6" w:space="0" w:color="000000"/>
              <w:left w:val="single" w:sz="6" w:space="0" w:color="000000"/>
              <w:bottom w:val="single" w:sz="6" w:space="0" w:color="000000"/>
              <w:right w:val="single" w:sz="6" w:space="0" w:color="000000"/>
            </w:tcBorders>
          </w:tcPr>
          <w:p w14:paraId="74B3ADB8" w14:textId="77777777" w:rsidR="002D58E4" w:rsidRDefault="00F721D4">
            <w:pPr>
              <w:rPr>
                <w:sz w:val="20"/>
                <w:szCs w:val="20"/>
              </w:rPr>
            </w:pPr>
            <w:r>
              <w:rPr>
                <w:sz w:val="20"/>
                <w:szCs w:val="20"/>
              </w:rPr>
              <w:t xml:space="preserve">serious </w:t>
            </w:r>
            <w:r>
              <w:rPr>
                <w:sz w:val="20"/>
                <w:szCs w:val="20"/>
                <w:vertAlign w:val="superscript"/>
              </w:rPr>
              <w:t>b</w:t>
            </w:r>
          </w:p>
        </w:tc>
        <w:tc>
          <w:tcPr>
            <w:tcW w:w="1154" w:type="dxa"/>
            <w:tcBorders>
              <w:top w:val="single" w:sz="6" w:space="0" w:color="000000"/>
              <w:left w:val="single" w:sz="6" w:space="0" w:color="000000"/>
              <w:bottom w:val="single" w:sz="6" w:space="0" w:color="000000"/>
              <w:right w:val="single" w:sz="6" w:space="0" w:color="000000"/>
            </w:tcBorders>
          </w:tcPr>
          <w:p w14:paraId="2C1C612F" w14:textId="77777777" w:rsidR="002D58E4" w:rsidRDefault="00F721D4">
            <w:pPr>
              <w:rPr>
                <w:sz w:val="20"/>
                <w:szCs w:val="20"/>
              </w:rPr>
            </w:pPr>
            <w:r>
              <w:rPr>
                <w:sz w:val="20"/>
                <w:szCs w:val="20"/>
              </w:rPr>
              <w:t xml:space="preserve">serious </w:t>
            </w:r>
            <w:r>
              <w:rPr>
                <w:sz w:val="20"/>
                <w:szCs w:val="20"/>
                <w:vertAlign w:val="superscript"/>
              </w:rPr>
              <w:t>c</w:t>
            </w:r>
          </w:p>
        </w:tc>
        <w:tc>
          <w:tcPr>
            <w:tcW w:w="873" w:type="dxa"/>
            <w:tcBorders>
              <w:top w:val="single" w:sz="6" w:space="0" w:color="000000"/>
              <w:left w:val="single" w:sz="6" w:space="0" w:color="000000"/>
              <w:bottom w:val="single" w:sz="6" w:space="0" w:color="000000"/>
              <w:right w:val="single" w:sz="6" w:space="0" w:color="000000"/>
            </w:tcBorders>
          </w:tcPr>
          <w:p w14:paraId="57C90CEF" w14:textId="77777777" w:rsidR="002D58E4" w:rsidRDefault="00F721D4">
            <w:pPr>
              <w:rPr>
                <w:sz w:val="20"/>
                <w:szCs w:val="20"/>
              </w:rPr>
            </w:pPr>
            <w:r>
              <w:rPr>
                <w:sz w:val="20"/>
                <w:szCs w:val="20"/>
              </w:rPr>
              <w:t xml:space="preserve">none </w:t>
            </w:r>
          </w:p>
        </w:tc>
        <w:tc>
          <w:tcPr>
            <w:tcW w:w="1132" w:type="dxa"/>
            <w:tcBorders>
              <w:top w:val="single" w:sz="6" w:space="0" w:color="000000"/>
              <w:left w:val="single" w:sz="6" w:space="0" w:color="000000"/>
              <w:bottom w:val="single" w:sz="6" w:space="0" w:color="000000"/>
              <w:right w:val="single" w:sz="6" w:space="0" w:color="000000"/>
            </w:tcBorders>
          </w:tcPr>
          <w:p w14:paraId="570203E4" w14:textId="77777777" w:rsidR="002D58E4" w:rsidRDefault="00F721D4">
            <w:pPr>
              <w:jc w:val="center"/>
              <w:rPr>
                <w:sz w:val="20"/>
                <w:szCs w:val="20"/>
              </w:rPr>
            </w:pPr>
            <w:r>
              <w:rPr>
                <w:sz w:val="20"/>
                <w:szCs w:val="20"/>
              </w:rPr>
              <w:t xml:space="preserve">9/72 </w:t>
            </w:r>
          </w:p>
          <w:p w14:paraId="035C1E38" w14:textId="77777777" w:rsidR="002D58E4" w:rsidRDefault="00F721D4">
            <w:pPr>
              <w:jc w:val="center"/>
              <w:rPr>
                <w:sz w:val="20"/>
                <w:szCs w:val="20"/>
              </w:rPr>
            </w:pPr>
            <w:r>
              <w:rPr>
                <w:sz w:val="20"/>
                <w:szCs w:val="20"/>
              </w:rPr>
              <w:t xml:space="preserve">(12.5%)  </w:t>
            </w:r>
          </w:p>
        </w:tc>
        <w:tc>
          <w:tcPr>
            <w:tcW w:w="1253" w:type="dxa"/>
            <w:tcBorders>
              <w:top w:val="single" w:sz="6" w:space="0" w:color="000000"/>
              <w:left w:val="single" w:sz="6" w:space="0" w:color="000000"/>
              <w:bottom w:val="single" w:sz="6" w:space="0" w:color="000000"/>
              <w:right w:val="single" w:sz="6" w:space="0" w:color="000000"/>
            </w:tcBorders>
          </w:tcPr>
          <w:p w14:paraId="7FFFFC64" w14:textId="77777777" w:rsidR="002D58E4" w:rsidRDefault="00F721D4">
            <w:pPr>
              <w:jc w:val="center"/>
              <w:rPr>
                <w:sz w:val="20"/>
                <w:szCs w:val="20"/>
              </w:rPr>
            </w:pPr>
            <w:r>
              <w:rPr>
                <w:sz w:val="20"/>
                <w:szCs w:val="20"/>
              </w:rPr>
              <w:t xml:space="preserve">4/68 </w:t>
            </w:r>
          </w:p>
          <w:p w14:paraId="1A82956C" w14:textId="77777777" w:rsidR="002D58E4" w:rsidRDefault="00F721D4">
            <w:pPr>
              <w:jc w:val="center"/>
              <w:rPr>
                <w:sz w:val="20"/>
                <w:szCs w:val="20"/>
              </w:rPr>
            </w:pPr>
            <w:r>
              <w:rPr>
                <w:sz w:val="20"/>
                <w:szCs w:val="20"/>
              </w:rPr>
              <w:t xml:space="preserve">(5.9%) </w:t>
            </w:r>
          </w:p>
        </w:tc>
        <w:tc>
          <w:tcPr>
            <w:tcW w:w="1270" w:type="dxa"/>
            <w:tcBorders>
              <w:top w:val="single" w:sz="6" w:space="0" w:color="000000"/>
              <w:left w:val="single" w:sz="6" w:space="0" w:color="000000"/>
              <w:bottom w:val="single" w:sz="6" w:space="0" w:color="000000"/>
              <w:right w:val="single" w:sz="6" w:space="0" w:color="000000"/>
            </w:tcBorders>
          </w:tcPr>
          <w:p w14:paraId="1EAB04E9" w14:textId="77777777" w:rsidR="002D58E4" w:rsidRDefault="00F721D4">
            <w:pPr>
              <w:jc w:val="center"/>
              <w:rPr>
                <w:sz w:val="20"/>
                <w:szCs w:val="20"/>
              </w:rPr>
            </w:pPr>
            <w:r>
              <w:rPr>
                <w:sz w:val="20"/>
                <w:szCs w:val="20"/>
              </w:rPr>
              <w:t>RR 2.13</w:t>
            </w:r>
            <w:r>
              <w:rPr>
                <w:sz w:val="20"/>
                <w:szCs w:val="20"/>
              </w:rPr>
              <w:br/>
              <w:t xml:space="preserve">(0.69 to 6.58) </w:t>
            </w:r>
          </w:p>
        </w:tc>
        <w:tc>
          <w:tcPr>
            <w:tcW w:w="2283" w:type="dxa"/>
            <w:tcBorders>
              <w:top w:val="single" w:sz="6" w:space="0" w:color="000000"/>
              <w:left w:val="single" w:sz="6" w:space="0" w:color="000000"/>
              <w:bottom w:val="single" w:sz="6" w:space="0" w:color="000000"/>
              <w:right w:val="single" w:sz="6" w:space="0" w:color="000000"/>
            </w:tcBorders>
          </w:tcPr>
          <w:p w14:paraId="21E82CB9" w14:textId="77777777" w:rsidR="002D58E4" w:rsidRDefault="00F721D4">
            <w:pPr>
              <w:jc w:val="center"/>
              <w:rPr>
                <w:sz w:val="20"/>
                <w:szCs w:val="20"/>
              </w:rPr>
            </w:pPr>
            <w:r>
              <w:rPr>
                <w:sz w:val="20"/>
                <w:szCs w:val="20"/>
              </w:rPr>
              <w:t>66 more per 1,000</w:t>
            </w:r>
            <w:r>
              <w:rPr>
                <w:sz w:val="20"/>
                <w:szCs w:val="20"/>
              </w:rPr>
              <w:br/>
              <w:t xml:space="preserve">(from 18 fewer to 328 more) </w:t>
            </w:r>
          </w:p>
        </w:tc>
        <w:tc>
          <w:tcPr>
            <w:tcW w:w="1111" w:type="dxa"/>
            <w:tcBorders>
              <w:top w:val="single" w:sz="6" w:space="0" w:color="000000"/>
              <w:left w:val="single" w:sz="6" w:space="0" w:color="000000"/>
              <w:bottom w:val="single" w:sz="6" w:space="0" w:color="000000"/>
              <w:right w:val="single" w:sz="6" w:space="0" w:color="000000"/>
            </w:tcBorders>
          </w:tcPr>
          <w:p w14:paraId="63087305"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001" w:type="dxa"/>
            <w:tcBorders>
              <w:top w:val="single" w:sz="6" w:space="0" w:color="000000"/>
              <w:left w:val="single" w:sz="6" w:space="0" w:color="000000"/>
              <w:bottom w:val="single" w:sz="6" w:space="0" w:color="000000"/>
              <w:right w:val="single" w:sz="6" w:space="0" w:color="000000"/>
            </w:tcBorders>
          </w:tcPr>
          <w:p w14:paraId="56318166" w14:textId="77777777" w:rsidR="002D58E4" w:rsidRDefault="00F721D4">
            <w:pPr>
              <w:rPr>
                <w:sz w:val="20"/>
                <w:szCs w:val="20"/>
              </w:rPr>
            </w:pPr>
            <w:r>
              <w:rPr>
                <w:sz w:val="20"/>
                <w:szCs w:val="20"/>
              </w:rPr>
              <w:t xml:space="preserve"> CRITICAL</w:t>
            </w:r>
          </w:p>
        </w:tc>
      </w:tr>
    </w:tbl>
    <w:p w14:paraId="1A803B01" w14:textId="77777777" w:rsidR="002D58E4" w:rsidRDefault="00F721D4" w:rsidP="00E14B2B">
      <w:pPr>
        <w:pBdr>
          <w:top w:val="nil"/>
          <w:left w:val="nil"/>
          <w:bottom w:val="nil"/>
          <w:right w:val="nil"/>
          <w:between w:val="nil"/>
        </w:pBdr>
        <w:spacing w:before="100" w:after="100" w:line="240" w:lineRule="auto"/>
        <w:ind w:right="-4689"/>
        <w:rPr>
          <w:color w:val="000000"/>
          <w:sz w:val="20"/>
          <w:szCs w:val="20"/>
        </w:rPr>
      </w:pPr>
      <w:r>
        <w:rPr>
          <w:color w:val="000000"/>
          <w:sz w:val="20"/>
          <w:szCs w:val="20"/>
        </w:rPr>
        <w:t>*Clinical response as a clinical cure (indicated by the resolution of objective clinical findings of Lyme disease), treatment failure (indicated by objective signs compatible with clinically active Lyme disease including arthritis or neurologic disease) or not assessable because of improper dose or length of treatment, concomitant antimicrobial therapy, failure to meet the entry criteria, withdrawal from the study because of severe adverse events or death.</w:t>
      </w:r>
    </w:p>
    <w:p w14:paraId="4464477E"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7CCD8863" w14:textId="77777777" w:rsidR="00171735" w:rsidRDefault="00171735" w:rsidP="00171735">
      <w:pPr>
        <w:spacing w:before="280" w:after="0"/>
        <w:rPr>
          <w:b/>
          <w:color w:val="000000"/>
          <w:sz w:val="24"/>
          <w:szCs w:val="24"/>
        </w:rPr>
      </w:pPr>
      <w:r>
        <w:rPr>
          <w:b/>
          <w:color w:val="000000"/>
          <w:sz w:val="24"/>
          <w:szCs w:val="24"/>
        </w:rPr>
        <w:t>Explanations</w:t>
      </w:r>
    </w:p>
    <w:p w14:paraId="5617741B" w14:textId="77777777" w:rsidR="002D58E4" w:rsidRDefault="00F721D4">
      <w:pPr>
        <w:spacing w:after="0"/>
        <w:rPr>
          <w:color w:val="000000"/>
          <w:sz w:val="18"/>
          <w:szCs w:val="18"/>
        </w:rPr>
      </w:pPr>
      <w:r>
        <w:rPr>
          <w:color w:val="000000"/>
          <w:sz w:val="18"/>
          <w:szCs w:val="18"/>
        </w:rPr>
        <w:t xml:space="preserve">a. Due to lack of blinding </w:t>
      </w:r>
    </w:p>
    <w:p w14:paraId="5CCE06A6" w14:textId="77777777" w:rsidR="002D58E4" w:rsidRDefault="00F721D4" w:rsidP="00171735">
      <w:pPr>
        <w:spacing w:after="0"/>
        <w:ind w:right="-2421"/>
        <w:rPr>
          <w:color w:val="000000"/>
          <w:sz w:val="18"/>
          <w:szCs w:val="18"/>
        </w:rPr>
      </w:pPr>
      <w:r>
        <w:rPr>
          <w:color w:val="000000"/>
          <w:sz w:val="18"/>
          <w:szCs w:val="18"/>
        </w:rPr>
        <w:t xml:space="preserve">b. Downgraded since only 6.4% of the cohort (9 out of 140 patients) presented with carditis (10% of patients taking ceftriaxone (7 of 68) and 3% of patients taking doxycycline (2 of 72)). </w:t>
      </w:r>
    </w:p>
    <w:p w14:paraId="66E1FC26" w14:textId="77777777" w:rsidR="002D58E4" w:rsidRDefault="00F721D4">
      <w:pPr>
        <w:spacing w:after="0"/>
        <w:rPr>
          <w:color w:val="000000"/>
          <w:sz w:val="18"/>
          <w:szCs w:val="18"/>
        </w:rPr>
      </w:pPr>
      <w:r>
        <w:rPr>
          <w:color w:val="000000"/>
          <w:sz w:val="18"/>
          <w:szCs w:val="18"/>
        </w:rPr>
        <w:t xml:space="preserve">c. 95% CI is wide or crossing the null value </w:t>
      </w:r>
    </w:p>
    <w:p w14:paraId="06932296" w14:textId="77777777" w:rsidR="002D58E4" w:rsidRDefault="00F721D4">
      <w:pPr>
        <w:spacing w:after="0"/>
        <w:rPr>
          <w:sz w:val="24"/>
          <w:szCs w:val="24"/>
        </w:rPr>
      </w:pPr>
      <w:r>
        <w:rPr>
          <w:color w:val="000000"/>
          <w:sz w:val="18"/>
          <w:szCs w:val="18"/>
        </w:rPr>
        <w:t>d. One arm has zero event; unable to estimate relative risk.</w:t>
      </w:r>
    </w:p>
    <w:p w14:paraId="55A293BB" w14:textId="77777777" w:rsidR="002D58E4" w:rsidRDefault="00F721D4">
      <w:pPr>
        <w:spacing w:after="160" w:line="259" w:lineRule="auto"/>
        <w:rPr>
          <w:b/>
          <w:sz w:val="32"/>
          <w:szCs w:val="32"/>
        </w:rPr>
      </w:pPr>
      <w:r>
        <w:br w:type="page"/>
      </w:r>
    </w:p>
    <w:tbl>
      <w:tblPr>
        <w:tblStyle w:val="affc"/>
        <w:tblW w:w="14601" w:type="dxa"/>
        <w:tblLayout w:type="fixed"/>
        <w:tblLook w:val="0600" w:firstRow="0" w:lastRow="0" w:firstColumn="0" w:lastColumn="0" w:noHBand="1" w:noVBand="1"/>
      </w:tblPr>
      <w:tblGrid>
        <w:gridCol w:w="1020"/>
        <w:gridCol w:w="990"/>
        <w:gridCol w:w="1109"/>
        <w:gridCol w:w="3521"/>
        <w:gridCol w:w="1559"/>
        <w:gridCol w:w="2835"/>
        <w:gridCol w:w="3567"/>
      </w:tblGrid>
      <w:tr w:rsidR="002D58E4" w14:paraId="482439E1" w14:textId="77777777" w:rsidTr="00E343BA">
        <w:trPr>
          <w:trHeight w:val="500"/>
        </w:trPr>
        <w:tc>
          <w:tcPr>
            <w:tcW w:w="14601" w:type="dxa"/>
            <w:gridSpan w:val="7"/>
            <w:tcBorders>
              <w:bottom w:val="single" w:sz="6" w:space="0" w:color="AEAEAE"/>
            </w:tcBorders>
            <w:shd w:val="clear" w:color="auto" w:fill="auto"/>
            <w:tcMar>
              <w:top w:w="15" w:type="dxa"/>
              <w:left w:w="30" w:type="dxa"/>
              <w:bottom w:w="0" w:type="dxa"/>
              <w:right w:w="30" w:type="dxa"/>
            </w:tcMar>
          </w:tcPr>
          <w:p w14:paraId="3A5E2D2D" w14:textId="77777777" w:rsidR="002D58E4" w:rsidRDefault="00F721D4">
            <w:pPr>
              <w:rPr>
                <w:b/>
                <w:color w:val="000000"/>
              </w:rPr>
            </w:pPr>
            <w:r>
              <w:rPr>
                <w:b/>
                <w:color w:val="000000"/>
              </w:rPr>
              <w:t xml:space="preserve">Transition from IV to oral antibiotics </w:t>
            </w:r>
          </w:p>
          <w:p w14:paraId="49F7DDC8" w14:textId="77777777" w:rsidR="002D58E4" w:rsidRDefault="002D58E4">
            <w:pPr>
              <w:rPr>
                <w:b/>
                <w:color w:val="000000"/>
                <w:sz w:val="18"/>
                <w:szCs w:val="18"/>
              </w:rPr>
            </w:pPr>
          </w:p>
          <w:p w14:paraId="6FFDA485" w14:textId="77777777" w:rsidR="002D58E4" w:rsidRDefault="00F721D4" w:rsidP="00171735">
            <w:pPr>
              <w:rPr>
                <w:color w:val="000000"/>
                <w:sz w:val="18"/>
                <w:szCs w:val="18"/>
              </w:rPr>
            </w:pPr>
            <w:r w:rsidRPr="002914A2">
              <w:rPr>
                <w:b/>
                <w:color w:val="000000"/>
                <w:sz w:val="18"/>
                <w:szCs w:val="18"/>
                <w:lang w:val="fr-CA"/>
              </w:rPr>
              <w:t>Bibliography</w:t>
            </w:r>
            <w:r w:rsidRPr="002914A2">
              <w:rPr>
                <w:color w:val="000000"/>
                <w:sz w:val="18"/>
                <w:szCs w:val="18"/>
                <w:lang w:val="fr-CA"/>
              </w:rPr>
              <w:t xml:space="preserve">: 1. Oksi, et al. </w:t>
            </w:r>
            <w:r w:rsidRPr="002914A2">
              <w:rPr>
                <w:lang w:val="fr-CA"/>
              </w:rPr>
              <w:t xml:space="preserve"> </w:t>
            </w:r>
            <w:r w:rsidRPr="002914A2">
              <w:rPr>
                <w:color w:val="000000"/>
                <w:sz w:val="18"/>
                <w:szCs w:val="18"/>
                <w:lang w:val="fr-CA"/>
              </w:rPr>
              <w:t xml:space="preserve">Eur J Clin Microbiol Infect Dis. 2007 Aug; 26(8): 571-81; 2. </w:t>
            </w:r>
            <w:r>
              <w:rPr>
                <w:color w:val="000000"/>
                <w:sz w:val="18"/>
                <w:szCs w:val="18"/>
              </w:rPr>
              <w:t xml:space="preserve">Costello, et al. </w:t>
            </w:r>
            <w:r>
              <w:t xml:space="preserve"> </w:t>
            </w:r>
            <w:r>
              <w:rPr>
                <w:color w:val="000000"/>
                <w:sz w:val="18"/>
                <w:szCs w:val="18"/>
              </w:rPr>
              <w:t>Pediatrics. 2009 May; 123(5):e835-41.</w:t>
            </w:r>
          </w:p>
          <w:p w14:paraId="4504119B" w14:textId="4273CFF4" w:rsidR="00171735" w:rsidRDefault="00171735" w:rsidP="00171735">
            <w:pPr>
              <w:rPr>
                <w:b/>
                <w:color w:val="000000"/>
                <w:sz w:val="20"/>
                <w:szCs w:val="20"/>
              </w:rPr>
            </w:pPr>
          </w:p>
        </w:tc>
      </w:tr>
      <w:tr w:rsidR="002D58E4" w14:paraId="68D2BAEE" w14:textId="77777777" w:rsidTr="00E343BA">
        <w:trPr>
          <w:trHeight w:val="500"/>
        </w:trPr>
        <w:tc>
          <w:tcPr>
            <w:tcW w:w="102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0CD4D06" w14:textId="77777777" w:rsidR="002D58E4" w:rsidRDefault="00F721D4">
            <w:pPr>
              <w:jc w:val="center"/>
              <w:rPr>
                <w:sz w:val="20"/>
                <w:szCs w:val="20"/>
              </w:rPr>
            </w:pPr>
            <w:r>
              <w:rPr>
                <w:b/>
                <w:color w:val="000000"/>
                <w:sz w:val="20"/>
                <w:szCs w:val="20"/>
              </w:rPr>
              <w:t>Study and Location</w:t>
            </w:r>
          </w:p>
        </w:tc>
        <w:tc>
          <w:tcPr>
            <w:tcW w:w="990" w:type="dxa"/>
            <w:tcBorders>
              <w:top w:val="single" w:sz="6" w:space="0" w:color="AEAEAE"/>
              <w:left w:val="single" w:sz="6" w:space="0" w:color="AEAEAE"/>
              <w:bottom w:val="single" w:sz="6" w:space="0" w:color="AEAEAE"/>
              <w:right w:val="single" w:sz="6" w:space="0" w:color="AEAEAE"/>
            </w:tcBorders>
            <w:shd w:val="clear" w:color="auto" w:fill="D9D9D9"/>
          </w:tcPr>
          <w:p w14:paraId="4F10A251" w14:textId="77777777" w:rsidR="002D58E4" w:rsidRDefault="00F721D4">
            <w:pPr>
              <w:jc w:val="center"/>
              <w:rPr>
                <w:b/>
                <w:color w:val="000000"/>
                <w:sz w:val="20"/>
                <w:szCs w:val="20"/>
              </w:rPr>
            </w:pPr>
            <w:r>
              <w:rPr>
                <w:b/>
                <w:color w:val="000000"/>
                <w:sz w:val="20"/>
                <w:szCs w:val="20"/>
              </w:rPr>
              <w:t>Study Design</w:t>
            </w:r>
          </w:p>
        </w:tc>
        <w:tc>
          <w:tcPr>
            <w:tcW w:w="1109" w:type="dxa"/>
            <w:tcBorders>
              <w:top w:val="single" w:sz="6" w:space="0" w:color="AEAEAE"/>
              <w:left w:val="single" w:sz="6" w:space="0" w:color="AEAEAE"/>
              <w:bottom w:val="single" w:sz="6" w:space="0" w:color="AEAEAE"/>
              <w:right w:val="single" w:sz="6" w:space="0" w:color="AEAEAE"/>
            </w:tcBorders>
            <w:shd w:val="clear" w:color="auto" w:fill="D9D9D9"/>
          </w:tcPr>
          <w:p w14:paraId="4C2FCDAC" w14:textId="77777777" w:rsidR="002D58E4" w:rsidRDefault="00F721D4">
            <w:pPr>
              <w:jc w:val="center"/>
              <w:rPr>
                <w:b/>
                <w:color w:val="000000"/>
                <w:sz w:val="20"/>
                <w:szCs w:val="20"/>
              </w:rPr>
            </w:pPr>
            <w:r>
              <w:rPr>
                <w:b/>
                <w:color w:val="000000"/>
                <w:sz w:val="20"/>
                <w:szCs w:val="20"/>
              </w:rPr>
              <w:t>Risk of bias*</w:t>
            </w:r>
          </w:p>
        </w:tc>
        <w:tc>
          <w:tcPr>
            <w:tcW w:w="3521" w:type="dxa"/>
            <w:tcBorders>
              <w:top w:val="single" w:sz="6" w:space="0" w:color="AEAEAE"/>
              <w:left w:val="single" w:sz="6" w:space="0" w:color="AEAEAE"/>
              <w:bottom w:val="single" w:sz="6" w:space="0" w:color="AEAEAE"/>
              <w:right w:val="single" w:sz="6" w:space="0" w:color="AEAEAE"/>
            </w:tcBorders>
            <w:shd w:val="clear" w:color="auto" w:fill="D9D9D9"/>
          </w:tcPr>
          <w:p w14:paraId="60F22DED" w14:textId="77777777" w:rsidR="002D58E4" w:rsidRDefault="00F721D4">
            <w:pPr>
              <w:jc w:val="center"/>
              <w:rPr>
                <w:b/>
                <w:color w:val="000000"/>
                <w:sz w:val="20"/>
                <w:szCs w:val="20"/>
              </w:rPr>
            </w:pPr>
            <w:r>
              <w:rPr>
                <w:b/>
                <w:color w:val="000000"/>
                <w:sz w:val="20"/>
                <w:szCs w:val="20"/>
              </w:rPr>
              <w:t>Lyme Disease Diagnosis method; Lyme disease characteristics</w:t>
            </w:r>
          </w:p>
        </w:tc>
        <w:tc>
          <w:tcPr>
            <w:tcW w:w="1559" w:type="dxa"/>
            <w:tcBorders>
              <w:top w:val="single" w:sz="6" w:space="0" w:color="AEAEAE"/>
              <w:left w:val="single" w:sz="6" w:space="0" w:color="AEAEAE"/>
              <w:bottom w:val="single" w:sz="6" w:space="0" w:color="AEAEAE"/>
              <w:right w:val="single" w:sz="6" w:space="0" w:color="AEAEAE"/>
            </w:tcBorders>
            <w:shd w:val="clear" w:color="auto" w:fill="D9D9D9"/>
          </w:tcPr>
          <w:p w14:paraId="45D8D342" w14:textId="77777777" w:rsidR="002D58E4" w:rsidRDefault="00F721D4">
            <w:pPr>
              <w:jc w:val="center"/>
              <w:rPr>
                <w:b/>
                <w:color w:val="000000"/>
                <w:sz w:val="20"/>
                <w:szCs w:val="20"/>
              </w:rPr>
            </w:pPr>
            <w:r>
              <w:rPr>
                <w:b/>
                <w:color w:val="000000"/>
                <w:sz w:val="20"/>
                <w:szCs w:val="20"/>
              </w:rPr>
              <w:t>Treatment Received</w:t>
            </w:r>
          </w:p>
        </w:tc>
        <w:tc>
          <w:tcPr>
            <w:tcW w:w="2835" w:type="dxa"/>
            <w:tcBorders>
              <w:top w:val="single" w:sz="6" w:space="0" w:color="AEAEAE"/>
              <w:left w:val="single" w:sz="6" w:space="0" w:color="AEAEAE"/>
              <w:bottom w:val="single" w:sz="6" w:space="0" w:color="AEAEAE"/>
              <w:right w:val="single" w:sz="6" w:space="0" w:color="AEAEAE"/>
            </w:tcBorders>
            <w:shd w:val="clear" w:color="auto" w:fill="D9D9D9"/>
          </w:tcPr>
          <w:p w14:paraId="2A2D75FA" w14:textId="77777777" w:rsidR="002D58E4" w:rsidRDefault="00F721D4">
            <w:pPr>
              <w:jc w:val="center"/>
              <w:rPr>
                <w:b/>
                <w:color w:val="000000"/>
                <w:sz w:val="20"/>
                <w:szCs w:val="20"/>
              </w:rPr>
            </w:pPr>
            <w:r>
              <w:rPr>
                <w:b/>
                <w:color w:val="000000"/>
                <w:sz w:val="20"/>
                <w:szCs w:val="20"/>
              </w:rPr>
              <w:t>Cardiac presentation description (if applicable)</w:t>
            </w:r>
          </w:p>
        </w:tc>
        <w:tc>
          <w:tcPr>
            <w:tcW w:w="3567" w:type="dxa"/>
            <w:tcBorders>
              <w:top w:val="single" w:sz="6" w:space="0" w:color="AEAEAE"/>
              <w:left w:val="single" w:sz="6" w:space="0" w:color="AEAEAE"/>
              <w:bottom w:val="single" w:sz="6" w:space="0" w:color="AEAEAE"/>
              <w:right w:val="single" w:sz="6" w:space="0" w:color="AEAEAE"/>
            </w:tcBorders>
            <w:shd w:val="clear" w:color="auto" w:fill="D9D9D9"/>
          </w:tcPr>
          <w:p w14:paraId="2D13B9FC" w14:textId="77777777" w:rsidR="002D58E4" w:rsidRDefault="00F721D4">
            <w:pPr>
              <w:jc w:val="center"/>
              <w:rPr>
                <w:b/>
                <w:color w:val="000000"/>
                <w:sz w:val="20"/>
                <w:szCs w:val="20"/>
              </w:rPr>
            </w:pPr>
            <w:r>
              <w:rPr>
                <w:b/>
                <w:color w:val="000000"/>
                <w:sz w:val="20"/>
                <w:szCs w:val="20"/>
              </w:rPr>
              <w:t>Treatment course and Study conclusions</w:t>
            </w:r>
          </w:p>
        </w:tc>
      </w:tr>
      <w:tr w:rsidR="002D58E4" w14:paraId="4CE6698A" w14:textId="77777777" w:rsidTr="00E343BA">
        <w:trPr>
          <w:trHeight w:val="420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75A3A1D" w14:textId="77777777" w:rsidR="002D58E4" w:rsidRDefault="00F721D4">
            <w:pPr>
              <w:rPr>
                <w:sz w:val="20"/>
                <w:szCs w:val="20"/>
              </w:rPr>
            </w:pPr>
            <w:r>
              <w:rPr>
                <w:sz w:val="20"/>
                <w:szCs w:val="20"/>
              </w:rPr>
              <w:t>Oksi, 2007</w:t>
            </w:r>
          </w:p>
          <w:p w14:paraId="5B745BD3" w14:textId="77777777" w:rsidR="002D58E4" w:rsidRDefault="002D58E4">
            <w:pPr>
              <w:rPr>
                <w:sz w:val="20"/>
                <w:szCs w:val="20"/>
              </w:rPr>
            </w:pPr>
          </w:p>
          <w:p w14:paraId="19F3A012" w14:textId="77777777" w:rsidR="002D58E4" w:rsidRDefault="00F721D4">
            <w:pPr>
              <w:rPr>
                <w:sz w:val="20"/>
                <w:szCs w:val="20"/>
              </w:rPr>
            </w:pPr>
            <w:r>
              <w:rPr>
                <w:sz w:val="20"/>
                <w:szCs w:val="20"/>
              </w:rPr>
              <w:t>Turku, Finland</w:t>
            </w:r>
          </w:p>
          <w:p w14:paraId="32509407" w14:textId="77777777" w:rsidR="002D58E4" w:rsidRDefault="002D58E4">
            <w:pPr>
              <w:rPr>
                <w:sz w:val="20"/>
                <w:szCs w:val="20"/>
              </w:rPr>
            </w:pPr>
          </w:p>
          <w:p w14:paraId="584BA0F1" w14:textId="77777777" w:rsidR="002D58E4" w:rsidRDefault="002D58E4">
            <w:pPr>
              <w:rPr>
                <w:sz w:val="20"/>
                <w:szCs w:val="20"/>
              </w:rPr>
            </w:pPr>
          </w:p>
        </w:tc>
        <w:tc>
          <w:tcPr>
            <w:tcW w:w="990" w:type="dxa"/>
            <w:tcBorders>
              <w:top w:val="single" w:sz="6" w:space="0" w:color="AEAEAE"/>
              <w:left w:val="single" w:sz="6" w:space="0" w:color="AEAEAE"/>
              <w:bottom w:val="single" w:sz="6" w:space="0" w:color="AEAEAE"/>
              <w:right w:val="single" w:sz="6" w:space="0" w:color="AEAEAE"/>
            </w:tcBorders>
            <w:vAlign w:val="center"/>
          </w:tcPr>
          <w:p w14:paraId="686A1391" w14:textId="77777777" w:rsidR="002D58E4" w:rsidRDefault="00F721D4">
            <w:pPr>
              <w:rPr>
                <w:sz w:val="20"/>
                <w:szCs w:val="20"/>
              </w:rPr>
            </w:pPr>
            <w:r>
              <w:rPr>
                <w:sz w:val="20"/>
                <w:szCs w:val="20"/>
              </w:rPr>
              <w:t>Randomized Controlled trial</w:t>
            </w:r>
          </w:p>
        </w:tc>
        <w:tc>
          <w:tcPr>
            <w:tcW w:w="1109" w:type="dxa"/>
            <w:tcBorders>
              <w:top w:val="single" w:sz="6" w:space="0" w:color="AEAEAE"/>
              <w:left w:val="single" w:sz="6" w:space="0" w:color="AEAEAE"/>
              <w:bottom w:val="single" w:sz="6" w:space="0" w:color="AEAEAE"/>
              <w:right w:val="single" w:sz="6" w:space="0" w:color="AEAEAE"/>
            </w:tcBorders>
            <w:vAlign w:val="center"/>
          </w:tcPr>
          <w:p w14:paraId="487D8F98" w14:textId="77777777" w:rsidR="002D58E4" w:rsidRDefault="00F721D4">
            <w:pPr>
              <w:rPr>
                <w:sz w:val="20"/>
                <w:szCs w:val="20"/>
              </w:rPr>
            </w:pPr>
            <w:r>
              <w:rPr>
                <w:sz w:val="20"/>
                <w:szCs w:val="20"/>
              </w:rPr>
              <w:t>Low risk of bias</w:t>
            </w:r>
          </w:p>
          <w:p w14:paraId="13FAA5F8" w14:textId="77777777" w:rsidR="002D58E4" w:rsidRDefault="002D58E4">
            <w:pPr>
              <w:rPr>
                <w:sz w:val="20"/>
                <w:szCs w:val="20"/>
              </w:rPr>
            </w:pPr>
          </w:p>
          <w:p w14:paraId="11BDD637" w14:textId="77777777" w:rsidR="002D58E4" w:rsidRDefault="002D58E4">
            <w:pPr>
              <w:rPr>
                <w:sz w:val="20"/>
                <w:szCs w:val="20"/>
              </w:rPr>
            </w:pPr>
          </w:p>
          <w:p w14:paraId="3ACFBB85" w14:textId="77777777" w:rsidR="002D58E4" w:rsidRDefault="002D58E4">
            <w:pPr>
              <w:rPr>
                <w:sz w:val="20"/>
                <w:szCs w:val="20"/>
              </w:rPr>
            </w:pPr>
          </w:p>
        </w:tc>
        <w:tc>
          <w:tcPr>
            <w:tcW w:w="3521" w:type="dxa"/>
            <w:tcBorders>
              <w:top w:val="single" w:sz="6" w:space="0" w:color="AEAEAE"/>
              <w:left w:val="single" w:sz="6" w:space="0" w:color="AEAEAE"/>
              <w:bottom w:val="single" w:sz="6" w:space="0" w:color="AEAEAE"/>
              <w:right w:val="single" w:sz="6" w:space="0" w:color="AEAEAE"/>
            </w:tcBorders>
            <w:vAlign w:val="center"/>
          </w:tcPr>
          <w:p w14:paraId="4E59B85B" w14:textId="77777777" w:rsidR="002D58E4" w:rsidRDefault="00F721D4">
            <w:pPr>
              <w:rPr>
                <w:sz w:val="20"/>
                <w:szCs w:val="20"/>
              </w:rPr>
            </w:pPr>
            <w:r>
              <w:rPr>
                <w:sz w:val="20"/>
                <w:szCs w:val="20"/>
              </w:rPr>
              <w:t>145 patients with possible (defined as</w:t>
            </w:r>
            <w:r>
              <w:t xml:space="preserve"> </w:t>
            </w:r>
            <w:r>
              <w:rPr>
                <w:sz w:val="20"/>
                <w:szCs w:val="20"/>
              </w:rPr>
              <w:t xml:space="preserve">uncommon manifestations, serum antibodies against </w:t>
            </w:r>
            <w:r>
              <w:rPr>
                <w:i/>
                <w:sz w:val="20"/>
                <w:szCs w:val="20"/>
              </w:rPr>
              <w:t>B. burgdorferi</w:t>
            </w:r>
            <w:r>
              <w:rPr>
                <w:sz w:val="20"/>
                <w:szCs w:val="20"/>
              </w:rPr>
              <w:t xml:space="preserve">, and exclusion of other causes) or definite (a classical objective manifestation of disseminated Lyme, inflammatory changes in the CSF or </w:t>
            </w:r>
            <w:r>
              <w:rPr>
                <w:i/>
                <w:sz w:val="20"/>
                <w:szCs w:val="20"/>
              </w:rPr>
              <w:t>Borrelia</w:t>
            </w:r>
            <w:r>
              <w:rPr>
                <w:sz w:val="20"/>
                <w:szCs w:val="20"/>
              </w:rPr>
              <w:t xml:space="preserve"> DNA in the synovial fluid, and/or intrathecal antibodies against </w:t>
            </w:r>
            <w:r>
              <w:rPr>
                <w:i/>
                <w:sz w:val="20"/>
                <w:szCs w:val="20"/>
              </w:rPr>
              <w:t>B. burgdorferi</w:t>
            </w:r>
            <w:r>
              <w:rPr>
                <w:sz w:val="20"/>
                <w:szCs w:val="20"/>
              </w:rPr>
              <w:t xml:space="preserve">, along with exclusion of other causes) disseminated Lyme Disease. </w:t>
            </w:r>
          </w:p>
          <w:p w14:paraId="63024922" w14:textId="77777777" w:rsidR="002D58E4" w:rsidRDefault="002D58E4">
            <w:pPr>
              <w:rPr>
                <w:sz w:val="20"/>
                <w:szCs w:val="20"/>
              </w:rPr>
            </w:pPr>
          </w:p>
          <w:p w14:paraId="69BC8187" w14:textId="77777777" w:rsidR="002D58E4" w:rsidRDefault="00F721D4">
            <w:pPr>
              <w:rPr>
                <w:sz w:val="20"/>
                <w:szCs w:val="20"/>
              </w:rPr>
            </w:pPr>
            <w:r>
              <w:rPr>
                <w:sz w:val="20"/>
                <w:szCs w:val="20"/>
              </w:rPr>
              <w:t>Mean age Ceftriaxone/amoxicillin: 52.3 years; 52% female; 72.6% definite diagnosis.</w:t>
            </w:r>
          </w:p>
          <w:p w14:paraId="7FC2129F" w14:textId="77777777" w:rsidR="002D58E4" w:rsidRDefault="00F721D4">
            <w:pPr>
              <w:rPr>
                <w:sz w:val="20"/>
                <w:szCs w:val="20"/>
              </w:rPr>
            </w:pPr>
            <w:r>
              <w:rPr>
                <w:sz w:val="20"/>
                <w:szCs w:val="20"/>
              </w:rPr>
              <w:t>Mean age Ceftriaxone/placebo: 50.5 years; 50% female; 75.4% definite diagnosis.</w:t>
            </w:r>
          </w:p>
        </w:tc>
        <w:tc>
          <w:tcPr>
            <w:tcW w:w="1559" w:type="dxa"/>
            <w:tcBorders>
              <w:top w:val="single" w:sz="6" w:space="0" w:color="AEAEAE"/>
              <w:left w:val="single" w:sz="6" w:space="0" w:color="AEAEAE"/>
              <w:bottom w:val="single" w:sz="6" w:space="0" w:color="AEAEAE"/>
              <w:right w:val="single" w:sz="6" w:space="0" w:color="AEAEAE"/>
            </w:tcBorders>
            <w:vAlign w:val="center"/>
          </w:tcPr>
          <w:p w14:paraId="53516442" w14:textId="77777777" w:rsidR="002D58E4" w:rsidRDefault="00F721D4">
            <w:pPr>
              <w:rPr>
                <w:sz w:val="20"/>
                <w:szCs w:val="20"/>
              </w:rPr>
            </w:pPr>
            <w:r>
              <w:rPr>
                <w:sz w:val="20"/>
                <w:szCs w:val="20"/>
              </w:rPr>
              <w:t xml:space="preserve">2g </w:t>
            </w:r>
            <w:r>
              <w:rPr>
                <w:b/>
                <w:sz w:val="20"/>
                <w:szCs w:val="20"/>
              </w:rPr>
              <w:t>IV</w:t>
            </w:r>
            <w:r>
              <w:rPr>
                <w:sz w:val="20"/>
                <w:szCs w:val="20"/>
              </w:rPr>
              <w:t xml:space="preserve"> Ceftriaxone/day for 21 days, </w:t>
            </w:r>
            <w:r>
              <w:rPr>
                <w:sz w:val="20"/>
                <w:szCs w:val="20"/>
                <w:u w:val="single"/>
              </w:rPr>
              <w:t>followed</w:t>
            </w:r>
            <w:r>
              <w:rPr>
                <w:sz w:val="20"/>
                <w:szCs w:val="20"/>
              </w:rPr>
              <w:t xml:space="preserve"> </w:t>
            </w:r>
            <w:r>
              <w:rPr>
                <w:sz w:val="20"/>
                <w:szCs w:val="20"/>
                <w:u w:val="single"/>
              </w:rPr>
              <w:t>by</w:t>
            </w:r>
            <w:r>
              <w:rPr>
                <w:sz w:val="20"/>
                <w:szCs w:val="20"/>
              </w:rPr>
              <w:t xml:space="preserve"> 1 g </w:t>
            </w:r>
            <w:r>
              <w:rPr>
                <w:b/>
                <w:sz w:val="20"/>
                <w:szCs w:val="20"/>
              </w:rPr>
              <w:t>Ora</w:t>
            </w:r>
            <w:r>
              <w:rPr>
                <w:sz w:val="20"/>
                <w:szCs w:val="20"/>
              </w:rPr>
              <w:t>l Amoxicillin BID for 100 days (n=73) versus 2g IV Ceftriaxone/day for 21 days, followed by Oral Placebo BID for 100 days (n=72)</w:t>
            </w:r>
          </w:p>
        </w:tc>
        <w:tc>
          <w:tcPr>
            <w:tcW w:w="2835" w:type="dxa"/>
            <w:tcBorders>
              <w:top w:val="single" w:sz="6" w:space="0" w:color="AEAEAE"/>
              <w:left w:val="single" w:sz="6" w:space="0" w:color="AEAEAE"/>
              <w:bottom w:val="single" w:sz="6" w:space="0" w:color="AEAEAE"/>
              <w:right w:val="single" w:sz="6" w:space="0" w:color="AEAEAE"/>
            </w:tcBorders>
            <w:vAlign w:val="center"/>
          </w:tcPr>
          <w:p w14:paraId="7480139C" w14:textId="77777777" w:rsidR="002D58E4" w:rsidRDefault="00F721D4">
            <w:pPr>
              <w:rPr>
                <w:sz w:val="20"/>
                <w:szCs w:val="20"/>
              </w:rPr>
            </w:pPr>
            <w:r>
              <w:rPr>
                <w:sz w:val="20"/>
                <w:szCs w:val="20"/>
              </w:rPr>
              <w:t xml:space="preserve">8 of 145 (5.5%) of patients presented with Lyme carditis at baseline. One patient had pericarditis, 4 presented with frequent </w:t>
            </w:r>
            <w:r>
              <w:rPr>
                <w:sz w:val="20"/>
                <w:szCs w:val="20"/>
                <w:highlight w:val="white"/>
              </w:rPr>
              <w:t>ventricular extrasystoliae or supraventricular extrasystoliae,</w:t>
            </w:r>
            <w:r>
              <w:rPr>
                <w:sz w:val="20"/>
                <w:szCs w:val="20"/>
              </w:rPr>
              <w:t xml:space="preserve"> 3 presented with dissociation atrioventricular block grade I.</w:t>
            </w:r>
          </w:p>
        </w:tc>
        <w:tc>
          <w:tcPr>
            <w:tcW w:w="3567" w:type="dxa"/>
            <w:tcBorders>
              <w:top w:val="single" w:sz="6" w:space="0" w:color="AEAEAE"/>
              <w:left w:val="single" w:sz="6" w:space="0" w:color="AEAEAE"/>
              <w:bottom w:val="single" w:sz="6" w:space="0" w:color="AEAEAE"/>
              <w:right w:val="single" w:sz="6" w:space="0" w:color="AEAEAE"/>
            </w:tcBorders>
            <w:vAlign w:val="center"/>
          </w:tcPr>
          <w:p w14:paraId="707D4D7E" w14:textId="77777777" w:rsidR="002D58E4" w:rsidRDefault="00F721D4">
            <w:pPr>
              <w:rPr>
                <w:sz w:val="20"/>
                <w:szCs w:val="20"/>
              </w:rPr>
            </w:pPr>
            <w:r>
              <w:rPr>
                <w:sz w:val="20"/>
                <w:szCs w:val="20"/>
              </w:rPr>
              <w:t>In patients with definite LB, the outcome was excellent or good in 49 (92.5%) amoxicillin treated patients and in 47 (87.0%) placebo treated patients; outcome was poor in 3 (5.7%) AMOX patients and in 6 (11.1%) PBO patients (p=0.49).</w:t>
            </w:r>
          </w:p>
          <w:p w14:paraId="1212C480" w14:textId="77777777" w:rsidR="002D58E4" w:rsidRDefault="002D58E4">
            <w:pPr>
              <w:rPr>
                <w:sz w:val="20"/>
                <w:szCs w:val="20"/>
              </w:rPr>
            </w:pPr>
          </w:p>
          <w:p w14:paraId="7509215D" w14:textId="77777777" w:rsidR="002D58E4" w:rsidRDefault="00F721D4">
            <w:pPr>
              <w:rPr>
                <w:sz w:val="20"/>
                <w:szCs w:val="20"/>
              </w:rPr>
            </w:pPr>
            <w:r>
              <w:rPr>
                <w:sz w:val="20"/>
                <w:szCs w:val="20"/>
              </w:rPr>
              <w:t xml:space="preserve">No serious adverse effects of antibiotic treatment occurred in any of the 145 patients. Diarrhea was reported in 33 (22.8%) patients during IV ceftriaxone treatment and in 19 (13.1%) patients during oral treatment (15 in the amoxicillin group and 4 in the placebo group, p=0.012). No severe allergic reactions were observed. </w:t>
            </w:r>
          </w:p>
          <w:p w14:paraId="7A51D5D5" w14:textId="77777777" w:rsidR="002D58E4" w:rsidRDefault="002D58E4">
            <w:pPr>
              <w:rPr>
                <w:sz w:val="20"/>
                <w:szCs w:val="20"/>
              </w:rPr>
            </w:pPr>
          </w:p>
          <w:p w14:paraId="30853FB2" w14:textId="77777777" w:rsidR="002D58E4" w:rsidRDefault="00F721D4">
            <w:pPr>
              <w:rPr>
                <w:sz w:val="20"/>
                <w:szCs w:val="20"/>
              </w:rPr>
            </w:pPr>
            <w:r>
              <w:rPr>
                <w:sz w:val="20"/>
                <w:szCs w:val="20"/>
              </w:rPr>
              <w:t xml:space="preserve">The authors concluded that there was no significant benefit to oral adjunct therapy in patients with disseminated Lyme disease who have received IV ceftriaxone. </w:t>
            </w:r>
          </w:p>
          <w:p w14:paraId="02E95820" w14:textId="77777777" w:rsidR="002D58E4" w:rsidRDefault="002D58E4">
            <w:pPr>
              <w:rPr>
                <w:sz w:val="20"/>
                <w:szCs w:val="20"/>
              </w:rPr>
            </w:pPr>
          </w:p>
        </w:tc>
      </w:tr>
      <w:tr w:rsidR="002D58E4" w14:paraId="186E7BEA" w14:textId="77777777" w:rsidTr="00E343BA">
        <w:trPr>
          <w:trHeight w:val="378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E6BA987" w14:textId="77777777" w:rsidR="002D58E4" w:rsidRDefault="00F721D4">
            <w:pPr>
              <w:rPr>
                <w:sz w:val="20"/>
                <w:szCs w:val="20"/>
              </w:rPr>
            </w:pPr>
            <w:r>
              <w:rPr>
                <w:sz w:val="20"/>
                <w:szCs w:val="20"/>
              </w:rPr>
              <w:t>Costello, 2009</w:t>
            </w:r>
          </w:p>
          <w:p w14:paraId="43537B15" w14:textId="77777777" w:rsidR="002D58E4" w:rsidRDefault="002D58E4">
            <w:pPr>
              <w:rPr>
                <w:sz w:val="20"/>
                <w:szCs w:val="20"/>
              </w:rPr>
            </w:pPr>
          </w:p>
          <w:p w14:paraId="74A5A2B4" w14:textId="77777777" w:rsidR="002D58E4" w:rsidRDefault="00F721D4">
            <w:pPr>
              <w:rPr>
                <w:sz w:val="20"/>
                <w:szCs w:val="20"/>
              </w:rPr>
            </w:pPr>
            <w:r>
              <w:rPr>
                <w:sz w:val="20"/>
                <w:szCs w:val="20"/>
              </w:rPr>
              <w:t>Boston, MA</w:t>
            </w:r>
          </w:p>
        </w:tc>
        <w:tc>
          <w:tcPr>
            <w:tcW w:w="990" w:type="dxa"/>
            <w:tcBorders>
              <w:top w:val="single" w:sz="6" w:space="0" w:color="AEAEAE"/>
              <w:left w:val="single" w:sz="6" w:space="0" w:color="AEAEAE"/>
              <w:bottom w:val="single" w:sz="6" w:space="0" w:color="AEAEAE"/>
              <w:right w:val="single" w:sz="6" w:space="0" w:color="AEAEAE"/>
            </w:tcBorders>
            <w:vAlign w:val="center"/>
          </w:tcPr>
          <w:p w14:paraId="115FB793" w14:textId="77777777" w:rsidR="002D58E4" w:rsidRDefault="00F721D4">
            <w:pPr>
              <w:rPr>
                <w:sz w:val="20"/>
                <w:szCs w:val="20"/>
              </w:rPr>
            </w:pPr>
            <w:r>
              <w:rPr>
                <w:sz w:val="20"/>
                <w:szCs w:val="20"/>
              </w:rPr>
              <w:t>Case control study</w:t>
            </w:r>
          </w:p>
        </w:tc>
        <w:tc>
          <w:tcPr>
            <w:tcW w:w="1109" w:type="dxa"/>
            <w:tcBorders>
              <w:top w:val="single" w:sz="6" w:space="0" w:color="AEAEAE"/>
              <w:left w:val="single" w:sz="6" w:space="0" w:color="AEAEAE"/>
              <w:bottom w:val="single" w:sz="6" w:space="0" w:color="AEAEAE"/>
              <w:right w:val="single" w:sz="6" w:space="0" w:color="AEAEAE"/>
            </w:tcBorders>
            <w:vAlign w:val="center"/>
          </w:tcPr>
          <w:p w14:paraId="20123056" w14:textId="77777777" w:rsidR="002D58E4" w:rsidRDefault="00F721D4">
            <w:pPr>
              <w:jc w:val="center"/>
              <w:rPr>
                <w:sz w:val="20"/>
                <w:szCs w:val="20"/>
              </w:rPr>
            </w:pPr>
            <w:r>
              <w:rPr>
                <w:sz w:val="20"/>
                <w:szCs w:val="20"/>
              </w:rPr>
              <w:t>7</w:t>
            </w:r>
          </w:p>
        </w:tc>
        <w:tc>
          <w:tcPr>
            <w:tcW w:w="3521" w:type="dxa"/>
            <w:tcBorders>
              <w:top w:val="single" w:sz="6" w:space="0" w:color="AEAEAE"/>
              <w:left w:val="single" w:sz="6" w:space="0" w:color="AEAEAE"/>
              <w:bottom w:val="single" w:sz="6" w:space="0" w:color="AEAEAE"/>
              <w:right w:val="single" w:sz="6" w:space="0" w:color="AEAEAE"/>
            </w:tcBorders>
            <w:vAlign w:val="center"/>
          </w:tcPr>
          <w:p w14:paraId="74D513FA" w14:textId="77777777" w:rsidR="002D58E4" w:rsidRDefault="00F721D4">
            <w:pPr>
              <w:rPr>
                <w:sz w:val="20"/>
                <w:szCs w:val="20"/>
              </w:rPr>
            </w:pPr>
            <w:r>
              <w:rPr>
                <w:sz w:val="20"/>
                <w:szCs w:val="20"/>
              </w:rPr>
              <w:t xml:space="preserve">207 pediatric (&lt;21 years old) patients with early disseminated Lyme disease (multiple erythema migrans, meningitis, cranial neuritis, radiculoneuritis, ocular involvement, and/or carditis) with laboratory conﬁrmation of </w:t>
            </w:r>
            <w:r>
              <w:rPr>
                <w:i/>
                <w:sz w:val="20"/>
                <w:szCs w:val="20"/>
              </w:rPr>
              <w:t>B. burgdorferi</w:t>
            </w:r>
            <w:r>
              <w:rPr>
                <w:sz w:val="20"/>
                <w:szCs w:val="20"/>
              </w:rPr>
              <w:t xml:space="preserve"> infection.</w:t>
            </w:r>
          </w:p>
          <w:p w14:paraId="2D6C5BA0" w14:textId="77777777" w:rsidR="002D58E4" w:rsidRDefault="002D58E4">
            <w:pPr>
              <w:rPr>
                <w:sz w:val="20"/>
                <w:szCs w:val="20"/>
              </w:rPr>
            </w:pPr>
          </w:p>
          <w:p w14:paraId="3103E211" w14:textId="77777777" w:rsidR="002D58E4" w:rsidRDefault="00F721D4">
            <w:pPr>
              <w:spacing w:after="120"/>
              <w:rPr>
                <w:sz w:val="20"/>
                <w:szCs w:val="20"/>
              </w:rPr>
            </w:pPr>
            <w:r>
              <w:rPr>
                <w:sz w:val="20"/>
                <w:szCs w:val="20"/>
              </w:rPr>
              <w:t xml:space="preserve">16% (33 of 207) of patients with early disseminated Lyme disease had carditis. 98% of non-carditis patients and 100% of carditis patients had positive serology. </w:t>
            </w:r>
          </w:p>
          <w:p w14:paraId="7D0470F3" w14:textId="77777777" w:rsidR="002D58E4" w:rsidRDefault="00F721D4">
            <w:pPr>
              <w:spacing w:after="120"/>
              <w:rPr>
                <w:sz w:val="20"/>
                <w:szCs w:val="20"/>
              </w:rPr>
            </w:pPr>
            <w:r>
              <w:rPr>
                <w:sz w:val="20"/>
                <w:szCs w:val="20"/>
              </w:rPr>
              <w:t xml:space="preserve">Patients with carditis had a wide range of systemic involvement, including flu-like symptoms in 94%, meningitis in 48%, multiple erythema migrans in 48%, and erythema migrans in 24%. </w:t>
            </w:r>
          </w:p>
        </w:tc>
        <w:tc>
          <w:tcPr>
            <w:tcW w:w="1559" w:type="dxa"/>
            <w:tcBorders>
              <w:top w:val="single" w:sz="6" w:space="0" w:color="AEAEAE"/>
              <w:left w:val="single" w:sz="6" w:space="0" w:color="AEAEAE"/>
              <w:bottom w:val="single" w:sz="6" w:space="0" w:color="AEAEAE"/>
              <w:right w:val="single" w:sz="6" w:space="0" w:color="AEAEAE"/>
            </w:tcBorders>
            <w:vAlign w:val="center"/>
          </w:tcPr>
          <w:p w14:paraId="2E6E251F" w14:textId="77777777" w:rsidR="002D58E4" w:rsidRDefault="002D58E4">
            <w:pPr>
              <w:rPr>
                <w:sz w:val="20"/>
                <w:szCs w:val="20"/>
              </w:rPr>
            </w:pPr>
          </w:p>
          <w:p w14:paraId="5292E011" w14:textId="77777777" w:rsidR="002D58E4" w:rsidRDefault="00F721D4">
            <w:pPr>
              <w:rPr>
                <w:b/>
                <w:sz w:val="20"/>
                <w:szCs w:val="20"/>
              </w:rPr>
            </w:pPr>
            <w:r>
              <w:rPr>
                <w:sz w:val="20"/>
                <w:szCs w:val="20"/>
              </w:rPr>
              <w:t>All 9 patients with complete heart block and 3 of 5 patients with 2</w:t>
            </w:r>
            <w:r>
              <w:rPr>
                <w:sz w:val="20"/>
                <w:szCs w:val="20"/>
                <w:vertAlign w:val="superscript"/>
              </w:rPr>
              <w:t>nd</w:t>
            </w:r>
            <w:r>
              <w:rPr>
                <w:sz w:val="20"/>
                <w:szCs w:val="20"/>
              </w:rPr>
              <w:t xml:space="preserve"> degree heart block received 21 to 28 days of IV ceftriaxone. </w:t>
            </w:r>
            <w:r>
              <w:rPr>
                <w:b/>
                <w:sz w:val="20"/>
                <w:szCs w:val="20"/>
              </w:rPr>
              <w:t>2 of 5 patients with 2</w:t>
            </w:r>
            <w:r>
              <w:rPr>
                <w:b/>
                <w:sz w:val="20"/>
                <w:szCs w:val="20"/>
                <w:vertAlign w:val="superscript"/>
              </w:rPr>
              <w:t>nd</w:t>
            </w:r>
            <w:r>
              <w:rPr>
                <w:b/>
                <w:sz w:val="20"/>
                <w:szCs w:val="20"/>
              </w:rPr>
              <w:t xml:space="preserve"> degree heart block received ceftriaxone while hospitalized then received oral antibiotics for 21 to 28 days. </w:t>
            </w:r>
          </w:p>
          <w:p w14:paraId="67AAC2CA" w14:textId="77777777" w:rsidR="002D58E4" w:rsidRDefault="002D58E4">
            <w:pPr>
              <w:rPr>
                <w:sz w:val="20"/>
                <w:szCs w:val="20"/>
              </w:rPr>
            </w:pPr>
          </w:p>
        </w:tc>
        <w:tc>
          <w:tcPr>
            <w:tcW w:w="2835" w:type="dxa"/>
            <w:tcBorders>
              <w:top w:val="single" w:sz="6" w:space="0" w:color="AEAEAE"/>
              <w:left w:val="single" w:sz="6" w:space="0" w:color="AEAEAE"/>
              <w:bottom w:val="single" w:sz="6" w:space="0" w:color="AEAEAE"/>
              <w:right w:val="single" w:sz="6" w:space="0" w:color="AEAEAE"/>
            </w:tcBorders>
            <w:vAlign w:val="center"/>
          </w:tcPr>
          <w:p w14:paraId="1CFFBEB0" w14:textId="77777777" w:rsidR="002D58E4" w:rsidRDefault="00F721D4">
            <w:pPr>
              <w:rPr>
                <w:sz w:val="20"/>
                <w:szCs w:val="20"/>
              </w:rPr>
            </w:pPr>
            <w:r>
              <w:rPr>
                <w:sz w:val="20"/>
                <w:szCs w:val="20"/>
              </w:rPr>
              <w:t xml:space="preserve">42% (14 of 33) of patients with Lyme carditis had advanced heart block, and 27% (9 of 33) of these patients had complete heart block. </w:t>
            </w:r>
          </w:p>
          <w:p w14:paraId="1A4330B8" w14:textId="77777777" w:rsidR="002D58E4" w:rsidRDefault="002D58E4">
            <w:pPr>
              <w:rPr>
                <w:sz w:val="20"/>
                <w:szCs w:val="20"/>
              </w:rPr>
            </w:pPr>
          </w:p>
          <w:p w14:paraId="1EB0C0F6" w14:textId="77777777" w:rsidR="002D58E4" w:rsidRDefault="00F721D4">
            <w:pPr>
              <w:rPr>
                <w:sz w:val="20"/>
                <w:szCs w:val="20"/>
              </w:rPr>
            </w:pPr>
            <w:r>
              <w:rPr>
                <w:sz w:val="20"/>
                <w:szCs w:val="20"/>
              </w:rPr>
              <w:t>ECG findings in patients with Lyme carditis were as follows: Normal (N=1),1</w:t>
            </w:r>
            <w:r>
              <w:rPr>
                <w:sz w:val="20"/>
                <w:szCs w:val="20"/>
                <w:vertAlign w:val="superscript"/>
              </w:rPr>
              <w:t>st</w:t>
            </w:r>
            <w:r>
              <w:rPr>
                <w:sz w:val="20"/>
                <w:szCs w:val="20"/>
              </w:rPr>
              <w:t xml:space="preserve"> degree atrioventricular (AV) block (N=12),1</w:t>
            </w:r>
            <w:r>
              <w:rPr>
                <w:sz w:val="20"/>
                <w:szCs w:val="20"/>
                <w:vertAlign w:val="superscript"/>
              </w:rPr>
              <w:t>st</w:t>
            </w:r>
            <w:r>
              <w:rPr>
                <w:sz w:val="20"/>
                <w:szCs w:val="20"/>
              </w:rPr>
              <w:t xml:space="preserve"> degree AV block+ ST-T changes (N=1), 1</w:t>
            </w:r>
            <w:r>
              <w:rPr>
                <w:sz w:val="20"/>
                <w:szCs w:val="20"/>
                <w:vertAlign w:val="superscript"/>
              </w:rPr>
              <w:t>st</w:t>
            </w:r>
            <w:r>
              <w:rPr>
                <w:sz w:val="20"/>
                <w:szCs w:val="20"/>
              </w:rPr>
              <w:t xml:space="preserve"> degree  AV block +prolonged corrected QT interval (N=1), 2</w:t>
            </w:r>
            <w:r>
              <w:rPr>
                <w:sz w:val="20"/>
                <w:szCs w:val="20"/>
                <w:vertAlign w:val="superscript"/>
              </w:rPr>
              <w:t>nd</w:t>
            </w:r>
            <w:r>
              <w:rPr>
                <w:sz w:val="20"/>
                <w:szCs w:val="20"/>
              </w:rPr>
              <w:t xml:space="preserve"> degree AV block (N=7), complete heart block (N=5), prolonged corrected QT interval (N=4), and ST-T wave changes (N=2).</w:t>
            </w:r>
          </w:p>
        </w:tc>
        <w:tc>
          <w:tcPr>
            <w:tcW w:w="3567" w:type="dxa"/>
            <w:tcBorders>
              <w:top w:val="single" w:sz="6" w:space="0" w:color="AEAEAE"/>
              <w:left w:val="single" w:sz="6" w:space="0" w:color="AEAEAE"/>
              <w:bottom w:val="single" w:sz="6" w:space="0" w:color="AEAEAE"/>
              <w:right w:val="single" w:sz="6" w:space="0" w:color="AEAEAE"/>
            </w:tcBorders>
            <w:vAlign w:val="center"/>
          </w:tcPr>
          <w:p w14:paraId="7DE76718" w14:textId="77777777" w:rsidR="002D58E4" w:rsidRDefault="00F721D4">
            <w:pPr>
              <w:rPr>
                <w:sz w:val="20"/>
                <w:szCs w:val="20"/>
              </w:rPr>
            </w:pPr>
            <w:r>
              <w:rPr>
                <w:sz w:val="20"/>
                <w:szCs w:val="20"/>
              </w:rPr>
              <w:t xml:space="preserve">Patients with Lyme carditis were significantly more likely to be &gt;10 years old (p&lt;0.001) and to present with arthralgia (p=0.02) or cardiopulmonary symptoms (p&lt;0.001). </w:t>
            </w:r>
          </w:p>
          <w:p w14:paraId="316AF9BB" w14:textId="77777777" w:rsidR="002D58E4" w:rsidRDefault="002D58E4">
            <w:pPr>
              <w:rPr>
                <w:sz w:val="20"/>
                <w:szCs w:val="20"/>
              </w:rPr>
            </w:pPr>
          </w:p>
          <w:p w14:paraId="6FFB5811" w14:textId="77777777" w:rsidR="002D58E4" w:rsidRDefault="00F721D4">
            <w:pPr>
              <w:rPr>
                <w:sz w:val="20"/>
                <w:szCs w:val="20"/>
              </w:rPr>
            </w:pPr>
            <w:r>
              <w:rPr>
                <w:sz w:val="20"/>
                <w:szCs w:val="20"/>
              </w:rPr>
              <w:t>Of 27 patients for whom follow-up data was available, 24 (88.9%) had complete resolution of their cardiac symptoms.</w:t>
            </w:r>
          </w:p>
        </w:tc>
      </w:tr>
    </w:tbl>
    <w:p w14:paraId="61947DAC" w14:textId="77777777" w:rsidR="002D58E4" w:rsidRDefault="00F721D4" w:rsidP="00E343BA">
      <w:pPr>
        <w:ind w:right="-3980"/>
        <w:rPr>
          <w:sz w:val="18"/>
          <w:szCs w:val="18"/>
        </w:rPr>
      </w:pPr>
      <w:r>
        <w:rPr>
          <w:b/>
          <w:sz w:val="20"/>
          <w:szCs w:val="20"/>
        </w:rPr>
        <w:t>*</w:t>
      </w:r>
      <w:r>
        <w:rPr>
          <w:sz w:val="20"/>
          <w:szCs w:val="20"/>
        </w:rPr>
        <w:t xml:space="preserve"> Risk of Bias of Randomized Controlled Trial Data was assessed using the Cochrane Risk of Bias Tool and assigned an overall rating of “High risk” “Unclear Risk” or “Low Risk”. Risk of Bias of Observational Data was rated on a scale from 0 (worst) to 9 (best) using the Newcastle-Ottawa Quality Assessment Scale for Observational Studies.</w:t>
      </w:r>
      <w:r>
        <w:br w:type="page"/>
      </w:r>
    </w:p>
    <w:tbl>
      <w:tblPr>
        <w:tblStyle w:val="affd"/>
        <w:tblW w:w="14742" w:type="dxa"/>
        <w:tblLayout w:type="fixed"/>
        <w:tblLook w:val="0600" w:firstRow="0" w:lastRow="0" w:firstColumn="0" w:lastColumn="0" w:noHBand="1" w:noVBand="1"/>
      </w:tblPr>
      <w:tblGrid>
        <w:gridCol w:w="1019"/>
        <w:gridCol w:w="965"/>
        <w:gridCol w:w="720"/>
        <w:gridCol w:w="2709"/>
        <w:gridCol w:w="3375"/>
        <w:gridCol w:w="2697"/>
        <w:gridCol w:w="3257"/>
      </w:tblGrid>
      <w:tr w:rsidR="002D58E4" w14:paraId="780AF898" w14:textId="77777777" w:rsidTr="002305C5">
        <w:trPr>
          <w:trHeight w:val="500"/>
        </w:trPr>
        <w:tc>
          <w:tcPr>
            <w:tcW w:w="14742" w:type="dxa"/>
            <w:gridSpan w:val="7"/>
          </w:tcPr>
          <w:p w14:paraId="18A61C22" w14:textId="0C508259" w:rsidR="002D58E4" w:rsidRDefault="00F721D4">
            <w:pPr>
              <w:rPr>
                <w:b/>
                <w:sz w:val="32"/>
                <w:szCs w:val="32"/>
              </w:rPr>
            </w:pPr>
            <w:r>
              <w:rPr>
                <w:b/>
                <w:sz w:val="32"/>
                <w:szCs w:val="32"/>
              </w:rPr>
              <w:t>XX. Should patients being evaluated for acute myocarditis/pericarditis or chronic cardiomyopathy of unknown cause be tested for Lyme disease?</w:t>
            </w:r>
          </w:p>
          <w:p w14:paraId="3792065D" w14:textId="77777777" w:rsidR="002D58E4" w:rsidRDefault="002D58E4">
            <w:pPr>
              <w:rPr>
                <w:b/>
                <w:color w:val="000000"/>
                <w:sz w:val="18"/>
                <w:szCs w:val="18"/>
              </w:rPr>
            </w:pPr>
          </w:p>
        </w:tc>
      </w:tr>
      <w:tr w:rsidR="002D58E4" w14:paraId="29357A27" w14:textId="77777777" w:rsidTr="00E14B2B">
        <w:trPr>
          <w:trHeight w:val="686"/>
        </w:trPr>
        <w:tc>
          <w:tcPr>
            <w:tcW w:w="14742" w:type="dxa"/>
            <w:gridSpan w:val="7"/>
            <w:tcBorders>
              <w:bottom w:val="single" w:sz="6" w:space="0" w:color="AEAEAE"/>
            </w:tcBorders>
          </w:tcPr>
          <w:p w14:paraId="57EFE51D" w14:textId="77777777" w:rsidR="002D58E4" w:rsidRDefault="00F721D4">
            <w:pPr>
              <w:spacing w:after="200" w:line="276" w:lineRule="auto"/>
              <w:rPr>
                <w:b/>
                <w:color w:val="000000"/>
                <w:sz w:val="18"/>
                <w:szCs w:val="18"/>
              </w:rPr>
            </w:pPr>
            <w:r w:rsidRPr="002914A2">
              <w:rPr>
                <w:b/>
                <w:color w:val="000000"/>
                <w:sz w:val="18"/>
                <w:szCs w:val="18"/>
                <w:lang w:val="fr-CA"/>
              </w:rPr>
              <w:t>Bibliography</w:t>
            </w:r>
            <w:r w:rsidRPr="002914A2">
              <w:rPr>
                <w:color w:val="000000"/>
                <w:sz w:val="18"/>
                <w:szCs w:val="18"/>
                <w:lang w:val="fr-CA"/>
              </w:rPr>
              <w:t>: 1. Stanek, et al.</w:t>
            </w:r>
            <w:r w:rsidRPr="002914A2">
              <w:rPr>
                <w:lang w:val="fr-CA"/>
              </w:rPr>
              <w:t xml:space="preserve"> </w:t>
            </w:r>
            <w:r w:rsidRPr="002914A2">
              <w:rPr>
                <w:color w:val="000000"/>
                <w:sz w:val="18"/>
                <w:szCs w:val="18"/>
                <w:lang w:val="fr-CA"/>
              </w:rPr>
              <w:t xml:space="preserve">Scand J Infect Dis Suppl. </w:t>
            </w:r>
            <w:r>
              <w:rPr>
                <w:color w:val="000000"/>
                <w:sz w:val="18"/>
                <w:szCs w:val="18"/>
              </w:rPr>
              <w:t xml:space="preserve">1991;77:85-7 ; 2. Rees, et al. </w:t>
            </w:r>
            <w:r>
              <w:t xml:space="preserve"> </w:t>
            </w:r>
            <w:r>
              <w:rPr>
                <w:color w:val="000000"/>
                <w:sz w:val="18"/>
                <w:szCs w:val="18"/>
              </w:rPr>
              <w:t xml:space="preserve">Br Heart J. 1994 May;71(5):459-61; 3. </w:t>
            </w:r>
            <w:r w:rsidRPr="00E20834">
              <w:rPr>
                <w:color w:val="000000"/>
                <w:sz w:val="18"/>
                <w:szCs w:val="18"/>
              </w:rPr>
              <w:t xml:space="preserve">Sonnesyn, et al. </w:t>
            </w:r>
            <w:r w:rsidRPr="00E20834">
              <w:t xml:space="preserve"> </w:t>
            </w:r>
            <w:r w:rsidRPr="00610DB8">
              <w:rPr>
                <w:color w:val="000000"/>
                <w:sz w:val="18"/>
                <w:szCs w:val="18"/>
              </w:rPr>
              <w:t xml:space="preserve">Am J Cardiol. 1995 Jul 1;76(1):97-100; 4. Gasser, et al. </w:t>
            </w:r>
            <w:r w:rsidRPr="00610DB8">
              <w:t xml:space="preserve"> </w:t>
            </w:r>
            <w:r>
              <w:rPr>
                <w:color w:val="000000"/>
                <w:sz w:val="18"/>
                <w:szCs w:val="18"/>
              </w:rPr>
              <w:t xml:space="preserve">Cardiovasc Drugs Ther. 1996 Jul;10(3):351-60; 5. </w:t>
            </w:r>
            <w:r>
              <w:t xml:space="preserve"> </w:t>
            </w:r>
            <w:r>
              <w:rPr>
                <w:color w:val="000000"/>
                <w:sz w:val="18"/>
                <w:szCs w:val="18"/>
              </w:rPr>
              <w:t>Kubánek, et al.</w:t>
            </w:r>
            <w:r>
              <w:t xml:space="preserve"> </w:t>
            </w:r>
            <w:r w:rsidRPr="00C10663">
              <w:rPr>
                <w:color w:val="000000"/>
                <w:sz w:val="18"/>
                <w:szCs w:val="18"/>
                <w:lang w:val="en-CA"/>
              </w:rPr>
              <w:t xml:space="preserve">Eur J Heart Fail. 2012 Jun;14(6):588-96 ; 6. </w:t>
            </w:r>
            <w:r w:rsidRPr="002914A2">
              <w:rPr>
                <w:color w:val="000000"/>
                <w:sz w:val="18"/>
                <w:szCs w:val="18"/>
                <w:lang w:val="fr-CA"/>
              </w:rPr>
              <w:t xml:space="preserve">Kuchynka, et al. </w:t>
            </w:r>
            <w:r w:rsidRPr="002914A2">
              <w:rPr>
                <w:lang w:val="fr-CA"/>
              </w:rPr>
              <w:t xml:space="preserve"> </w:t>
            </w:r>
            <w:r w:rsidRPr="002914A2">
              <w:rPr>
                <w:color w:val="000000"/>
                <w:sz w:val="18"/>
                <w:szCs w:val="18"/>
                <w:lang w:val="fr-CA"/>
              </w:rPr>
              <w:t xml:space="preserve">Herz. 2015 Sep;40(6):892-7; 7. N’Guyen, et al. </w:t>
            </w:r>
            <w:r w:rsidRPr="002914A2">
              <w:rPr>
                <w:lang w:val="fr-CA"/>
              </w:rPr>
              <w:t xml:space="preserve"> </w:t>
            </w:r>
            <w:r w:rsidRPr="002914A2">
              <w:rPr>
                <w:color w:val="000000"/>
                <w:sz w:val="18"/>
                <w:szCs w:val="18"/>
                <w:lang w:val="fr-CA"/>
              </w:rPr>
              <w:t xml:space="preserve">Infect Dis (Lond). </w:t>
            </w:r>
            <w:r>
              <w:rPr>
                <w:color w:val="000000"/>
                <w:sz w:val="18"/>
                <w:szCs w:val="18"/>
              </w:rPr>
              <w:t xml:space="preserve">2016 Oct;48(10):763-4. </w:t>
            </w:r>
          </w:p>
        </w:tc>
      </w:tr>
      <w:tr w:rsidR="002D58E4" w14:paraId="4253AB13" w14:textId="77777777" w:rsidTr="002305C5">
        <w:trPr>
          <w:trHeight w:val="500"/>
        </w:trPr>
        <w:tc>
          <w:tcPr>
            <w:tcW w:w="101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39C043C" w14:textId="77777777" w:rsidR="002D58E4" w:rsidRDefault="00F721D4">
            <w:pPr>
              <w:jc w:val="center"/>
              <w:rPr>
                <w:sz w:val="20"/>
                <w:szCs w:val="20"/>
              </w:rPr>
            </w:pPr>
            <w:r>
              <w:rPr>
                <w:b/>
                <w:color w:val="000000"/>
                <w:sz w:val="20"/>
                <w:szCs w:val="20"/>
              </w:rPr>
              <w:t>Study and Location</w:t>
            </w:r>
          </w:p>
        </w:tc>
        <w:tc>
          <w:tcPr>
            <w:tcW w:w="965" w:type="dxa"/>
            <w:tcBorders>
              <w:top w:val="single" w:sz="6" w:space="0" w:color="AEAEAE"/>
              <w:left w:val="single" w:sz="6" w:space="0" w:color="AEAEAE"/>
              <w:bottom w:val="single" w:sz="6" w:space="0" w:color="AEAEAE"/>
              <w:right w:val="single" w:sz="6" w:space="0" w:color="AEAEAE"/>
            </w:tcBorders>
            <w:shd w:val="clear" w:color="auto" w:fill="D9D9D9"/>
          </w:tcPr>
          <w:p w14:paraId="135B3203" w14:textId="77777777" w:rsidR="002D58E4" w:rsidRDefault="00F721D4">
            <w:pPr>
              <w:jc w:val="center"/>
              <w:rPr>
                <w:b/>
                <w:color w:val="000000"/>
                <w:sz w:val="20"/>
                <w:szCs w:val="20"/>
              </w:rPr>
            </w:pPr>
            <w:r>
              <w:rPr>
                <w:b/>
                <w:color w:val="000000"/>
                <w:sz w:val="20"/>
                <w:szCs w:val="20"/>
              </w:rPr>
              <w:t>Study Design</w:t>
            </w:r>
          </w:p>
        </w:tc>
        <w:tc>
          <w:tcPr>
            <w:tcW w:w="720" w:type="dxa"/>
            <w:tcBorders>
              <w:top w:val="single" w:sz="6" w:space="0" w:color="AEAEAE"/>
              <w:left w:val="single" w:sz="6" w:space="0" w:color="AEAEAE"/>
              <w:bottom w:val="single" w:sz="6" w:space="0" w:color="AEAEAE"/>
              <w:right w:val="single" w:sz="6" w:space="0" w:color="AEAEAE"/>
            </w:tcBorders>
            <w:shd w:val="clear" w:color="auto" w:fill="D9D9D9"/>
          </w:tcPr>
          <w:p w14:paraId="2C9A6A1E" w14:textId="77777777" w:rsidR="002D58E4" w:rsidRDefault="00F721D4">
            <w:pPr>
              <w:jc w:val="center"/>
              <w:rPr>
                <w:b/>
                <w:color w:val="000000"/>
                <w:sz w:val="20"/>
                <w:szCs w:val="20"/>
              </w:rPr>
            </w:pPr>
            <w:r>
              <w:rPr>
                <w:b/>
                <w:color w:val="000000"/>
                <w:sz w:val="20"/>
                <w:szCs w:val="20"/>
              </w:rPr>
              <w:t>Risk of bias*</w:t>
            </w:r>
          </w:p>
        </w:tc>
        <w:tc>
          <w:tcPr>
            <w:tcW w:w="2709" w:type="dxa"/>
            <w:tcBorders>
              <w:top w:val="single" w:sz="6" w:space="0" w:color="AEAEAE"/>
              <w:left w:val="single" w:sz="6" w:space="0" w:color="AEAEAE"/>
              <w:bottom w:val="single" w:sz="6" w:space="0" w:color="AEAEAE"/>
              <w:right w:val="single" w:sz="6" w:space="0" w:color="AEAEAE"/>
            </w:tcBorders>
            <w:shd w:val="clear" w:color="auto" w:fill="D9D9D9"/>
          </w:tcPr>
          <w:p w14:paraId="3AE5D040" w14:textId="77777777" w:rsidR="002D58E4" w:rsidRDefault="00F721D4">
            <w:pPr>
              <w:jc w:val="center"/>
              <w:rPr>
                <w:b/>
                <w:color w:val="000000"/>
                <w:sz w:val="20"/>
                <w:szCs w:val="20"/>
              </w:rPr>
            </w:pPr>
            <w:r>
              <w:rPr>
                <w:b/>
                <w:color w:val="000000"/>
                <w:sz w:val="20"/>
                <w:szCs w:val="20"/>
              </w:rPr>
              <w:t>Lyme Disease Diagnosis method</w:t>
            </w:r>
          </w:p>
        </w:tc>
        <w:tc>
          <w:tcPr>
            <w:tcW w:w="3375" w:type="dxa"/>
            <w:tcBorders>
              <w:top w:val="single" w:sz="6" w:space="0" w:color="AEAEAE"/>
              <w:left w:val="single" w:sz="6" w:space="0" w:color="AEAEAE"/>
              <w:bottom w:val="single" w:sz="6" w:space="0" w:color="AEAEAE"/>
              <w:right w:val="single" w:sz="6" w:space="0" w:color="AEAEAE"/>
            </w:tcBorders>
            <w:shd w:val="clear" w:color="auto" w:fill="D9D9D9"/>
          </w:tcPr>
          <w:p w14:paraId="1D72E871" w14:textId="77777777" w:rsidR="002D58E4" w:rsidRDefault="00F721D4">
            <w:pPr>
              <w:jc w:val="center"/>
              <w:rPr>
                <w:b/>
                <w:color w:val="000000"/>
                <w:sz w:val="20"/>
                <w:szCs w:val="20"/>
              </w:rPr>
            </w:pPr>
            <w:r>
              <w:rPr>
                <w:b/>
                <w:color w:val="000000"/>
                <w:sz w:val="20"/>
                <w:szCs w:val="20"/>
              </w:rPr>
              <w:t>Cardiac presentation description (if applicable) and diagnostic criteria; baseline characteristics</w:t>
            </w:r>
          </w:p>
        </w:tc>
        <w:tc>
          <w:tcPr>
            <w:tcW w:w="2697" w:type="dxa"/>
            <w:tcBorders>
              <w:top w:val="single" w:sz="6" w:space="0" w:color="AEAEAE"/>
              <w:left w:val="single" w:sz="6" w:space="0" w:color="AEAEAE"/>
              <w:bottom w:val="single" w:sz="6" w:space="0" w:color="AEAEAE"/>
              <w:right w:val="single" w:sz="6" w:space="0" w:color="AEAEAE"/>
            </w:tcBorders>
            <w:shd w:val="clear" w:color="auto" w:fill="D9D9D9"/>
          </w:tcPr>
          <w:p w14:paraId="5C4BEB93" w14:textId="77777777" w:rsidR="002D58E4" w:rsidRDefault="00F721D4">
            <w:pPr>
              <w:jc w:val="center"/>
              <w:rPr>
                <w:sz w:val="20"/>
                <w:szCs w:val="20"/>
              </w:rPr>
            </w:pPr>
            <w:r>
              <w:rPr>
                <w:b/>
                <w:color w:val="000000"/>
                <w:sz w:val="20"/>
                <w:szCs w:val="20"/>
              </w:rPr>
              <w:t>% Cardiac Patients with Lyme disease</w:t>
            </w:r>
          </w:p>
          <w:p w14:paraId="67994CE7" w14:textId="77777777" w:rsidR="002D58E4" w:rsidRDefault="00F721D4">
            <w:pPr>
              <w:jc w:val="center"/>
              <w:rPr>
                <w:b/>
                <w:color w:val="000000"/>
                <w:sz w:val="20"/>
                <w:szCs w:val="20"/>
              </w:rPr>
            </w:pPr>
            <w:r>
              <w:rPr>
                <w:b/>
                <w:color w:val="000000"/>
                <w:sz w:val="20"/>
                <w:szCs w:val="20"/>
              </w:rPr>
              <w:t>(N Lyme cases/N cardiac cases)</w:t>
            </w:r>
          </w:p>
        </w:tc>
        <w:tc>
          <w:tcPr>
            <w:tcW w:w="3257" w:type="dxa"/>
            <w:tcBorders>
              <w:top w:val="single" w:sz="6" w:space="0" w:color="AEAEAE"/>
              <w:left w:val="single" w:sz="6" w:space="0" w:color="AEAEAE"/>
              <w:bottom w:val="single" w:sz="6" w:space="0" w:color="AEAEAE"/>
              <w:right w:val="single" w:sz="6" w:space="0" w:color="AEAEAE"/>
            </w:tcBorders>
            <w:shd w:val="clear" w:color="auto" w:fill="D9D9D9"/>
          </w:tcPr>
          <w:p w14:paraId="7F282656" w14:textId="77777777" w:rsidR="002D58E4" w:rsidRDefault="00F721D4">
            <w:pPr>
              <w:jc w:val="center"/>
              <w:rPr>
                <w:b/>
                <w:color w:val="000000"/>
                <w:sz w:val="20"/>
                <w:szCs w:val="20"/>
              </w:rPr>
            </w:pPr>
            <w:r>
              <w:rPr>
                <w:b/>
                <w:color w:val="000000"/>
                <w:sz w:val="20"/>
                <w:szCs w:val="20"/>
              </w:rPr>
              <w:t>Study conclusions</w:t>
            </w:r>
          </w:p>
        </w:tc>
      </w:tr>
      <w:tr w:rsidR="002D58E4" w14:paraId="63F84664" w14:textId="77777777" w:rsidTr="002305C5">
        <w:trPr>
          <w:trHeight w:val="1260"/>
        </w:trPr>
        <w:tc>
          <w:tcPr>
            <w:tcW w:w="101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D6DF3B" w14:textId="77777777" w:rsidR="002D58E4" w:rsidRPr="002914A2" w:rsidRDefault="00F721D4">
            <w:pPr>
              <w:rPr>
                <w:sz w:val="20"/>
                <w:szCs w:val="20"/>
                <w:lang w:val="fr-CA"/>
              </w:rPr>
            </w:pPr>
            <w:r w:rsidRPr="002914A2">
              <w:rPr>
                <w:sz w:val="20"/>
                <w:szCs w:val="20"/>
                <w:lang w:val="fr-CA"/>
              </w:rPr>
              <w:t>Stanek, et al., 1991</w:t>
            </w:r>
          </w:p>
          <w:p w14:paraId="343EA06B" w14:textId="77777777" w:rsidR="002D58E4" w:rsidRPr="002914A2" w:rsidRDefault="002D58E4">
            <w:pPr>
              <w:rPr>
                <w:sz w:val="20"/>
                <w:szCs w:val="20"/>
                <w:lang w:val="fr-CA"/>
              </w:rPr>
            </w:pPr>
          </w:p>
          <w:p w14:paraId="619CF55F" w14:textId="77777777" w:rsidR="002D58E4" w:rsidRPr="002914A2" w:rsidRDefault="00F721D4">
            <w:pPr>
              <w:rPr>
                <w:sz w:val="20"/>
                <w:szCs w:val="20"/>
                <w:lang w:val="fr-CA"/>
              </w:rPr>
            </w:pPr>
            <w:r w:rsidRPr="002914A2">
              <w:rPr>
                <w:sz w:val="20"/>
                <w:szCs w:val="20"/>
                <w:lang w:val="fr-CA"/>
              </w:rPr>
              <w:t>Vienna, Austria</w:t>
            </w:r>
          </w:p>
        </w:tc>
        <w:tc>
          <w:tcPr>
            <w:tcW w:w="965" w:type="dxa"/>
            <w:tcBorders>
              <w:top w:val="single" w:sz="6" w:space="0" w:color="AEAEAE"/>
              <w:left w:val="single" w:sz="6" w:space="0" w:color="AEAEAE"/>
              <w:bottom w:val="single" w:sz="6" w:space="0" w:color="AEAEAE"/>
              <w:right w:val="single" w:sz="6" w:space="0" w:color="AEAEAE"/>
            </w:tcBorders>
            <w:vAlign w:val="center"/>
          </w:tcPr>
          <w:p w14:paraId="5D7E28CF" w14:textId="77777777" w:rsidR="002D58E4" w:rsidRDefault="00F721D4">
            <w:pPr>
              <w:rPr>
                <w:sz w:val="20"/>
                <w:szCs w:val="20"/>
              </w:rPr>
            </w:pPr>
            <w:r>
              <w:rPr>
                <w:sz w:val="20"/>
                <w:szCs w:val="20"/>
              </w:rPr>
              <w:t>Cross-sectional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4BF06B3C" w14:textId="77777777" w:rsidR="002D58E4" w:rsidRDefault="00F721D4">
            <w:pPr>
              <w:jc w:val="center"/>
              <w:rPr>
                <w:sz w:val="20"/>
                <w:szCs w:val="20"/>
              </w:rPr>
            </w:pPr>
            <w:r>
              <w:rPr>
                <w:sz w:val="20"/>
                <w:szCs w:val="20"/>
              </w:rPr>
              <w:t>6</w:t>
            </w:r>
          </w:p>
        </w:tc>
        <w:tc>
          <w:tcPr>
            <w:tcW w:w="2709" w:type="dxa"/>
            <w:tcBorders>
              <w:top w:val="single" w:sz="6" w:space="0" w:color="AEAEAE"/>
              <w:left w:val="single" w:sz="6" w:space="0" w:color="AEAEAE"/>
              <w:bottom w:val="single" w:sz="6" w:space="0" w:color="AEAEAE"/>
              <w:right w:val="single" w:sz="6" w:space="0" w:color="AEAEAE"/>
            </w:tcBorders>
            <w:vAlign w:val="center"/>
          </w:tcPr>
          <w:p w14:paraId="614EB510" w14:textId="77777777" w:rsidR="002D58E4" w:rsidRDefault="00F721D4">
            <w:pPr>
              <w:rPr>
                <w:sz w:val="20"/>
                <w:szCs w:val="20"/>
              </w:rPr>
            </w:pPr>
            <w:r>
              <w:rPr>
                <w:sz w:val="20"/>
                <w:szCs w:val="20"/>
              </w:rPr>
              <w:t xml:space="preserve">Patients were serologically tested by ELISA. Endomyocardial biopsy was performed for histological analysis and culture for </w:t>
            </w:r>
            <w:r>
              <w:rPr>
                <w:i/>
                <w:sz w:val="20"/>
                <w:szCs w:val="20"/>
              </w:rPr>
              <w:t xml:space="preserve">B. burgdorferi </w:t>
            </w:r>
            <w:r>
              <w:rPr>
                <w:sz w:val="20"/>
                <w:szCs w:val="20"/>
              </w:rPr>
              <w:t>was performed as well.</w:t>
            </w:r>
          </w:p>
          <w:p w14:paraId="2384FF9B" w14:textId="77777777" w:rsidR="002D58E4" w:rsidRDefault="002D58E4">
            <w:pPr>
              <w:rPr>
                <w:sz w:val="20"/>
                <w:szCs w:val="20"/>
              </w:rPr>
            </w:pPr>
          </w:p>
        </w:tc>
        <w:tc>
          <w:tcPr>
            <w:tcW w:w="3375" w:type="dxa"/>
            <w:tcBorders>
              <w:top w:val="single" w:sz="6" w:space="0" w:color="AEAEAE"/>
              <w:left w:val="single" w:sz="6" w:space="0" w:color="AEAEAE"/>
              <w:bottom w:val="single" w:sz="6" w:space="0" w:color="AEAEAE"/>
              <w:right w:val="single" w:sz="6" w:space="0" w:color="AEAEAE"/>
            </w:tcBorders>
            <w:vAlign w:val="center"/>
          </w:tcPr>
          <w:p w14:paraId="404E9A27" w14:textId="77777777" w:rsidR="002D58E4" w:rsidRDefault="00F721D4">
            <w:pPr>
              <w:rPr>
                <w:sz w:val="20"/>
                <w:szCs w:val="20"/>
              </w:rPr>
            </w:pPr>
            <w:r>
              <w:rPr>
                <w:sz w:val="20"/>
                <w:szCs w:val="20"/>
              </w:rPr>
              <w:t>72 patients with chronic heart failure due to dilated cardiomyopathy (median age 51; range 18-78), 55 patients with coronary heart disease (median age 65; range 41-78), and 61 (median age 49; range 40-63) healthy blood donors were assessed.</w:t>
            </w:r>
          </w:p>
        </w:tc>
        <w:tc>
          <w:tcPr>
            <w:tcW w:w="2697" w:type="dxa"/>
            <w:tcBorders>
              <w:top w:val="single" w:sz="6" w:space="0" w:color="AEAEAE"/>
              <w:left w:val="single" w:sz="6" w:space="0" w:color="AEAEAE"/>
              <w:bottom w:val="single" w:sz="6" w:space="0" w:color="AEAEAE"/>
              <w:right w:val="single" w:sz="6" w:space="0" w:color="AEAEAE"/>
            </w:tcBorders>
            <w:vAlign w:val="center"/>
          </w:tcPr>
          <w:p w14:paraId="227C9087" w14:textId="77777777" w:rsidR="002D58E4" w:rsidRDefault="00F721D4">
            <w:pPr>
              <w:rPr>
                <w:sz w:val="20"/>
                <w:szCs w:val="20"/>
              </w:rPr>
            </w:pPr>
            <w:r>
              <w:rPr>
                <w:sz w:val="20"/>
                <w:szCs w:val="20"/>
              </w:rPr>
              <w:t>26.4% (19 of 72) of patients with chronic heart failure due to dilated cardiomyopathy were positive by ELISA. In 2 patients with positive ELISA values, endomyocardial biopsy was performed and was culture positive.</w:t>
            </w:r>
          </w:p>
          <w:p w14:paraId="1FC15407" w14:textId="77777777" w:rsidR="002D58E4" w:rsidRDefault="002D58E4">
            <w:pPr>
              <w:rPr>
                <w:sz w:val="20"/>
                <w:szCs w:val="20"/>
              </w:rPr>
            </w:pPr>
          </w:p>
          <w:p w14:paraId="56C140DF" w14:textId="77777777" w:rsidR="002D58E4" w:rsidRDefault="00F721D4">
            <w:pPr>
              <w:rPr>
                <w:sz w:val="20"/>
                <w:szCs w:val="20"/>
              </w:rPr>
            </w:pPr>
            <w:r>
              <w:rPr>
                <w:sz w:val="20"/>
                <w:szCs w:val="20"/>
              </w:rPr>
              <w:t xml:space="preserve">12.7% (7 of 55) of patients with coronary heart disease and 8.2% (5 of 61) healthy blood donor samples were positive for antibodies for </w:t>
            </w:r>
            <w:r>
              <w:rPr>
                <w:i/>
                <w:sz w:val="20"/>
                <w:szCs w:val="20"/>
              </w:rPr>
              <w:t xml:space="preserve">B. burgdorferi </w:t>
            </w:r>
            <w:r>
              <w:rPr>
                <w:sz w:val="20"/>
                <w:szCs w:val="20"/>
              </w:rPr>
              <w:t xml:space="preserve">by ELISA. </w:t>
            </w:r>
          </w:p>
        </w:tc>
        <w:tc>
          <w:tcPr>
            <w:tcW w:w="3257" w:type="dxa"/>
            <w:tcBorders>
              <w:top w:val="single" w:sz="6" w:space="0" w:color="AEAEAE"/>
              <w:left w:val="single" w:sz="6" w:space="0" w:color="AEAEAE"/>
              <w:bottom w:val="single" w:sz="6" w:space="0" w:color="AEAEAE"/>
              <w:right w:val="single" w:sz="6" w:space="0" w:color="AEAEAE"/>
            </w:tcBorders>
            <w:vAlign w:val="center"/>
          </w:tcPr>
          <w:p w14:paraId="4EE28AEB" w14:textId="77777777" w:rsidR="002D58E4" w:rsidRDefault="00F721D4">
            <w:pPr>
              <w:rPr>
                <w:sz w:val="20"/>
                <w:szCs w:val="20"/>
              </w:rPr>
            </w:pPr>
            <w:r>
              <w:rPr>
                <w:sz w:val="20"/>
                <w:szCs w:val="20"/>
              </w:rPr>
              <w:t xml:space="preserve">The authors concluded that there was evidence of an association between Lyme Disease and chronic heart disease. They suggested that Lyme Disease be considered as a differential diagnosis and etiology of dilated cardiomyopathy. </w:t>
            </w:r>
          </w:p>
        </w:tc>
      </w:tr>
      <w:tr w:rsidR="002D58E4" w14:paraId="0CC28C73" w14:textId="77777777" w:rsidTr="002305C5">
        <w:trPr>
          <w:trHeight w:val="1260"/>
        </w:trPr>
        <w:tc>
          <w:tcPr>
            <w:tcW w:w="101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6B14F2E" w14:textId="77777777" w:rsidR="002D58E4" w:rsidRDefault="00F721D4">
            <w:pPr>
              <w:rPr>
                <w:sz w:val="20"/>
                <w:szCs w:val="20"/>
              </w:rPr>
            </w:pPr>
            <w:r>
              <w:rPr>
                <w:sz w:val="20"/>
                <w:szCs w:val="20"/>
              </w:rPr>
              <w:t>Rees, et al., 1994</w:t>
            </w:r>
          </w:p>
          <w:p w14:paraId="1B378449" w14:textId="77777777" w:rsidR="002D58E4" w:rsidRDefault="002D58E4">
            <w:pPr>
              <w:rPr>
                <w:sz w:val="20"/>
                <w:szCs w:val="20"/>
              </w:rPr>
            </w:pPr>
          </w:p>
          <w:p w14:paraId="3BDA9F90" w14:textId="77777777" w:rsidR="002D58E4" w:rsidRDefault="00F721D4">
            <w:pPr>
              <w:rPr>
                <w:sz w:val="20"/>
                <w:szCs w:val="20"/>
              </w:rPr>
            </w:pPr>
            <w:r>
              <w:rPr>
                <w:sz w:val="20"/>
                <w:szCs w:val="20"/>
              </w:rPr>
              <w:t>UK</w:t>
            </w:r>
          </w:p>
        </w:tc>
        <w:tc>
          <w:tcPr>
            <w:tcW w:w="965" w:type="dxa"/>
            <w:tcBorders>
              <w:top w:val="single" w:sz="6" w:space="0" w:color="AEAEAE"/>
              <w:left w:val="single" w:sz="6" w:space="0" w:color="AEAEAE"/>
              <w:bottom w:val="single" w:sz="6" w:space="0" w:color="AEAEAE"/>
              <w:right w:val="single" w:sz="6" w:space="0" w:color="AEAEAE"/>
            </w:tcBorders>
            <w:vAlign w:val="center"/>
          </w:tcPr>
          <w:p w14:paraId="4D28363F" w14:textId="77777777" w:rsidR="002D58E4" w:rsidRDefault="00F721D4">
            <w:pPr>
              <w:rPr>
                <w:sz w:val="20"/>
                <w:szCs w:val="20"/>
              </w:rPr>
            </w:pPr>
            <w:r>
              <w:rPr>
                <w:sz w:val="20"/>
                <w:szCs w:val="20"/>
              </w:rPr>
              <w:t>Prospective cohort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1AB5EE0C" w14:textId="77777777" w:rsidR="002D58E4" w:rsidRDefault="00F721D4">
            <w:pPr>
              <w:jc w:val="center"/>
              <w:rPr>
                <w:sz w:val="20"/>
                <w:szCs w:val="20"/>
              </w:rPr>
            </w:pPr>
            <w:r>
              <w:rPr>
                <w:sz w:val="20"/>
                <w:szCs w:val="20"/>
              </w:rPr>
              <w:t>7</w:t>
            </w:r>
          </w:p>
        </w:tc>
        <w:tc>
          <w:tcPr>
            <w:tcW w:w="2709" w:type="dxa"/>
            <w:tcBorders>
              <w:top w:val="single" w:sz="6" w:space="0" w:color="AEAEAE"/>
              <w:left w:val="single" w:sz="6" w:space="0" w:color="AEAEAE"/>
              <w:bottom w:val="single" w:sz="6" w:space="0" w:color="AEAEAE"/>
              <w:right w:val="single" w:sz="6" w:space="0" w:color="AEAEAE"/>
            </w:tcBorders>
            <w:vAlign w:val="center"/>
          </w:tcPr>
          <w:p w14:paraId="507A100F" w14:textId="77777777" w:rsidR="002D58E4" w:rsidRDefault="00F721D4">
            <w:pPr>
              <w:rPr>
                <w:sz w:val="20"/>
                <w:szCs w:val="20"/>
              </w:rPr>
            </w:pPr>
            <w:r>
              <w:rPr>
                <w:sz w:val="20"/>
                <w:szCs w:val="20"/>
              </w:rPr>
              <w:t>The patients' notes were reviewed for clinical evidence of Lyme disease. None of the patients were at occupational risk of tick bite exposure. None of the patients had either a documented rash consistent with erythema migrans or a previous illness compatible with Lyme disease.</w:t>
            </w:r>
          </w:p>
          <w:p w14:paraId="75C6F726" w14:textId="77777777" w:rsidR="002D58E4" w:rsidRDefault="002D58E4">
            <w:pPr>
              <w:rPr>
                <w:sz w:val="20"/>
                <w:szCs w:val="20"/>
              </w:rPr>
            </w:pPr>
          </w:p>
          <w:p w14:paraId="6D0455A0" w14:textId="77777777" w:rsidR="002D58E4" w:rsidRDefault="00F721D4">
            <w:pPr>
              <w:rPr>
                <w:sz w:val="20"/>
                <w:szCs w:val="20"/>
              </w:rPr>
            </w:pPr>
            <w:r>
              <w:rPr>
                <w:sz w:val="20"/>
                <w:szCs w:val="20"/>
              </w:rPr>
              <w:t xml:space="preserve">Patients’ serum was tested for antibodies to </w:t>
            </w:r>
            <w:r>
              <w:rPr>
                <w:i/>
                <w:sz w:val="20"/>
                <w:szCs w:val="20"/>
              </w:rPr>
              <w:t xml:space="preserve">B. burgdorferi </w:t>
            </w:r>
            <w:r>
              <w:rPr>
                <w:sz w:val="20"/>
                <w:szCs w:val="20"/>
              </w:rPr>
              <w:t xml:space="preserve">by ELISA. Serum samples from healthy blood donors from a non-susceptible population were obtained to determine the normal range for IgG antibodies. </w:t>
            </w:r>
          </w:p>
        </w:tc>
        <w:tc>
          <w:tcPr>
            <w:tcW w:w="3375" w:type="dxa"/>
            <w:tcBorders>
              <w:top w:val="single" w:sz="6" w:space="0" w:color="AEAEAE"/>
              <w:left w:val="single" w:sz="6" w:space="0" w:color="AEAEAE"/>
              <w:bottom w:val="single" w:sz="6" w:space="0" w:color="AEAEAE"/>
              <w:right w:val="single" w:sz="6" w:space="0" w:color="AEAEAE"/>
            </w:tcBorders>
            <w:vAlign w:val="center"/>
          </w:tcPr>
          <w:p w14:paraId="5A55DFD2" w14:textId="77777777" w:rsidR="002D58E4" w:rsidRDefault="00F721D4">
            <w:pPr>
              <w:rPr>
                <w:sz w:val="20"/>
                <w:szCs w:val="20"/>
              </w:rPr>
            </w:pPr>
            <w:r>
              <w:rPr>
                <w:sz w:val="20"/>
                <w:szCs w:val="20"/>
              </w:rPr>
              <w:t>97 patients with idiopathic dilated cardiomyopathy were observed (mean age 43 years; range 12-74). The mean duration of symptoms was 34 months. 30 (31%) patients had described an acute viral illness at disease onset, and 13 (14%) had either clinical (N= 7) or histological (N= 6) evidence of myocarditis.</w:t>
            </w:r>
          </w:p>
          <w:p w14:paraId="2B786F81" w14:textId="77777777" w:rsidR="002D58E4" w:rsidRDefault="002D58E4">
            <w:pPr>
              <w:rPr>
                <w:sz w:val="20"/>
                <w:szCs w:val="20"/>
              </w:rPr>
            </w:pPr>
          </w:p>
          <w:p w14:paraId="465A7723" w14:textId="77777777" w:rsidR="002D58E4" w:rsidRDefault="00F721D4">
            <w:pPr>
              <w:rPr>
                <w:sz w:val="20"/>
                <w:szCs w:val="20"/>
              </w:rPr>
            </w:pPr>
            <w:r>
              <w:rPr>
                <w:sz w:val="20"/>
                <w:szCs w:val="20"/>
              </w:rPr>
              <w:t xml:space="preserve">Two matched control groups: Group 1 included age-, sex-, and geographically- matched patients who visited the same general practitioner. Group 2 comprised members of case patients’ family (environmentally matched). </w:t>
            </w:r>
          </w:p>
        </w:tc>
        <w:tc>
          <w:tcPr>
            <w:tcW w:w="2697" w:type="dxa"/>
            <w:tcBorders>
              <w:top w:val="single" w:sz="6" w:space="0" w:color="AEAEAE"/>
              <w:left w:val="single" w:sz="6" w:space="0" w:color="AEAEAE"/>
              <w:bottom w:val="single" w:sz="6" w:space="0" w:color="AEAEAE"/>
              <w:right w:val="single" w:sz="6" w:space="0" w:color="AEAEAE"/>
            </w:tcBorders>
            <w:vAlign w:val="center"/>
          </w:tcPr>
          <w:p w14:paraId="17995A4D" w14:textId="77777777" w:rsidR="002D58E4" w:rsidRDefault="00F721D4">
            <w:pPr>
              <w:rPr>
                <w:b/>
                <w:sz w:val="20"/>
                <w:szCs w:val="20"/>
              </w:rPr>
            </w:pPr>
            <w:r>
              <w:rPr>
                <w:sz w:val="20"/>
                <w:szCs w:val="20"/>
              </w:rPr>
              <w:t xml:space="preserve">Cases: 8.2% (8 of 97) of patients with dilated cardiomyopathy had raised antibodies to </w:t>
            </w:r>
            <w:r>
              <w:rPr>
                <w:i/>
                <w:sz w:val="20"/>
                <w:szCs w:val="20"/>
              </w:rPr>
              <w:t>B burgdorferi</w:t>
            </w:r>
            <w:r>
              <w:rPr>
                <w:sz w:val="20"/>
                <w:szCs w:val="20"/>
              </w:rPr>
              <w:t xml:space="preserve">. </w:t>
            </w:r>
          </w:p>
          <w:p w14:paraId="7129F49E" w14:textId="77777777" w:rsidR="002D58E4" w:rsidRDefault="002D58E4">
            <w:pPr>
              <w:rPr>
                <w:sz w:val="20"/>
                <w:szCs w:val="20"/>
              </w:rPr>
            </w:pPr>
          </w:p>
          <w:p w14:paraId="719A3786" w14:textId="77777777" w:rsidR="002D58E4" w:rsidRDefault="00F721D4">
            <w:pPr>
              <w:rPr>
                <w:sz w:val="20"/>
                <w:szCs w:val="20"/>
              </w:rPr>
            </w:pPr>
            <w:r>
              <w:rPr>
                <w:sz w:val="20"/>
                <w:szCs w:val="20"/>
              </w:rPr>
              <w:t xml:space="preserve">Controls: 5.3% (2 of 38) of geographically matched controls and 2.6% (1 of 39) of environmentally matched controls had raised antibodies to </w:t>
            </w:r>
            <w:r>
              <w:rPr>
                <w:i/>
                <w:sz w:val="20"/>
                <w:szCs w:val="20"/>
              </w:rPr>
              <w:t>B burgdorferi</w:t>
            </w:r>
            <w:r>
              <w:rPr>
                <w:sz w:val="20"/>
                <w:szCs w:val="20"/>
              </w:rPr>
              <w:t>.</w:t>
            </w:r>
          </w:p>
        </w:tc>
        <w:tc>
          <w:tcPr>
            <w:tcW w:w="3257" w:type="dxa"/>
            <w:tcBorders>
              <w:top w:val="single" w:sz="6" w:space="0" w:color="AEAEAE"/>
              <w:left w:val="single" w:sz="6" w:space="0" w:color="AEAEAE"/>
              <w:bottom w:val="single" w:sz="6" w:space="0" w:color="AEAEAE"/>
              <w:right w:val="single" w:sz="6" w:space="0" w:color="AEAEAE"/>
            </w:tcBorders>
            <w:vAlign w:val="center"/>
          </w:tcPr>
          <w:p w14:paraId="4450FFB3" w14:textId="77777777" w:rsidR="002D58E4" w:rsidRDefault="00F721D4">
            <w:pPr>
              <w:rPr>
                <w:sz w:val="20"/>
                <w:szCs w:val="20"/>
              </w:rPr>
            </w:pPr>
            <w:r>
              <w:rPr>
                <w:sz w:val="20"/>
                <w:szCs w:val="20"/>
              </w:rPr>
              <w:t xml:space="preserve">There were no significant differences between patients with cardiomyopathy and either control group with regard to serum antibody titer (p=0.40). </w:t>
            </w:r>
          </w:p>
          <w:p w14:paraId="726E3EC8" w14:textId="77777777" w:rsidR="002D58E4" w:rsidRDefault="002D58E4">
            <w:pPr>
              <w:rPr>
                <w:sz w:val="20"/>
                <w:szCs w:val="20"/>
              </w:rPr>
            </w:pPr>
          </w:p>
          <w:p w14:paraId="0A6B66CF" w14:textId="77777777" w:rsidR="002D58E4" w:rsidRDefault="00F721D4">
            <w:pPr>
              <w:spacing w:after="80"/>
              <w:rPr>
                <w:sz w:val="20"/>
                <w:szCs w:val="20"/>
              </w:rPr>
            </w:pPr>
            <w:r>
              <w:rPr>
                <w:sz w:val="20"/>
                <w:szCs w:val="20"/>
              </w:rPr>
              <w:t>There were no significant differences between patients with cardiomyopathy and either control group with regard to serum antibody titer (p=0.40). Subsequent immunoblot analysis did not show antibody binding patterns consistent with B. burgdorferi infection in any of the samples.</w:t>
            </w:r>
          </w:p>
          <w:p w14:paraId="5553D942" w14:textId="77777777" w:rsidR="002D58E4" w:rsidRDefault="00F721D4">
            <w:pPr>
              <w:rPr>
                <w:sz w:val="20"/>
                <w:szCs w:val="20"/>
              </w:rPr>
            </w:pPr>
            <w:r>
              <w:rPr>
                <w:sz w:val="20"/>
                <w:szCs w:val="20"/>
              </w:rPr>
              <w:t xml:space="preserve">The authors stated that there was not sufficient evidence to link infection with </w:t>
            </w:r>
            <w:r>
              <w:rPr>
                <w:i/>
                <w:sz w:val="20"/>
                <w:szCs w:val="20"/>
              </w:rPr>
              <w:t>B. burgdorferi</w:t>
            </w:r>
            <w:r>
              <w:rPr>
                <w:sz w:val="20"/>
                <w:szCs w:val="20"/>
              </w:rPr>
              <w:t xml:space="preserve"> to pathogenesis of idiopathic dilated cardiomyopathy.</w:t>
            </w:r>
          </w:p>
        </w:tc>
      </w:tr>
      <w:tr w:rsidR="002D58E4" w14:paraId="2617A10D" w14:textId="77777777" w:rsidTr="002305C5">
        <w:trPr>
          <w:trHeight w:val="3180"/>
        </w:trPr>
        <w:tc>
          <w:tcPr>
            <w:tcW w:w="101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92D898" w14:textId="77777777" w:rsidR="002D58E4" w:rsidRPr="002914A2" w:rsidRDefault="00F721D4">
            <w:pPr>
              <w:rPr>
                <w:sz w:val="20"/>
                <w:szCs w:val="20"/>
                <w:lang w:val="fr-CA"/>
              </w:rPr>
            </w:pPr>
            <w:r w:rsidRPr="002914A2">
              <w:rPr>
                <w:sz w:val="20"/>
                <w:szCs w:val="20"/>
                <w:lang w:val="fr-CA"/>
              </w:rPr>
              <w:t>Sonnesyn, et al.,1995</w:t>
            </w:r>
          </w:p>
          <w:p w14:paraId="028BF745" w14:textId="77777777" w:rsidR="002D58E4" w:rsidRPr="002914A2" w:rsidRDefault="002D58E4">
            <w:pPr>
              <w:rPr>
                <w:sz w:val="20"/>
                <w:szCs w:val="20"/>
                <w:lang w:val="fr-CA"/>
              </w:rPr>
            </w:pPr>
          </w:p>
          <w:p w14:paraId="4E99C072" w14:textId="77777777" w:rsidR="002D58E4" w:rsidRPr="002914A2" w:rsidRDefault="00F721D4">
            <w:pPr>
              <w:rPr>
                <w:sz w:val="20"/>
                <w:szCs w:val="20"/>
                <w:lang w:val="fr-CA"/>
              </w:rPr>
            </w:pPr>
            <w:r w:rsidRPr="002914A2">
              <w:rPr>
                <w:sz w:val="20"/>
                <w:szCs w:val="20"/>
                <w:lang w:val="fr-CA"/>
              </w:rPr>
              <w:t>Minneapolis, MN</w:t>
            </w:r>
          </w:p>
        </w:tc>
        <w:tc>
          <w:tcPr>
            <w:tcW w:w="965" w:type="dxa"/>
            <w:tcBorders>
              <w:top w:val="single" w:sz="6" w:space="0" w:color="AEAEAE"/>
              <w:left w:val="single" w:sz="6" w:space="0" w:color="AEAEAE"/>
              <w:bottom w:val="single" w:sz="6" w:space="0" w:color="AEAEAE"/>
              <w:right w:val="single" w:sz="6" w:space="0" w:color="AEAEAE"/>
            </w:tcBorders>
            <w:vAlign w:val="center"/>
          </w:tcPr>
          <w:p w14:paraId="7B78BFF6" w14:textId="77777777" w:rsidR="002D58E4" w:rsidRDefault="00F721D4">
            <w:pPr>
              <w:rPr>
                <w:sz w:val="20"/>
                <w:szCs w:val="20"/>
              </w:rPr>
            </w:pPr>
            <w:r>
              <w:rPr>
                <w:sz w:val="20"/>
                <w:szCs w:val="20"/>
              </w:rPr>
              <w:t>Cross-sectional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62693C72" w14:textId="77777777" w:rsidR="002D58E4" w:rsidRDefault="00F721D4">
            <w:pPr>
              <w:jc w:val="center"/>
              <w:rPr>
                <w:sz w:val="20"/>
                <w:szCs w:val="20"/>
              </w:rPr>
            </w:pPr>
            <w:r>
              <w:rPr>
                <w:sz w:val="20"/>
                <w:szCs w:val="20"/>
              </w:rPr>
              <w:t>5</w:t>
            </w:r>
          </w:p>
        </w:tc>
        <w:tc>
          <w:tcPr>
            <w:tcW w:w="2709" w:type="dxa"/>
            <w:tcBorders>
              <w:top w:val="single" w:sz="6" w:space="0" w:color="AEAEAE"/>
              <w:left w:val="single" w:sz="6" w:space="0" w:color="AEAEAE"/>
              <w:bottom w:val="single" w:sz="6" w:space="0" w:color="AEAEAE"/>
              <w:right w:val="single" w:sz="6" w:space="0" w:color="AEAEAE"/>
            </w:tcBorders>
            <w:vAlign w:val="center"/>
          </w:tcPr>
          <w:p w14:paraId="7A40D9D2" w14:textId="77777777" w:rsidR="002D58E4" w:rsidRDefault="00F721D4">
            <w:pPr>
              <w:rPr>
                <w:sz w:val="20"/>
                <w:szCs w:val="20"/>
              </w:rPr>
            </w:pPr>
            <w:r>
              <w:rPr>
                <w:sz w:val="20"/>
                <w:szCs w:val="20"/>
              </w:rPr>
              <w:t xml:space="preserve">Patients were evaluated for history of tick bites, rash, neurologic or rheumatologic complaints, unexplained febrile illnesses, and/or a prior diagnosis of Lyme disease. 57 of 175 (32.6%) patients reported histories of tick bite. 125 (71.4%) patients were residents of endemic areas, but no patient had reported a prior diagnosis of Lyme disease. </w:t>
            </w:r>
          </w:p>
          <w:p w14:paraId="24F14986" w14:textId="77777777" w:rsidR="002D58E4" w:rsidRDefault="002D58E4">
            <w:pPr>
              <w:rPr>
                <w:sz w:val="20"/>
                <w:szCs w:val="20"/>
              </w:rPr>
            </w:pPr>
          </w:p>
          <w:p w14:paraId="579E5373" w14:textId="77777777" w:rsidR="002D58E4" w:rsidRDefault="00F721D4">
            <w:pPr>
              <w:rPr>
                <w:sz w:val="20"/>
                <w:szCs w:val="20"/>
              </w:rPr>
            </w:pPr>
            <w:r>
              <w:rPr>
                <w:sz w:val="20"/>
                <w:szCs w:val="20"/>
              </w:rPr>
              <w:t xml:space="preserve">IgG antibodies to </w:t>
            </w:r>
            <w:r>
              <w:rPr>
                <w:i/>
                <w:sz w:val="20"/>
                <w:szCs w:val="20"/>
              </w:rPr>
              <w:t>B. burgdorferi</w:t>
            </w:r>
            <w:r>
              <w:rPr>
                <w:sz w:val="20"/>
                <w:szCs w:val="20"/>
              </w:rPr>
              <w:t xml:space="preserve"> were measured by EIA. Positive or borderline results were confirmed by Western Blot. </w:t>
            </w:r>
          </w:p>
        </w:tc>
        <w:tc>
          <w:tcPr>
            <w:tcW w:w="3375" w:type="dxa"/>
            <w:tcBorders>
              <w:top w:val="single" w:sz="6" w:space="0" w:color="AEAEAE"/>
              <w:left w:val="single" w:sz="6" w:space="0" w:color="AEAEAE"/>
              <w:bottom w:val="single" w:sz="6" w:space="0" w:color="AEAEAE"/>
              <w:right w:val="single" w:sz="6" w:space="0" w:color="AEAEAE"/>
            </w:tcBorders>
            <w:vAlign w:val="center"/>
          </w:tcPr>
          <w:p w14:paraId="6FF43E56" w14:textId="77777777" w:rsidR="002D58E4" w:rsidRDefault="00F721D4">
            <w:pPr>
              <w:rPr>
                <w:sz w:val="20"/>
                <w:szCs w:val="20"/>
              </w:rPr>
            </w:pPr>
            <w:r>
              <w:rPr>
                <w:sz w:val="20"/>
                <w:szCs w:val="20"/>
              </w:rPr>
              <w:t xml:space="preserve">175 patients undergoing evaluation of heart failure and possible eligibility for cardiac transplantation were assessed. 44% (77 of 175) of patients had idiopathic cardiomyopathy, defined as indeterminable cause of ventricular failure. 41.7% (73 of 175) of patients had heart failure due to ischemic disease, defined as a history of myocardial infarction, bypass surgery, or an angiogram demonstrating &gt;70% stenosis of an epicardial coronary artery. 14.3% (25 of 175) of patients had other etiologies for their heart failure. </w:t>
            </w:r>
          </w:p>
          <w:p w14:paraId="08086819" w14:textId="77777777" w:rsidR="002D58E4" w:rsidRDefault="002D58E4">
            <w:pPr>
              <w:rPr>
                <w:sz w:val="20"/>
                <w:szCs w:val="20"/>
              </w:rPr>
            </w:pPr>
          </w:p>
          <w:p w14:paraId="458E4E7D" w14:textId="77777777" w:rsidR="002D58E4" w:rsidRDefault="00F721D4">
            <w:pPr>
              <w:rPr>
                <w:sz w:val="20"/>
                <w:szCs w:val="20"/>
              </w:rPr>
            </w:pPr>
            <w:r>
              <w:rPr>
                <w:sz w:val="20"/>
                <w:szCs w:val="20"/>
              </w:rPr>
              <w:t>101 blood donors served as healthy controls.</w:t>
            </w:r>
          </w:p>
        </w:tc>
        <w:tc>
          <w:tcPr>
            <w:tcW w:w="2697" w:type="dxa"/>
            <w:tcBorders>
              <w:top w:val="single" w:sz="6" w:space="0" w:color="AEAEAE"/>
              <w:left w:val="single" w:sz="6" w:space="0" w:color="AEAEAE"/>
              <w:bottom w:val="single" w:sz="6" w:space="0" w:color="AEAEAE"/>
              <w:right w:val="single" w:sz="6" w:space="0" w:color="AEAEAE"/>
            </w:tcBorders>
            <w:vAlign w:val="center"/>
          </w:tcPr>
          <w:p w14:paraId="7F65EF38" w14:textId="77777777" w:rsidR="002D58E4" w:rsidRDefault="00F721D4">
            <w:pPr>
              <w:rPr>
                <w:sz w:val="20"/>
                <w:szCs w:val="20"/>
              </w:rPr>
            </w:pPr>
            <w:r>
              <w:rPr>
                <w:sz w:val="20"/>
                <w:szCs w:val="20"/>
              </w:rPr>
              <w:t>Cases: 4.6% (8 of 175) patients with cardiac failure were IgG positive. 14 of 175 (8%) of patients were seroreactive (positive or borderline).</w:t>
            </w:r>
          </w:p>
          <w:p w14:paraId="04972112" w14:textId="77777777" w:rsidR="002D58E4" w:rsidRDefault="002D58E4">
            <w:pPr>
              <w:rPr>
                <w:sz w:val="20"/>
                <w:szCs w:val="20"/>
              </w:rPr>
            </w:pPr>
          </w:p>
          <w:p w14:paraId="34DC6E68" w14:textId="77777777" w:rsidR="002D58E4" w:rsidRDefault="00F721D4">
            <w:pPr>
              <w:rPr>
                <w:sz w:val="20"/>
                <w:szCs w:val="20"/>
              </w:rPr>
            </w:pPr>
            <w:r>
              <w:rPr>
                <w:sz w:val="20"/>
                <w:szCs w:val="20"/>
              </w:rPr>
              <w:t xml:space="preserve">Controls: 2% (2 of 101) of healthy controls were IgG positive and 1%/ 3% (3 of 101) were seroreactive. All of these patients were negative by Western Blot. </w:t>
            </w:r>
          </w:p>
        </w:tc>
        <w:tc>
          <w:tcPr>
            <w:tcW w:w="3257" w:type="dxa"/>
            <w:tcBorders>
              <w:top w:val="single" w:sz="6" w:space="0" w:color="AEAEAE"/>
              <w:left w:val="single" w:sz="6" w:space="0" w:color="AEAEAE"/>
              <w:bottom w:val="single" w:sz="6" w:space="0" w:color="AEAEAE"/>
              <w:right w:val="single" w:sz="6" w:space="0" w:color="AEAEAE"/>
            </w:tcBorders>
            <w:vAlign w:val="center"/>
          </w:tcPr>
          <w:p w14:paraId="07844E79" w14:textId="77777777" w:rsidR="002D58E4" w:rsidRDefault="00F721D4">
            <w:pPr>
              <w:rPr>
                <w:sz w:val="20"/>
                <w:szCs w:val="20"/>
              </w:rPr>
            </w:pPr>
            <w:r>
              <w:rPr>
                <w:sz w:val="20"/>
                <w:szCs w:val="20"/>
              </w:rPr>
              <w:t xml:space="preserve">Six seroreactive patients with severe cardiomyopathy were treated with antibiotics (3 with IV ceftriaxone for 14 days, and 3 with oral doxycycline for 1 month) due to clinical or exposure histories suggestive of Lyme disease. None of these patients had significant improvement in left ventricular ejection fraction. One patient noted a minimal change, but had improvement in chronic fatigue and myalgias with ceftriaxone. </w:t>
            </w:r>
          </w:p>
          <w:p w14:paraId="79C31E64" w14:textId="77777777" w:rsidR="002D58E4" w:rsidRDefault="002D58E4">
            <w:pPr>
              <w:rPr>
                <w:sz w:val="20"/>
                <w:szCs w:val="20"/>
              </w:rPr>
            </w:pPr>
          </w:p>
          <w:p w14:paraId="4D71E980" w14:textId="77777777" w:rsidR="002D58E4" w:rsidRDefault="00F721D4">
            <w:pPr>
              <w:rPr>
                <w:sz w:val="20"/>
                <w:szCs w:val="20"/>
              </w:rPr>
            </w:pPr>
            <w:r>
              <w:rPr>
                <w:sz w:val="20"/>
                <w:szCs w:val="20"/>
              </w:rPr>
              <w:t xml:space="preserve">There was no correlation between serologic status and the etiology of heart failure, particularly between patients with “idiopathic” versus “ischemic” causes. There was no statistically significant difference between heart failure patients and healthy controls with regard to serologic status (p=0.07). </w:t>
            </w:r>
          </w:p>
        </w:tc>
      </w:tr>
      <w:tr w:rsidR="002D58E4" w14:paraId="11C18F21" w14:textId="77777777" w:rsidTr="002305C5">
        <w:trPr>
          <w:trHeight w:val="460"/>
        </w:trPr>
        <w:tc>
          <w:tcPr>
            <w:tcW w:w="101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38A497C" w14:textId="77777777" w:rsidR="002D58E4" w:rsidRPr="002914A2" w:rsidRDefault="00F721D4">
            <w:pPr>
              <w:rPr>
                <w:sz w:val="20"/>
                <w:szCs w:val="20"/>
                <w:lang w:val="fr-CA"/>
              </w:rPr>
            </w:pPr>
            <w:r w:rsidRPr="002914A2">
              <w:rPr>
                <w:sz w:val="20"/>
                <w:szCs w:val="20"/>
                <w:lang w:val="fr-CA"/>
              </w:rPr>
              <w:t>Gasser, et al., 1996</w:t>
            </w:r>
          </w:p>
          <w:p w14:paraId="1B320B1E" w14:textId="77777777" w:rsidR="002D58E4" w:rsidRPr="002914A2" w:rsidRDefault="002D58E4">
            <w:pPr>
              <w:rPr>
                <w:sz w:val="20"/>
                <w:szCs w:val="20"/>
                <w:lang w:val="fr-CA"/>
              </w:rPr>
            </w:pPr>
          </w:p>
          <w:p w14:paraId="69E1351E" w14:textId="77777777" w:rsidR="002D58E4" w:rsidRPr="002914A2" w:rsidRDefault="00F721D4">
            <w:pPr>
              <w:rPr>
                <w:sz w:val="20"/>
                <w:szCs w:val="20"/>
                <w:lang w:val="fr-CA"/>
              </w:rPr>
            </w:pPr>
            <w:r w:rsidRPr="002914A2">
              <w:rPr>
                <w:sz w:val="20"/>
                <w:szCs w:val="20"/>
                <w:lang w:val="fr-CA"/>
              </w:rPr>
              <w:t>Graz, Austria</w:t>
            </w:r>
          </w:p>
        </w:tc>
        <w:tc>
          <w:tcPr>
            <w:tcW w:w="965" w:type="dxa"/>
            <w:tcBorders>
              <w:top w:val="single" w:sz="6" w:space="0" w:color="AEAEAE"/>
              <w:left w:val="single" w:sz="6" w:space="0" w:color="AEAEAE"/>
              <w:bottom w:val="single" w:sz="6" w:space="0" w:color="AEAEAE"/>
              <w:right w:val="single" w:sz="6" w:space="0" w:color="AEAEAE"/>
            </w:tcBorders>
            <w:vAlign w:val="center"/>
          </w:tcPr>
          <w:p w14:paraId="7FBFBB14" w14:textId="77777777" w:rsidR="002D58E4" w:rsidRDefault="00F721D4">
            <w:pPr>
              <w:rPr>
                <w:sz w:val="20"/>
                <w:szCs w:val="20"/>
              </w:rPr>
            </w:pPr>
            <w:r>
              <w:rPr>
                <w:sz w:val="20"/>
                <w:szCs w:val="20"/>
              </w:rPr>
              <w:t>Prospective cohort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7978DFC7" w14:textId="77777777" w:rsidR="002D58E4" w:rsidRDefault="00F721D4">
            <w:pPr>
              <w:jc w:val="center"/>
              <w:rPr>
                <w:sz w:val="20"/>
                <w:szCs w:val="20"/>
              </w:rPr>
            </w:pPr>
            <w:r>
              <w:rPr>
                <w:sz w:val="20"/>
                <w:szCs w:val="20"/>
              </w:rPr>
              <w:t>5</w:t>
            </w:r>
          </w:p>
        </w:tc>
        <w:tc>
          <w:tcPr>
            <w:tcW w:w="2709" w:type="dxa"/>
            <w:tcBorders>
              <w:top w:val="single" w:sz="6" w:space="0" w:color="AEAEAE"/>
              <w:left w:val="single" w:sz="6" w:space="0" w:color="AEAEAE"/>
              <w:bottom w:val="single" w:sz="6" w:space="0" w:color="AEAEAE"/>
              <w:right w:val="single" w:sz="6" w:space="0" w:color="AEAEAE"/>
            </w:tcBorders>
            <w:vAlign w:val="center"/>
          </w:tcPr>
          <w:p w14:paraId="2D2DDCB1" w14:textId="77777777" w:rsidR="002D58E4" w:rsidRDefault="00F721D4">
            <w:pPr>
              <w:rPr>
                <w:sz w:val="20"/>
                <w:szCs w:val="20"/>
              </w:rPr>
            </w:pPr>
            <w:r>
              <w:rPr>
                <w:sz w:val="20"/>
                <w:szCs w:val="20"/>
              </w:rPr>
              <w:t>Diagnosis of Lyme Disease depended up on either a history of a well-documented rash consistent with erythema migrans and secondary to a tick bite, or the objective involvement of two or more organ systems, with symptoms suggestive of disseminated Lyme, or both, as well as positive</w:t>
            </w:r>
          </w:p>
          <w:p w14:paraId="53782E78" w14:textId="77777777" w:rsidR="002D58E4" w:rsidRDefault="00F721D4">
            <w:pPr>
              <w:spacing w:after="120"/>
              <w:rPr>
                <w:sz w:val="20"/>
                <w:szCs w:val="20"/>
              </w:rPr>
            </w:pPr>
            <w:r>
              <w:rPr>
                <w:sz w:val="20"/>
                <w:szCs w:val="20"/>
              </w:rPr>
              <w:t xml:space="preserve">ELISA for </w:t>
            </w:r>
            <w:r>
              <w:rPr>
                <w:i/>
                <w:sz w:val="20"/>
                <w:szCs w:val="20"/>
              </w:rPr>
              <w:t>B. burgdorferi</w:t>
            </w:r>
            <w:r>
              <w:rPr>
                <w:sz w:val="20"/>
                <w:szCs w:val="20"/>
              </w:rPr>
              <w:t xml:space="preserve">. Patients lived in an endemic area. None of the patients had received treatment for </w:t>
            </w:r>
            <w:r>
              <w:rPr>
                <w:i/>
                <w:sz w:val="20"/>
                <w:szCs w:val="20"/>
              </w:rPr>
              <w:t>B. burgdorferi</w:t>
            </w:r>
            <w:r>
              <w:rPr>
                <w:sz w:val="20"/>
                <w:szCs w:val="20"/>
              </w:rPr>
              <w:t xml:space="preserve"> infection prior to admission to the study.</w:t>
            </w:r>
          </w:p>
          <w:p w14:paraId="449B85F7" w14:textId="77777777" w:rsidR="002D58E4" w:rsidRDefault="00F721D4">
            <w:pPr>
              <w:spacing w:after="120"/>
              <w:rPr>
                <w:sz w:val="20"/>
                <w:szCs w:val="20"/>
              </w:rPr>
            </w:pPr>
            <w:r>
              <w:rPr>
                <w:sz w:val="20"/>
                <w:szCs w:val="20"/>
              </w:rPr>
              <w:t>9 of 11 patients who were positive by ELISA had a typical history of tick bite with erythema migrans and/or other organ involvement. 2 of 11 had no recollection of tick bite or erythema migrans, but had presented with neuropathy or oligoarthritis.</w:t>
            </w:r>
          </w:p>
        </w:tc>
        <w:tc>
          <w:tcPr>
            <w:tcW w:w="3375" w:type="dxa"/>
            <w:tcBorders>
              <w:top w:val="single" w:sz="6" w:space="0" w:color="AEAEAE"/>
              <w:left w:val="single" w:sz="6" w:space="0" w:color="AEAEAE"/>
              <w:bottom w:val="single" w:sz="6" w:space="0" w:color="AEAEAE"/>
              <w:right w:val="single" w:sz="6" w:space="0" w:color="AEAEAE"/>
            </w:tcBorders>
            <w:vAlign w:val="center"/>
          </w:tcPr>
          <w:p w14:paraId="1D6F1C70" w14:textId="77777777" w:rsidR="002D58E4" w:rsidRDefault="00F721D4">
            <w:pPr>
              <w:spacing w:after="120"/>
              <w:rPr>
                <w:sz w:val="20"/>
                <w:szCs w:val="20"/>
              </w:rPr>
            </w:pPr>
            <w:r>
              <w:rPr>
                <w:sz w:val="20"/>
                <w:szCs w:val="20"/>
              </w:rPr>
              <w:t>46 patients with dilated cardiomyopathy diagnosed by the New York Heart Association (NYHA) and WHO/</w:t>
            </w:r>
            <w:r>
              <w:rPr>
                <w:color w:val="000000"/>
                <w:sz w:val="20"/>
                <w:szCs w:val="20"/>
                <w:highlight w:val="white"/>
              </w:rPr>
              <w:t>International Society and Federation of Cardiology (ISFC)</w:t>
            </w:r>
            <w:r>
              <w:rPr>
                <w:sz w:val="20"/>
                <w:szCs w:val="20"/>
              </w:rPr>
              <w:t xml:space="preserve"> criteria. </w:t>
            </w:r>
            <w:r>
              <w:t xml:space="preserve"> </w:t>
            </w:r>
            <w:r>
              <w:rPr>
                <w:sz w:val="20"/>
                <w:szCs w:val="20"/>
              </w:rPr>
              <w:t>Patients with concomitant cardiovascular disease that could result in dilation and heart failure were excluded.</w:t>
            </w:r>
          </w:p>
          <w:p w14:paraId="4AA2C802" w14:textId="77777777" w:rsidR="002D58E4" w:rsidRDefault="00F721D4">
            <w:pPr>
              <w:spacing w:after="120"/>
              <w:rPr>
                <w:sz w:val="20"/>
                <w:szCs w:val="20"/>
              </w:rPr>
            </w:pPr>
            <w:r>
              <w:rPr>
                <w:sz w:val="20"/>
                <w:szCs w:val="20"/>
              </w:rPr>
              <w:t xml:space="preserve">All patients showed limitation in functional capacity per NYHA classification; duration of cardiac symptoms ranged from 0 to 16 months. Mean duration of cardiac symptoms: 3.9 months. NYHA class: I (N=6), II (N=14, III (N=18) and IV (N=8) </w:t>
            </w:r>
          </w:p>
        </w:tc>
        <w:tc>
          <w:tcPr>
            <w:tcW w:w="2697" w:type="dxa"/>
            <w:tcBorders>
              <w:top w:val="single" w:sz="6" w:space="0" w:color="AEAEAE"/>
              <w:left w:val="single" w:sz="6" w:space="0" w:color="AEAEAE"/>
              <w:bottom w:val="single" w:sz="6" w:space="0" w:color="AEAEAE"/>
              <w:right w:val="single" w:sz="6" w:space="0" w:color="AEAEAE"/>
            </w:tcBorders>
            <w:vAlign w:val="center"/>
          </w:tcPr>
          <w:p w14:paraId="61DFCDF7" w14:textId="77777777" w:rsidR="002D58E4" w:rsidRDefault="00F721D4">
            <w:pPr>
              <w:rPr>
                <w:sz w:val="20"/>
                <w:szCs w:val="20"/>
              </w:rPr>
            </w:pPr>
            <w:r>
              <w:rPr>
                <w:sz w:val="20"/>
                <w:szCs w:val="20"/>
              </w:rPr>
              <w:t xml:space="preserve">24% (11 of 46) of patients with dilated cardiomyopathy had clinical history of Lyme disease and positive ELISA to </w:t>
            </w:r>
            <w:r>
              <w:rPr>
                <w:i/>
                <w:sz w:val="20"/>
                <w:szCs w:val="20"/>
              </w:rPr>
              <w:t>B. burgdorferi</w:t>
            </w:r>
            <w:r>
              <w:rPr>
                <w:sz w:val="20"/>
                <w:szCs w:val="20"/>
              </w:rPr>
              <w:t xml:space="preserve"> </w:t>
            </w:r>
          </w:p>
        </w:tc>
        <w:tc>
          <w:tcPr>
            <w:tcW w:w="3257" w:type="dxa"/>
            <w:tcBorders>
              <w:top w:val="single" w:sz="6" w:space="0" w:color="AEAEAE"/>
              <w:left w:val="single" w:sz="6" w:space="0" w:color="AEAEAE"/>
              <w:bottom w:val="single" w:sz="6" w:space="0" w:color="AEAEAE"/>
              <w:right w:val="single" w:sz="6" w:space="0" w:color="AEAEAE"/>
            </w:tcBorders>
            <w:vAlign w:val="center"/>
          </w:tcPr>
          <w:p w14:paraId="61ED6361" w14:textId="77777777" w:rsidR="002D58E4" w:rsidRDefault="00F721D4">
            <w:pPr>
              <w:rPr>
                <w:sz w:val="20"/>
                <w:szCs w:val="20"/>
              </w:rPr>
            </w:pPr>
            <w:r>
              <w:rPr>
                <w:sz w:val="20"/>
                <w:szCs w:val="20"/>
              </w:rPr>
              <w:t>All patients received standard care for dilated cardiomyopathy, as well as professional guidelines for behavioral factors. Patients with a typical history of Lyme disease and positive serology received treatment with IV ceftriaxone (2g BID for 14 days). 6 of 11 (55%) patients improved completely with ceftriaxone; 3 (37%) improved substantially, and only 2 (30%) patients did not improve at all. 50% of patients treated with ceftriaxone experienced diarrhea. No patients experienced an allergic reaction.</w:t>
            </w:r>
          </w:p>
          <w:p w14:paraId="6B0A7A98" w14:textId="77777777" w:rsidR="002D58E4" w:rsidRDefault="002D58E4">
            <w:pPr>
              <w:rPr>
                <w:sz w:val="20"/>
                <w:szCs w:val="20"/>
              </w:rPr>
            </w:pPr>
          </w:p>
          <w:p w14:paraId="0C0E0AD0" w14:textId="77777777" w:rsidR="002D58E4" w:rsidRDefault="00F721D4">
            <w:pPr>
              <w:rPr>
                <w:sz w:val="20"/>
                <w:szCs w:val="20"/>
              </w:rPr>
            </w:pPr>
            <w:r>
              <w:rPr>
                <w:sz w:val="20"/>
                <w:szCs w:val="20"/>
              </w:rPr>
              <w:t>In most patients with dilated cardiomyopathy associated with Lyme disease, symptoms can improve or be completely reversed following standard antimicrobial treatment.</w:t>
            </w:r>
          </w:p>
        </w:tc>
      </w:tr>
      <w:tr w:rsidR="002D58E4" w14:paraId="1C4BAEB2" w14:textId="77777777" w:rsidTr="002305C5">
        <w:trPr>
          <w:trHeight w:val="3060"/>
        </w:trPr>
        <w:tc>
          <w:tcPr>
            <w:tcW w:w="101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99C95FE" w14:textId="77777777" w:rsidR="002D58E4" w:rsidRDefault="00F721D4">
            <w:pPr>
              <w:rPr>
                <w:sz w:val="20"/>
                <w:szCs w:val="20"/>
              </w:rPr>
            </w:pPr>
            <w:r>
              <w:rPr>
                <w:sz w:val="20"/>
                <w:szCs w:val="20"/>
              </w:rPr>
              <w:t>Kubánek, et al., 2012</w:t>
            </w:r>
          </w:p>
          <w:p w14:paraId="1733032C" w14:textId="77777777" w:rsidR="002D58E4" w:rsidRDefault="002D58E4">
            <w:pPr>
              <w:rPr>
                <w:sz w:val="20"/>
                <w:szCs w:val="20"/>
              </w:rPr>
            </w:pPr>
          </w:p>
          <w:p w14:paraId="1B0D76EB" w14:textId="77777777" w:rsidR="002D58E4" w:rsidRDefault="00F721D4">
            <w:pPr>
              <w:rPr>
                <w:sz w:val="20"/>
                <w:szCs w:val="20"/>
              </w:rPr>
            </w:pPr>
            <w:r>
              <w:rPr>
                <w:sz w:val="20"/>
                <w:szCs w:val="20"/>
              </w:rPr>
              <w:t>Prague, Czech Republic</w:t>
            </w:r>
          </w:p>
        </w:tc>
        <w:tc>
          <w:tcPr>
            <w:tcW w:w="965" w:type="dxa"/>
            <w:tcBorders>
              <w:top w:val="single" w:sz="6" w:space="0" w:color="AEAEAE"/>
              <w:left w:val="single" w:sz="6" w:space="0" w:color="AEAEAE"/>
              <w:bottom w:val="single" w:sz="6" w:space="0" w:color="AEAEAE"/>
              <w:right w:val="single" w:sz="6" w:space="0" w:color="AEAEAE"/>
            </w:tcBorders>
            <w:vAlign w:val="center"/>
          </w:tcPr>
          <w:p w14:paraId="6E97D73B" w14:textId="77777777" w:rsidR="002D58E4" w:rsidRDefault="00F721D4">
            <w:pPr>
              <w:rPr>
                <w:sz w:val="20"/>
                <w:szCs w:val="20"/>
              </w:rPr>
            </w:pPr>
            <w:r>
              <w:rPr>
                <w:sz w:val="20"/>
                <w:szCs w:val="20"/>
              </w:rPr>
              <w:t>Case control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5228E5AC" w14:textId="77777777" w:rsidR="002D58E4" w:rsidRDefault="00F721D4">
            <w:pPr>
              <w:jc w:val="center"/>
              <w:rPr>
                <w:sz w:val="20"/>
                <w:szCs w:val="20"/>
              </w:rPr>
            </w:pPr>
            <w:r>
              <w:rPr>
                <w:sz w:val="20"/>
                <w:szCs w:val="20"/>
              </w:rPr>
              <w:t>7</w:t>
            </w:r>
          </w:p>
        </w:tc>
        <w:tc>
          <w:tcPr>
            <w:tcW w:w="2709" w:type="dxa"/>
            <w:tcBorders>
              <w:top w:val="single" w:sz="6" w:space="0" w:color="AEAEAE"/>
              <w:left w:val="single" w:sz="6" w:space="0" w:color="AEAEAE"/>
              <w:bottom w:val="single" w:sz="6" w:space="0" w:color="AEAEAE"/>
              <w:right w:val="single" w:sz="6" w:space="0" w:color="AEAEAE"/>
            </w:tcBorders>
            <w:vAlign w:val="center"/>
          </w:tcPr>
          <w:p w14:paraId="05FFDF6A" w14:textId="77777777" w:rsidR="002D58E4" w:rsidRDefault="00F721D4">
            <w:pPr>
              <w:rPr>
                <w:sz w:val="20"/>
                <w:szCs w:val="20"/>
              </w:rPr>
            </w:pPr>
            <w:r>
              <w:rPr>
                <w:sz w:val="20"/>
                <w:szCs w:val="20"/>
              </w:rPr>
              <w:t xml:space="preserve">Endomyocardial biopsy was performed, and the samples were tested by PCR for </w:t>
            </w:r>
            <w:r>
              <w:rPr>
                <w:i/>
                <w:sz w:val="20"/>
                <w:szCs w:val="20"/>
              </w:rPr>
              <w:t>B. Burgdorferi</w:t>
            </w:r>
            <w:r>
              <w:rPr>
                <w:sz w:val="20"/>
                <w:szCs w:val="20"/>
              </w:rPr>
              <w:t xml:space="preserve"> DNA. Patient sera were also tested by ELISA and PCR of peripheral blood, and positive results were confirmed by Western Blot. Clinical history of Lyme disease was investigated. All patients resided in a region endemic for Lyme disease. </w:t>
            </w:r>
          </w:p>
          <w:p w14:paraId="442A9683" w14:textId="77777777" w:rsidR="002D58E4" w:rsidRDefault="002D58E4">
            <w:pPr>
              <w:rPr>
                <w:sz w:val="20"/>
                <w:szCs w:val="20"/>
              </w:rPr>
            </w:pPr>
          </w:p>
          <w:p w14:paraId="30DCF17D" w14:textId="77777777" w:rsidR="002D58E4" w:rsidRDefault="00F721D4">
            <w:pPr>
              <w:rPr>
                <w:sz w:val="20"/>
                <w:szCs w:val="20"/>
              </w:rPr>
            </w:pPr>
            <w:r>
              <w:rPr>
                <w:sz w:val="20"/>
                <w:szCs w:val="20"/>
              </w:rPr>
              <w:t xml:space="preserve">7% (3 of 41) of patients with recent-onset dilated cardiomyopathy reported a history of treated Lyme disease. </w:t>
            </w:r>
          </w:p>
          <w:p w14:paraId="27291058" w14:textId="77777777" w:rsidR="002D58E4" w:rsidRDefault="002D58E4">
            <w:pPr>
              <w:rPr>
                <w:sz w:val="20"/>
                <w:szCs w:val="20"/>
              </w:rPr>
            </w:pPr>
          </w:p>
        </w:tc>
        <w:tc>
          <w:tcPr>
            <w:tcW w:w="3375" w:type="dxa"/>
            <w:tcBorders>
              <w:top w:val="single" w:sz="6" w:space="0" w:color="AEAEAE"/>
              <w:left w:val="single" w:sz="6" w:space="0" w:color="AEAEAE"/>
              <w:bottom w:val="single" w:sz="6" w:space="0" w:color="AEAEAE"/>
              <w:right w:val="single" w:sz="6" w:space="0" w:color="AEAEAE"/>
            </w:tcBorders>
            <w:vAlign w:val="center"/>
          </w:tcPr>
          <w:p w14:paraId="6D64C1D4" w14:textId="77777777" w:rsidR="002D58E4" w:rsidRDefault="00F721D4">
            <w:pPr>
              <w:rPr>
                <w:sz w:val="20"/>
                <w:szCs w:val="20"/>
              </w:rPr>
            </w:pPr>
            <w:r>
              <w:rPr>
                <w:sz w:val="20"/>
                <w:szCs w:val="20"/>
              </w:rPr>
              <w:t>41 patients (mean age 42 years) with dilated cardiomyopathy of &lt;6 months duration (mean duration of symptoms: 2 months; range 1-3.25 months) participated in the study. Dilated cardiomyopathy was defined by the presence of left ventricular dilatation and left ventricular systolic dysfunction in the absence of coronary artery disease, severe systemic arterial hypertension, and primary valve disease.</w:t>
            </w:r>
          </w:p>
          <w:p w14:paraId="4D6CD541" w14:textId="77777777" w:rsidR="002D58E4" w:rsidRDefault="002D58E4">
            <w:pPr>
              <w:rPr>
                <w:sz w:val="20"/>
                <w:szCs w:val="20"/>
              </w:rPr>
            </w:pPr>
          </w:p>
          <w:p w14:paraId="633E0689" w14:textId="77777777" w:rsidR="002D58E4" w:rsidRDefault="00F721D4">
            <w:pPr>
              <w:rPr>
                <w:sz w:val="20"/>
                <w:szCs w:val="20"/>
              </w:rPr>
            </w:pPr>
            <w:r>
              <w:rPr>
                <w:sz w:val="20"/>
                <w:szCs w:val="20"/>
              </w:rPr>
              <w:t>NYHA class: I (N=1), II (N=23, III (N=10) and IV (N=7)</w:t>
            </w:r>
          </w:p>
          <w:p w14:paraId="5D8DB37F" w14:textId="77777777" w:rsidR="002D58E4" w:rsidRDefault="002D58E4">
            <w:pPr>
              <w:rPr>
                <w:sz w:val="20"/>
                <w:szCs w:val="20"/>
              </w:rPr>
            </w:pPr>
          </w:p>
          <w:p w14:paraId="202C0766" w14:textId="77777777" w:rsidR="002D58E4" w:rsidRDefault="00F721D4">
            <w:pPr>
              <w:rPr>
                <w:sz w:val="20"/>
                <w:szCs w:val="20"/>
              </w:rPr>
            </w:pPr>
            <w:r>
              <w:rPr>
                <w:sz w:val="20"/>
                <w:szCs w:val="20"/>
              </w:rPr>
              <w:t>A control group consisted of 15 patients with end-stage heart failure attributed to coronary artery disease.</w:t>
            </w:r>
          </w:p>
        </w:tc>
        <w:tc>
          <w:tcPr>
            <w:tcW w:w="2697" w:type="dxa"/>
            <w:tcBorders>
              <w:top w:val="single" w:sz="6" w:space="0" w:color="AEAEAE"/>
              <w:left w:val="single" w:sz="6" w:space="0" w:color="AEAEAE"/>
              <w:bottom w:val="single" w:sz="6" w:space="0" w:color="AEAEAE"/>
              <w:right w:val="single" w:sz="6" w:space="0" w:color="AEAEAE"/>
            </w:tcBorders>
            <w:vAlign w:val="center"/>
          </w:tcPr>
          <w:p w14:paraId="54249BFC" w14:textId="77777777" w:rsidR="002D58E4" w:rsidRDefault="00F721D4">
            <w:pPr>
              <w:rPr>
                <w:sz w:val="20"/>
                <w:szCs w:val="20"/>
              </w:rPr>
            </w:pPr>
            <w:r>
              <w:rPr>
                <w:sz w:val="20"/>
                <w:szCs w:val="20"/>
              </w:rPr>
              <w:t xml:space="preserve">10 of 41 (24%) biopsy samples of patients with recent-onset dilated cardiomyopathy were positive for </w:t>
            </w:r>
            <w:r>
              <w:rPr>
                <w:i/>
                <w:sz w:val="20"/>
                <w:szCs w:val="20"/>
              </w:rPr>
              <w:t>B. burgdorferi</w:t>
            </w:r>
            <w:r>
              <w:rPr>
                <w:sz w:val="20"/>
                <w:szCs w:val="20"/>
              </w:rPr>
              <w:t xml:space="preserve"> DNA by PCR. None of the biopsy samples from control patients were positive for </w:t>
            </w:r>
            <w:r>
              <w:rPr>
                <w:i/>
                <w:sz w:val="20"/>
                <w:szCs w:val="20"/>
              </w:rPr>
              <w:t xml:space="preserve">B. burgdorferi </w:t>
            </w:r>
            <w:r>
              <w:rPr>
                <w:sz w:val="20"/>
                <w:szCs w:val="20"/>
              </w:rPr>
              <w:t xml:space="preserve">DNA. </w:t>
            </w:r>
          </w:p>
          <w:p w14:paraId="1B80FAC6" w14:textId="77777777" w:rsidR="002D58E4" w:rsidRDefault="002D58E4">
            <w:pPr>
              <w:rPr>
                <w:sz w:val="20"/>
                <w:szCs w:val="20"/>
              </w:rPr>
            </w:pPr>
          </w:p>
          <w:p w14:paraId="3E214ACE" w14:textId="77777777" w:rsidR="002D58E4" w:rsidRDefault="00F721D4">
            <w:pPr>
              <w:rPr>
                <w:sz w:val="20"/>
                <w:szCs w:val="20"/>
              </w:rPr>
            </w:pPr>
            <w:r>
              <w:rPr>
                <w:sz w:val="20"/>
                <w:szCs w:val="20"/>
              </w:rPr>
              <w:t>Patients with positive biopsies reported a similar rate of treated erythema migrans caused by Lyme disease: 1 of 10 positive patients (10%) vs. 2 of 31 negative patients (6.5%) (p=0.708).</w:t>
            </w:r>
          </w:p>
        </w:tc>
        <w:tc>
          <w:tcPr>
            <w:tcW w:w="3257" w:type="dxa"/>
            <w:tcBorders>
              <w:top w:val="single" w:sz="6" w:space="0" w:color="AEAEAE"/>
              <w:left w:val="single" w:sz="6" w:space="0" w:color="AEAEAE"/>
              <w:bottom w:val="single" w:sz="6" w:space="0" w:color="AEAEAE"/>
              <w:right w:val="single" w:sz="6" w:space="0" w:color="AEAEAE"/>
            </w:tcBorders>
            <w:vAlign w:val="center"/>
          </w:tcPr>
          <w:p w14:paraId="1E3FA89D" w14:textId="77777777" w:rsidR="002D58E4" w:rsidRPr="00324703" w:rsidRDefault="00F721D4">
            <w:pPr>
              <w:rPr>
                <w:rFonts w:asciiTheme="majorHAnsi" w:hAnsiTheme="majorHAnsi" w:cstheme="majorHAnsi"/>
                <w:sz w:val="20"/>
                <w:szCs w:val="20"/>
              </w:rPr>
            </w:pPr>
            <w:r w:rsidRPr="00324703">
              <w:rPr>
                <w:rFonts w:asciiTheme="majorHAnsi" w:hAnsiTheme="majorHAnsi" w:cstheme="majorHAnsi"/>
                <w:sz w:val="20"/>
                <w:szCs w:val="20"/>
              </w:rPr>
              <w:t xml:space="preserve">The authors found a significantly higher prevalence of B. burgdorferi DNA in patients with recent-onset dilated cardiomyopathy as compared with controls (p=0.035). </w:t>
            </w:r>
          </w:p>
          <w:p w14:paraId="0B345878" w14:textId="77777777" w:rsidR="002D58E4" w:rsidRPr="00324703" w:rsidRDefault="00F721D4">
            <w:pPr>
              <w:rPr>
                <w:rFonts w:asciiTheme="majorHAnsi" w:hAnsiTheme="majorHAnsi" w:cstheme="majorHAnsi"/>
                <w:sz w:val="20"/>
                <w:szCs w:val="20"/>
              </w:rPr>
            </w:pPr>
            <w:r w:rsidRPr="00324703">
              <w:rPr>
                <w:rFonts w:asciiTheme="majorHAnsi" w:hAnsiTheme="majorHAnsi" w:cstheme="majorHAnsi"/>
                <w:sz w:val="20"/>
                <w:szCs w:val="20"/>
              </w:rPr>
              <w:t>There was no significant difference between PCR-positive and PCR-negative individuals with regard to prior presentation of erythema migrans or treatment for Lyme disease.</w:t>
            </w:r>
          </w:p>
          <w:p w14:paraId="7232A75E" w14:textId="4C0ACF0F" w:rsidR="002D58E4" w:rsidRPr="00324703" w:rsidRDefault="00F721D4" w:rsidP="00324703">
            <w:pPr>
              <w:pStyle w:val="NormalWeb"/>
              <w:spacing w:before="240" w:beforeAutospacing="0" w:after="0" w:afterAutospacing="0"/>
              <w:rPr>
                <w:rFonts w:asciiTheme="majorHAnsi" w:hAnsiTheme="majorHAnsi" w:cstheme="majorHAnsi"/>
                <w:sz w:val="20"/>
                <w:szCs w:val="20"/>
              </w:rPr>
            </w:pPr>
            <w:r w:rsidRPr="00324703">
              <w:rPr>
                <w:rFonts w:asciiTheme="majorHAnsi" w:hAnsiTheme="majorHAnsi" w:cstheme="majorHAnsi"/>
                <w:sz w:val="20"/>
                <w:szCs w:val="20"/>
              </w:rPr>
              <w:t>Positive biopsy samples showed a low prevalence of myocardial inflammation, and the authors noted modest improvement in left ventricular systolic function after antibiotic treatment. The authors suggest that this could be indicative of a late-stage or chronic infection.</w:t>
            </w:r>
            <w:r w:rsidR="00324703" w:rsidRPr="00324703">
              <w:rPr>
                <w:rFonts w:asciiTheme="majorHAnsi" w:hAnsiTheme="majorHAnsi" w:cstheme="majorHAnsi"/>
                <w:color w:val="000000"/>
                <w:sz w:val="20"/>
                <w:szCs w:val="20"/>
              </w:rPr>
              <w:t xml:space="preserve"> Although, endomyocardial biopsies were positive by PCR for B. burgdorferi in 10/41 (24%) patients with newly diagnosed dilated cardiomyopathy and no controls (patients with end stage coronary disease), these 10 patients also had a high incidence of positive blood PCRs for B. burgdorferi which would be very unusual in this setting. Lastly, treatment of these patients with IV ceftriaxone did not alter their outcome, compared with the other patients with dilated cardiomyopathy, calling these findings into question.</w:t>
            </w:r>
          </w:p>
        </w:tc>
      </w:tr>
      <w:tr w:rsidR="002D58E4" w14:paraId="116619FC" w14:textId="77777777" w:rsidTr="002305C5">
        <w:trPr>
          <w:trHeight w:val="40"/>
        </w:trPr>
        <w:tc>
          <w:tcPr>
            <w:tcW w:w="101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E79ABB9" w14:textId="77777777" w:rsidR="002D58E4" w:rsidRDefault="00F721D4">
            <w:pPr>
              <w:rPr>
                <w:sz w:val="20"/>
                <w:szCs w:val="20"/>
              </w:rPr>
            </w:pPr>
            <w:r>
              <w:rPr>
                <w:sz w:val="20"/>
                <w:szCs w:val="20"/>
              </w:rPr>
              <w:t>Kuchynka, et al., 2015</w:t>
            </w:r>
          </w:p>
          <w:p w14:paraId="3CBD8F81" w14:textId="77777777" w:rsidR="002D58E4" w:rsidRDefault="002D58E4">
            <w:pPr>
              <w:rPr>
                <w:sz w:val="20"/>
                <w:szCs w:val="20"/>
              </w:rPr>
            </w:pPr>
          </w:p>
          <w:p w14:paraId="4F3723A6" w14:textId="77777777" w:rsidR="002D58E4" w:rsidRDefault="00F721D4">
            <w:pPr>
              <w:rPr>
                <w:sz w:val="20"/>
                <w:szCs w:val="20"/>
              </w:rPr>
            </w:pPr>
            <w:r>
              <w:rPr>
                <w:sz w:val="20"/>
                <w:szCs w:val="20"/>
              </w:rPr>
              <w:t>Prague, Czech Republic</w:t>
            </w:r>
          </w:p>
        </w:tc>
        <w:tc>
          <w:tcPr>
            <w:tcW w:w="965" w:type="dxa"/>
            <w:tcBorders>
              <w:top w:val="single" w:sz="6" w:space="0" w:color="AEAEAE"/>
              <w:left w:val="single" w:sz="6" w:space="0" w:color="AEAEAE"/>
              <w:bottom w:val="single" w:sz="6" w:space="0" w:color="AEAEAE"/>
              <w:right w:val="single" w:sz="6" w:space="0" w:color="AEAEAE"/>
            </w:tcBorders>
            <w:vAlign w:val="center"/>
          </w:tcPr>
          <w:p w14:paraId="115F84B4" w14:textId="77777777" w:rsidR="002D58E4" w:rsidRDefault="00F721D4">
            <w:pPr>
              <w:rPr>
                <w:sz w:val="20"/>
                <w:szCs w:val="20"/>
              </w:rPr>
            </w:pPr>
            <w:r>
              <w:rPr>
                <w:sz w:val="20"/>
                <w:szCs w:val="20"/>
              </w:rPr>
              <w:t>Cross-sectional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1872A85D" w14:textId="77777777" w:rsidR="002D58E4" w:rsidRDefault="00F721D4">
            <w:pPr>
              <w:jc w:val="center"/>
              <w:rPr>
                <w:sz w:val="20"/>
                <w:szCs w:val="20"/>
              </w:rPr>
            </w:pPr>
            <w:r>
              <w:rPr>
                <w:sz w:val="20"/>
                <w:szCs w:val="20"/>
              </w:rPr>
              <w:t>6</w:t>
            </w:r>
          </w:p>
        </w:tc>
        <w:tc>
          <w:tcPr>
            <w:tcW w:w="2709" w:type="dxa"/>
            <w:tcBorders>
              <w:top w:val="single" w:sz="6" w:space="0" w:color="AEAEAE"/>
              <w:left w:val="single" w:sz="6" w:space="0" w:color="AEAEAE"/>
              <w:bottom w:val="single" w:sz="6" w:space="0" w:color="AEAEAE"/>
              <w:right w:val="single" w:sz="6" w:space="0" w:color="AEAEAE"/>
            </w:tcBorders>
            <w:vAlign w:val="center"/>
          </w:tcPr>
          <w:p w14:paraId="01B1A964" w14:textId="77777777" w:rsidR="002D58E4" w:rsidRDefault="00F721D4">
            <w:pPr>
              <w:rPr>
                <w:sz w:val="20"/>
                <w:szCs w:val="20"/>
              </w:rPr>
            </w:pPr>
            <w:r>
              <w:rPr>
                <w:sz w:val="20"/>
                <w:szCs w:val="20"/>
              </w:rPr>
              <w:t>Serological testing of IgM and IgG antibodies against</w:t>
            </w:r>
            <w:r>
              <w:rPr>
                <w:i/>
                <w:sz w:val="20"/>
                <w:szCs w:val="20"/>
              </w:rPr>
              <w:t xml:space="preserve"> B. burgdorferi</w:t>
            </w:r>
            <w:r>
              <w:rPr>
                <w:sz w:val="20"/>
                <w:szCs w:val="20"/>
              </w:rPr>
              <w:t xml:space="preserve"> was performed by ELISA, and positive results were confirmed by Western Blot. Endomyocardial biopsy was performed for histological analysis.</w:t>
            </w:r>
          </w:p>
          <w:p w14:paraId="17BC1E3F" w14:textId="77777777" w:rsidR="002D58E4" w:rsidRDefault="002D58E4">
            <w:pPr>
              <w:rPr>
                <w:sz w:val="20"/>
                <w:szCs w:val="20"/>
              </w:rPr>
            </w:pPr>
          </w:p>
          <w:p w14:paraId="26E12438" w14:textId="77777777" w:rsidR="002D58E4" w:rsidRDefault="00F721D4">
            <w:pPr>
              <w:rPr>
                <w:sz w:val="20"/>
                <w:szCs w:val="20"/>
              </w:rPr>
            </w:pPr>
            <w:r>
              <w:rPr>
                <w:sz w:val="20"/>
                <w:szCs w:val="20"/>
              </w:rPr>
              <w:t xml:space="preserve">Serological analysis demonstrated IgG antibodies in eight (36%) seropositive patients; however, IgM antibodies were not detected in any subject. </w:t>
            </w:r>
          </w:p>
          <w:p w14:paraId="26372DD8" w14:textId="77777777" w:rsidR="002D58E4" w:rsidRDefault="002D58E4">
            <w:pPr>
              <w:rPr>
                <w:sz w:val="20"/>
                <w:szCs w:val="20"/>
              </w:rPr>
            </w:pPr>
          </w:p>
          <w:p w14:paraId="2DE68578" w14:textId="77777777" w:rsidR="002D58E4" w:rsidRDefault="00F721D4">
            <w:pPr>
              <w:rPr>
                <w:sz w:val="20"/>
                <w:szCs w:val="20"/>
              </w:rPr>
            </w:pPr>
            <w:r>
              <w:rPr>
                <w:sz w:val="20"/>
                <w:szCs w:val="20"/>
              </w:rPr>
              <w:t>Immunohistochemical analysis revealed signs of myocardial inflammation in eight (36%) seropositive patients.</w:t>
            </w:r>
          </w:p>
          <w:p w14:paraId="7F9B29CD" w14:textId="77777777" w:rsidR="002D58E4" w:rsidRDefault="002D58E4">
            <w:pPr>
              <w:rPr>
                <w:sz w:val="20"/>
                <w:szCs w:val="20"/>
              </w:rPr>
            </w:pPr>
          </w:p>
        </w:tc>
        <w:tc>
          <w:tcPr>
            <w:tcW w:w="3375" w:type="dxa"/>
            <w:tcBorders>
              <w:top w:val="single" w:sz="6" w:space="0" w:color="AEAEAE"/>
              <w:left w:val="single" w:sz="6" w:space="0" w:color="AEAEAE"/>
              <w:bottom w:val="single" w:sz="6" w:space="0" w:color="AEAEAE"/>
              <w:right w:val="single" w:sz="6" w:space="0" w:color="AEAEAE"/>
            </w:tcBorders>
            <w:vAlign w:val="center"/>
          </w:tcPr>
          <w:p w14:paraId="7E9F9C2C" w14:textId="77777777" w:rsidR="002D58E4" w:rsidRDefault="00F721D4">
            <w:pPr>
              <w:rPr>
                <w:sz w:val="20"/>
                <w:szCs w:val="20"/>
              </w:rPr>
            </w:pPr>
            <w:r>
              <w:rPr>
                <w:sz w:val="20"/>
                <w:szCs w:val="20"/>
              </w:rPr>
              <w:t>110 patients (mean age 53 years) who had experienced recent-onset, unexplained dilated cardiomyopathy for &lt;12 months, and left ventricular systolic dysfunction persisting for ≥1 week after conventional heart failure therapy. Mean duration of symptoms: 2.4 months, mean NYHA class: 3.3.</w:t>
            </w:r>
          </w:p>
          <w:p w14:paraId="4C374A2E" w14:textId="77777777" w:rsidR="002D58E4" w:rsidRDefault="002D58E4">
            <w:pPr>
              <w:rPr>
                <w:sz w:val="20"/>
                <w:szCs w:val="20"/>
              </w:rPr>
            </w:pPr>
          </w:p>
          <w:p w14:paraId="0025ACD8" w14:textId="77777777" w:rsidR="002D58E4" w:rsidRDefault="00F721D4">
            <w:pPr>
              <w:rPr>
                <w:sz w:val="20"/>
                <w:szCs w:val="20"/>
              </w:rPr>
            </w:pPr>
            <w:r>
              <w:rPr>
                <w:sz w:val="20"/>
                <w:szCs w:val="20"/>
              </w:rPr>
              <w:t>The diagnostic evaluation included physical examination, assessment of heart failure symptoms (NYHA classification), ECG, transthoracic echocardiography, analysis of blood for markers of inflammation, and markers of myocardial injury and overload.</w:t>
            </w:r>
          </w:p>
        </w:tc>
        <w:tc>
          <w:tcPr>
            <w:tcW w:w="2697" w:type="dxa"/>
            <w:tcBorders>
              <w:top w:val="single" w:sz="6" w:space="0" w:color="AEAEAE"/>
              <w:left w:val="single" w:sz="6" w:space="0" w:color="AEAEAE"/>
              <w:bottom w:val="single" w:sz="6" w:space="0" w:color="AEAEAE"/>
              <w:right w:val="single" w:sz="6" w:space="0" w:color="AEAEAE"/>
            </w:tcBorders>
            <w:vAlign w:val="center"/>
          </w:tcPr>
          <w:p w14:paraId="40647DAF" w14:textId="77777777" w:rsidR="002D58E4" w:rsidRDefault="002D58E4">
            <w:pPr>
              <w:rPr>
                <w:sz w:val="20"/>
                <w:szCs w:val="20"/>
              </w:rPr>
            </w:pPr>
          </w:p>
          <w:p w14:paraId="6A368AA6" w14:textId="77777777" w:rsidR="002D58E4" w:rsidRDefault="00F721D4">
            <w:pPr>
              <w:rPr>
                <w:sz w:val="20"/>
                <w:szCs w:val="20"/>
              </w:rPr>
            </w:pPr>
            <w:r>
              <w:rPr>
                <w:sz w:val="20"/>
                <w:szCs w:val="20"/>
              </w:rPr>
              <w:t>25% (22 of 88) of cardiomyopathy patients were seropositive for</w:t>
            </w:r>
            <w:r>
              <w:rPr>
                <w:i/>
                <w:sz w:val="20"/>
                <w:szCs w:val="20"/>
              </w:rPr>
              <w:t xml:space="preserve"> B. burgdorferi.</w:t>
            </w:r>
          </w:p>
          <w:p w14:paraId="4971F5FE" w14:textId="77777777" w:rsidR="002D58E4" w:rsidRDefault="002D58E4">
            <w:pPr>
              <w:rPr>
                <w:sz w:val="20"/>
                <w:szCs w:val="20"/>
              </w:rPr>
            </w:pPr>
          </w:p>
          <w:p w14:paraId="33F6FC7F" w14:textId="77777777" w:rsidR="002D58E4" w:rsidRDefault="00F721D4">
            <w:pPr>
              <w:rPr>
                <w:sz w:val="20"/>
                <w:szCs w:val="20"/>
              </w:rPr>
            </w:pPr>
            <w:r>
              <w:rPr>
                <w:sz w:val="20"/>
                <w:szCs w:val="20"/>
              </w:rPr>
              <w:t>NYHA classifications of seropositive individuals were as follows: Class III (N= 10) and IV (N = 8), and Class II (N=2).</w:t>
            </w:r>
          </w:p>
          <w:p w14:paraId="25416B35" w14:textId="77777777" w:rsidR="002D58E4" w:rsidRDefault="002D58E4">
            <w:pPr>
              <w:rPr>
                <w:sz w:val="20"/>
                <w:szCs w:val="20"/>
              </w:rPr>
            </w:pPr>
          </w:p>
          <w:p w14:paraId="59BA8647" w14:textId="77777777" w:rsidR="002D58E4" w:rsidRDefault="00F721D4">
            <w:pPr>
              <w:rPr>
                <w:sz w:val="20"/>
                <w:szCs w:val="20"/>
              </w:rPr>
            </w:pPr>
            <w:r>
              <w:rPr>
                <w:sz w:val="20"/>
                <w:szCs w:val="20"/>
              </w:rPr>
              <w:t>Left bundle branch block occurred in 5 (23 %) seropositive patients and right bundle branch block occurred in 2 (9%) patients. ST-T changes were observed in 11 seropositive subjects (50 %) and 1</w:t>
            </w:r>
            <w:r>
              <w:rPr>
                <w:sz w:val="20"/>
                <w:szCs w:val="20"/>
                <w:vertAlign w:val="superscript"/>
              </w:rPr>
              <w:t>st</w:t>
            </w:r>
            <w:r>
              <w:rPr>
                <w:sz w:val="20"/>
                <w:szCs w:val="20"/>
              </w:rPr>
              <w:t xml:space="preserve"> degree atrioventricular block in one (5%). </w:t>
            </w:r>
          </w:p>
        </w:tc>
        <w:tc>
          <w:tcPr>
            <w:tcW w:w="3257" w:type="dxa"/>
            <w:tcBorders>
              <w:top w:val="single" w:sz="6" w:space="0" w:color="AEAEAE"/>
              <w:left w:val="single" w:sz="6" w:space="0" w:color="AEAEAE"/>
              <w:bottom w:val="single" w:sz="6" w:space="0" w:color="AEAEAE"/>
              <w:right w:val="single" w:sz="6" w:space="0" w:color="AEAEAE"/>
            </w:tcBorders>
            <w:vAlign w:val="center"/>
          </w:tcPr>
          <w:p w14:paraId="63BE2A35" w14:textId="77777777" w:rsidR="002D58E4" w:rsidRDefault="00F721D4">
            <w:pPr>
              <w:rPr>
                <w:sz w:val="20"/>
                <w:szCs w:val="20"/>
              </w:rPr>
            </w:pPr>
            <w:r>
              <w:rPr>
                <w:sz w:val="20"/>
                <w:szCs w:val="20"/>
              </w:rPr>
              <w:t>The authors concluded that Lyme disease may be a cause of recent-onset unexplained dilated cardiomyopathy in patients living in highly endemic regions. Since patients with Lyme-associated cardiomyopathy typically respond favorably to antibiotic treatment and concomitant heart failure medication, the authors recommend testing for</w:t>
            </w:r>
            <w:r>
              <w:rPr>
                <w:i/>
                <w:sz w:val="20"/>
                <w:szCs w:val="20"/>
              </w:rPr>
              <w:t xml:space="preserve"> B. burgdorferi</w:t>
            </w:r>
            <w:r>
              <w:rPr>
                <w:sz w:val="20"/>
                <w:szCs w:val="20"/>
              </w:rPr>
              <w:t xml:space="preserve"> in endemic regions, and particularly recommend assessment of endomyocardial biopsy specimens in the diagnosis of Lyme carditis.</w:t>
            </w:r>
          </w:p>
        </w:tc>
      </w:tr>
      <w:tr w:rsidR="002D58E4" w14:paraId="4CB85C81" w14:textId="77777777" w:rsidTr="002305C5">
        <w:trPr>
          <w:trHeight w:val="3060"/>
        </w:trPr>
        <w:tc>
          <w:tcPr>
            <w:tcW w:w="101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4FF8D26" w14:textId="77777777" w:rsidR="002D58E4" w:rsidRDefault="00F721D4">
            <w:pPr>
              <w:rPr>
                <w:sz w:val="20"/>
                <w:szCs w:val="20"/>
              </w:rPr>
            </w:pPr>
            <w:r>
              <w:rPr>
                <w:sz w:val="20"/>
                <w:szCs w:val="20"/>
              </w:rPr>
              <w:t>N’Guyen, 2016</w:t>
            </w:r>
          </w:p>
          <w:p w14:paraId="2AD6B1EA" w14:textId="77777777" w:rsidR="002D58E4" w:rsidRDefault="002D58E4">
            <w:pPr>
              <w:rPr>
                <w:sz w:val="20"/>
                <w:szCs w:val="20"/>
              </w:rPr>
            </w:pPr>
          </w:p>
          <w:p w14:paraId="09741FF3" w14:textId="77777777" w:rsidR="002D58E4" w:rsidRDefault="00F721D4">
            <w:pPr>
              <w:rPr>
                <w:sz w:val="20"/>
                <w:szCs w:val="20"/>
              </w:rPr>
            </w:pPr>
            <w:r>
              <w:rPr>
                <w:sz w:val="20"/>
                <w:szCs w:val="20"/>
              </w:rPr>
              <w:t>Northeastern France</w:t>
            </w:r>
          </w:p>
        </w:tc>
        <w:tc>
          <w:tcPr>
            <w:tcW w:w="965" w:type="dxa"/>
            <w:tcBorders>
              <w:top w:val="single" w:sz="6" w:space="0" w:color="AEAEAE"/>
              <w:left w:val="single" w:sz="6" w:space="0" w:color="AEAEAE"/>
              <w:bottom w:val="single" w:sz="6" w:space="0" w:color="AEAEAE"/>
              <w:right w:val="single" w:sz="6" w:space="0" w:color="AEAEAE"/>
            </w:tcBorders>
            <w:vAlign w:val="center"/>
          </w:tcPr>
          <w:p w14:paraId="46FA5AC2" w14:textId="77777777" w:rsidR="002D58E4" w:rsidRDefault="00F721D4">
            <w:pPr>
              <w:rPr>
                <w:sz w:val="20"/>
                <w:szCs w:val="20"/>
              </w:rPr>
            </w:pPr>
            <w:r>
              <w:rPr>
                <w:sz w:val="20"/>
                <w:szCs w:val="20"/>
              </w:rPr>
              <w:t>Prospective cohort study</w:t>
            </w:r>
          </w:p>
        </w:tc>
        <w:tc>
          <w:tcPr>
            <w:tcW w:w="720" w:type="dxa"/>
            <w:tcBorders>
              <w:top w:val="single" w:sz="6" w:space="0" w:color="AEAEAE"/>
              <w:left w:val="single" w:sz="6" w:space="0" w:color="AEAEAE"/>
              <w:bottom w:val="single" w:sz="6" w:space="0" w:color="AEAEAE"/>
              <w:right w:val="single" w:sz="6" w:space="0" w:color="AEAEAE"/>
            </w:tcBorders>
            <w:vAlign w:val="center"/>
          </w:tcPr>
          <w:p w14:paraId="0D78A822" w14:textId="77777777" w:rsidR="002D58E4" w:rsidRDefault="00F721D4">
            <w:pPr>
              <w:jc w:val="center"/>
              <w:rPr>
                <w:sz w:val="20"/>
                <w:szCs w:val="20"/>
              </w:rPr>
            </w:pPr>
            <w:r>
              <w:rPr>
                <w:sz w:val="20"/>
                <w:szCs w:val="20"/>
              </w:rPr>
              <w:t>6</w:t>
            </w:r>
          </w:p>
        </w:tc>
        <w:tc>
          <w:tcPr>
            <w:tcW w:w="2709" w:type="dxa"/>
            <w:tcBorders>
              <w:top w:val="single" w:sz="6" w:space="0" w:color="AEAEAE"/>
              <w:left w:val="single" w:sz="6" w:space="0" w:color="AEAEAE"/>
              <w:bottom w:val="single" w:sz="6" w:space="0" w:color="AEAEAE"/>
              <w:right w:val="single" w:sz="6" w:space="0" w:color="AEAEAE"/>
            </w:tcBorders>
            <w:vAlign w:val="center"/>
          </w:tcPr>
          <w:p w14:paraId="68D6EA27" w14:textId="77777777" w:rsidR="002D58E4" w:rsidRDefault="00F721D4">
            <w:pPr>
              <w:rPr>
                <w:sz w:val="20"/>
                <w:szCs w:val="20"/>
              </w:rPr>
            </w:pPr>
            <w:r>
              <w:rPr>
                <w:sz w:val="20"/>
                <w:szCs w:val="20"/>
              </w:rPr>
              <w:t xml:space="preserve">Patients were serologically screened by ELISA. All sera with positive or borderline antibody results were confirmed by Western Blot. All patients resided in a region endemic for Lyme disease. </w:t>
            </w:r>
          </w:p>
          <w:p w14:paraId="17E1D727" w14:textId="77777777" w:rsidR="002D58E4" w:rsidRDefault="002D58E4">
            <w:pPr>
              <w:rPr>
                <w:sz w:val="20"/>
                <w:szCs w:val="20"/>
              </w:rPr>
            </w:pPr>
          </w:p>
          <w:p w14:paraId="4E07A5BE" w14:textId="77777777" w:rsidR="002D58E4" w:rsidRDefault="00F721D4">
            <w:pPr>
              <w:rPr>
                <w:sz w:val="20"/>
                <w:szCs w:val="20"/>
              </w:rPr>
            </w:pPr>
            <w:r>
              <w:rPr>
                <w:sz w:val="20"/>
                <w:szCs w:val="20"/>
              </w:rPr>
              <w:t>10 of 15 patients underwent endomyocardial biopsy. In the event of a positive ELISA/Western Blot, the specimens were to be confirmed by PCR.</w:t>
            </w:r>
          </w:p>
        </w:tc>
        <w:tc>
          <w:tcPr>
            <w:tcW w:w="3375" w:type="dxa"/>
            <w:tcBorders>
              <w:top w:val="single" w:sz="6" w:space="0" w:color="AEAEAE"/>
              <w:left w:val="single" w:sz="6" w:space="0" w:color="AEAEAE"/>
              <w:bottom w:val="single" w:sz="6" w:space="0" w:color="AEAEAE"/>
              <w:right w:val="single" w:sz="6" w:space="0" w:color="AEAEAE"/>
            </w:tcBorders>
            <w:vAlign w:val="center"/>
          </w:tcPr>
          <w:p w14:paraId="166E5B2B" w14:textId="77777777" w:rsidR="002D58E4" w:rsidRDefault="00F721D4">
            <w:pPr>
              <w:rPr>
                <w:sz w:val="20"/>
                <w:szCs w:val="20"/>
              </w:rPr>
            </w:pPr>
            <w:r>
              <w:rPr>
                <w:sz w:val="20"/>
                <w:szCs w:val="20"/>
              </w:rPr>
              <w:t>15 patients with idiopathic dilated cardiomyopathy were prospectively evaluated.</w:t>
            </w:r>
          </w:p>
        </w:tc>
        <w:tc>
          <w:tcPr>
            <w:tcW w:w="2697" w:type="dxa"/>
            <w:tcBorders>
              <w:top w:val="single" w:sz="6" w:space="0" w:color="AEAEAE"/>
              <w:left w:val="single" w:sz="6" w:space="0" w:color="AEAEAE"/>
              <w:bottom w:val="single" w:sz="6" w:space="0" w:color="AEAEAE"/>
              <w:right w:val="single" w:sz="6" w:space="0" w:color="AEAEAE"/>
            </w:tcBorders>
            <w:vAlign w:val="center"/>
          </w:tcPr>
          <w:p w14:paraId="22AC3EBD" w14:textId="77777777" w:rsidR="002D58E4" w:rsidRDefault="00F721D4">
            <w:pPr>
              <w:rPr>
                <w:sz w:val="20"/>
                <w:szCs w:val="20"/>
              </w:rPr>
            </w:pPr>
            <w:r>
              <w:rPr>
                <w:sz w:val="20"/>
                <w:szCs w:val="20"/>
              </w:rPr>
              <w:t xml:space="preserve">None of the patients were serologically positive for antibodies against </w:t>
            </w:r>
            <w:r>
              <w:rPr>
                <w:i/>
                <w:sz w:val="20"/>
                <w:szCs w:val="20"/>
              </w:rPr>
              <w:t>B. burgdorferi sensu lato.</w:t>
            </w:r>
            <w:r>
              <w:rPr>
                <w:sz w:val="20"/>
                <w:szCs w:val="20"/>
              </w:rPr>
              <w:t xml:space="preserve"> </w:t>
            </w:r>
          </w:p>
        </w:tc>
        <w:tc>
          <w:tcPr>
            <w:tcW w:w="3257" w:type="dxa"/>
            <w:tcBorders>
              <w:top w:val="single" w:sz="6" w:space="0" w:color="AEAEAE"/>
              <w:left w:val="single" w:sz="6" w:space="0" w:color="AEAEAE"/>
              <w:bottom w:val="single" w:sz="6" w:space="0" w:color="AEAEAE"/>
              <w:right w:val="single" w:sz="6" w:space="0" w:color="AEAEAE"/>
            </w:tcBorders>
            <w:vAlign w:val="center"/>
          </w:tcPr>
          <w:p w14:paraId="44EFA264" w14:textId="77777777" w:rsidR="002D58E4" w:rsidRDefault="00F721D4">
            <w:pPr>
              <w:rPr>
                <w:sz w:val="20"/>
                <w:szCs w:val="20"/>
              </w:rPr>
            </w:pPr>
            <w:r>
              <w:rPr>
                <w:sz w:val="20"/>
                <w:szCs w:val="20"/>
              </w:rPr>
              <w:t xml:space="preserve">The authors state that the non-existent seroprevalence in this cohort of patients living in an endemic region refutes the suggestion that </w:t>
            </w:r>
            <w:r>
              <w:rPr>
                <w:i/>
                <w:sz w:val="20"/>
                <w:szCs w:val="20"/>
              </w:rPr>
              <w:t>B. burgdorferi</w:t>
            </w:r>
            <w:r>
              <w:rPr>
                <w:sz w:val="20"/>
                <w:szCs w:val="20"/>
              </w:rPr>
              <w:t xml:space="preserve"> might play an etiological role in dilated cardiomyopathy. </w:t>
            </w:r>
          </w:p>
          <w:p w14:paraId="3835A5FA" w14:textId="77777777" w:rsidR="002D58E4" w:rsidRDefault="002D58E4">
            <w:pPr>
              <w:rPr>
                <w:sz w:val="20"/>
                <w:szCs w:val="20"/>
              </w:rPr>
            </w:pPr>
          </w:p>
          <w:p w14:paraId="7D2D44E1" w14:textId="77777777" w:rsidR="002D58E4" w:rsidRDefault="00F721D4">
            <w:pPr>
              <w:rPr>
                <w:sz w:val="20"/>
                <w:szCs w:val="20"/>
              </w:rPr>
            </w:pPr>
            <w:r>
              <w:rPr>
                <w:sz w:val="20"/>
                <w:szCs w:val="20"/>
              </w:rPr>
              <w:t xml:space="preserve">The authors advocate against systematic treatment of patients with idiopathic dilated cardiomyopathy with ceftriaxone in endemic regions. They suggest that antibiotic treatment should be limited to patients whose Lyme disease has been confirmed through patient history (tick bite exposure, etc.) and serology or to patients with positive </w:t>
            </w:r>
            <w:r>
              <w:rPr>
                <w:i/>
                <w:sz w:val="20"/>
                <w:szCs w:val="20"/>
              </w:rPr>
              <w:t>B. burgdorferi</w:t>
            </w:r>
            <w:r>
              <w:rPr>
                <w:sz w:val="20"/>
                <w:szCs w:val="20"/>
              </w:rPr>
              <w:t xml:space="preserve"> serology who require a heart transplant. </w:t>
            </w:r>
          </w:p>
        </w:tc>
      </w:tr>
    </w:tbl>
    <w:p w14:paraId="57C1A8F0" w14:textId="77777777" w:rsidR="002D58E4" w:rsidRDefault="00F721D4" w:rsidP="00E343BA">
      <w:pPr>
        <w:ind w:right="-3980"/>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3B7AE47E" w14:textId="77777777" w:rsidR="002D58E4" w:rsidRDefault="00086112">
      <w:pPr>
        <w:jc w:val="right"/>
      </w:pPr>
      <w:hyperlink w:anchor="30j0zll">
        <w:r w:rsidR="00F721D4">
          <w:rPr>
            <w:color w:val="0000FF"/>
            <w:sz w:val="18"/>
            <w:szCs w:val="18"/>
            <w:u w:val="single"/>
          </w:rPr>
          <w:t>Back to the top</w:t>
        </w:r>
      </w:hyperlink>
    </w:p>
    <w:p w14:paraId="749C7F6D" w14:textId="77777777" w:rsidR="002D58E4" w:rsidRDefault="00F721D4">
      <w:pPr>
        <w:rPr>
          <w:b/>
          <w:sz w:val="32"/>
          <w:szCs w:val="32"/>
          <w:u w:val="single"/>
        </w:rPr>
      </w:pPr>
      <w:bookmarkStart w:id="23" w:name="z337ya" w:colFirst="0" w:colLast="0"/>
      <w:bookmarkEnd w:id="23"/>
      <w:r>
        <w:br w:type="page"/>
      </w:r>
    </w:p>
    <w:p w14:paraId="32D167A4" w14:textId="77777777" w:rsidR="002D58E4" w:rsidRDefault="00F721D4">
      <w:pPr>
        <w:spacing w:line="360" w:lineRule="auto"/>
        <w:rPr>
          <w:b/>
          <w:sz w:val="32"/>
          <w:szCs w:val="32"/>
          <w:u w:val="single"/>
        </w:rPr>
      </w:pPr>
      <w:bookmarkStart w:id="24" w:name="3j2qqm3" w:colFirst="0" w:colLast="0"/>
      <w:bookmarkEnd w:id="24"/>
      <w:r>
        <w:rPr>
          <w:b/>
          <w:sz w:val="32"/>
          <w:szCs w:val="32"/>
          <w:u w:val="single"/>
        </w:rPr>
        <w:t>Lyme arthritis</w:t>
      </w:r>
    </w:p>
    <w:tbl>
      <w:tblPr>
        <w:tblStyle w:val="affe"/>
        <w:tblW w:w="14790" w:type="dxa"/>
        <w:tblBorders>
          <w:bottom w:val="single" w:sz="6" w:space="0" w:color="AEAEAE"/>
          <w:insideH w:val="single" w:sz="6" w:space="0" w:color="AEAEAE"/>
          <w:insideV w:val="single" w:sz="6" w:space="0" w:color="AEAEAE"/>
        </w:tblBorders>
        <w:tblLayout w:type="fixed"/>
        <w:tblLook w:val="0600" w:firstRow="0" w:lastRow="0" w:firstColumn="0" w:lastColumn="0" w:noHBand="1" w:noVBand="1"/>
      </w:tblPr>
      <w:tblGrid>
        <w:gridCol w:w="1020"/>
        <w:gridCol w:w="990"/>
        <w:gridCol w:w="3960"/>
        <w:gridCol w:w="4170"/>
        <w:gridCol w:w="4650"/>
      </w:tblGrid>
      <w:tr w:rsidR="002D58E4" w14:paraId="5749A7B9" w14:textId="77777777">
        <w:trPr>
          <w:trHeight w:val="500"/>
        </w:trPr>
        <w:tc>
          <w:tcPr>
            <w:tcW w:w="14790" w:type="dxa"/>
            <w:gridSpan w:val="5"/>
            <w:tcBorders>
              <w:top w:val="nil"/>
              <w:bottom w:val="single" w:sz="6" w:space="0" w:color="AEAEAE"/>
            </w:tcBorders>
            <w:shd w:val="clear" w:color="auto" w:fill="auto"/>
            <w:tcMar>
              <w:top w:w="15" w:type="dxa"/>
              <w:left w:w="30" w:type="dxa"/>
              <w:bottom w:w="0" w:type="dxa"/>
              <w:right w:w="30" w:type="dxa"/>
            </w:tcMar>
          </w:tcPr>
          <w:tbl>
            <w:tblPr>
              <w:tblStyle w:val="afff"/>
              <w:tblW w:w="14714" w:type="dxa"/>
              <w:tblLayout w:type="fixed"/>
              <w:tblLook w:val="0600" w:firstRow="0" w:lastRow="0" w:firstColumn="0" w:lastColumn="0" w:noHBand="1" w:noVBand="1"/>
            </w:tblPr>
            <w:tblGrid>
              <w:gridCol w:w="930"/>
              <w:gridCol w:w="1080"/>
              <w:gridCol w:w="630"/>
              <w:gridCol w:w="1580"/>
              <w:gridCol w:w="3510"/>
              <w:gridCol w:w="3060"/>
              <w:gridCol w:w="3924"/>
            </w:tblGrid>
            <w:tr w:rsidR="002D58E4" w14:paraId="301D2BF4" w14:textId="77777777">
              <w:trPr>
                <w:trHeight w:val="500"/>
              </w:trPr>
              <w:tc>
                <w:tcPr>
                  <w:tcW w:w="14714" w:type="dxa"/>
                  <w:gridSpan w:val="7"/>
                  <w:tcBorders>
                    <w:bottom w:val="single" w:sz="6" w:space="0" w:color="AEAEAE"/>
                  </w:tcBorders>
                  <w:shd w:val="clear" w:color="auto" w:fill="auto"/>
                  <w:tcMar>
                    <w:top w:w="15" w:type="dxa"/>
                    <w:left w:w="30" w:type="dxa"/>
                    <w:bottom w:w="0" w:type="dxa"/>
                    <w:right w:w="30" w:type="dxa"/>
                  </w:tcMar>
                  <w:vAlign w:val="center"/>
                </w:tcPr>
                <w:p w14:paraId="5F77C59C" w14:textId="77777777" w:rsidR="002D58E4" w:rsidRDefault="00F721D4">
                  <w:pPr>
                    <w:spacing w:after="0"/>
                    <w:rPr>
                      <w:b/>
                      <w:color w:val="000000"/>
                      <w:sz w:val="16"/>
                      <w:szCs w:val="16"/>
                    </w:rPr>
                  </w:pPr>
                  <w:r>
                    <w:rPr>
                      <w:b/>
                      <w:sz w:val="28"/>
                      <w:szCs w:val="28"/>
                    </w:rPr>
                    <w:t>Background information: Distinction between Lyme arthritis from septic arthritis</w:t>
                  </w:r>
                </w:p>
                <w:p w14:paraId="10E4D4F4" w14:textId="77777777" w:rsidR="002D58E4" w:rsidRDefault="002D58E4">
                  <w:pPr>
                    <w:spacing w:after="0"/>
                    <w:rPr>
                      <w:b/>
                      <w:color w:val="000000"/>
                      <w:sz w:val="18"/>
                      <w:szCs w:val="18"/>
                    </w:rPr>
                  </w:pPr>
                </w:p>
                <w:p w14:paraId="048C5613" w14:textId="77777777" w:rsidR="002D58E4" w:rsidRDefault="00F721D4">
                  <w:pPr>
                    <w:spacing w:after="0"/>
                    <w:rPr>
                      <w:color w:val="000000"/>
                      <w:sz w:val="18"/>
                      <w:szCs w:val="18"/>
                    </w:rPr>
                  </w:pPr>
                  <w:r w:rsidRPr="002914A2">
                    <w:rPr>
                      <w:b/>
                      <w:color w:val="000000"/>
                      <w:sz w:val="18"/>
                      <w:szCs w:val="18"/>
                      <w:lang w:val="fr-CA"/>
                    </w:rPr>
                    <w:t>Bibliography</w:t>
                  </w:r>
                  <w:r w:rsidRPr="002914A2">
                    <w:rPr>
                      <w:color w:val="000000"/>
                      <w:sz w:val="18"/>
                      <w:szCs w:val="18"/>
                      <w:lang w:val="fr-CA"/>
                    </w:rPr>
                    <w:t xml:space="preserve">: 1. Thompson, et al. Pediatrics. </w:t>
                  </w:r>
                  <w:r w:rsidRPr="00C10663">
                    <w:rPr>
                      <w:color w:val="000000"/>
                      <w:sz w:val="18"/>
                      <w:szCs w:val="18"/>
                      <w:lang w:val="fr-CA"/>
                    </w:rPr>
                    <w:t xml:space="preserve">2009 Mar; 123(3): 959-65; 2. Glotzbecker, et al.  2011 Oct-Nov; 31(7): 787-90; 3. Milewski, et al. J Bone Joint Surg Am. 2011 Feb 2; 93(3): 252-60; 4. Deanehan, et al. Pediatrics. 2013 Mar; 131(3): e695-701; 5. </w:t>
                  </w:r>
                  <w:r>
                    <w:rPr>
                      <w:color w:val="000000"/>
                      <w:sz w:val="18"/>
                      <w:szCs w:val="18"/>
                    </w:rPr>
                    <w:t xml:space="preserve">Aiyer, et al. J Child Orthop. 2014 Aug; 8(4): 359-65; 6. Deanehan, et al. Pediatr Emerg Care. 2014 Jan;30(1):16-9; 7. Cruz, et al. </w:t>
                  </w:r>
                  <w:r>
                    <w:t xml:space="preserve"> </w:t>
                  </w:r>
                  <w:r>
                    <w:rPr>
                      <w:color w:val="000000"/>
                      <w:sz w:val="18"/>
                      <w:szCs w:val="18"/>
                    </w:rPr>
                    <w:t>J Pediatr Orthop. 2017 Jul/Aug;37(5):355-361 ; 8. Baldwin, et al.</w:t>
                  </w:r>
                  <w:r>
                    <w:t xml:space="preserve"> </w:t>
                  </w:r>
                  <w:r>
                    <w:rPr>
                      <w:color w:val="000000"/>
                      <w:sz w:val="18"/>
                      <w:szCs w:val="18"/>
                    </w:rPr>
                    <w:t xml:space="preserve">J Bone Joint Surg Am. 2016 May 4; 98(9): 721-8; 9. Willis, et al. </w:t>
                  </w:r>
                  <w:r>
                    <w:t xml:space="preserve"> </w:t>
                  </w:r>
                  <w:r>
                    <w:rPr>
                      <w:color w:val="000000"/>
                      <w:sz w:val="18"/>
                      <w:szCs w:val="18"/>
                    </w:rPr>
                    <w:t>J Pediatr Orthop. 2003 Jan-Feb; 23(1): 114-8; 10. Daikh, et al. Arthritis Care Res (Hoboken). 2013 Dec; 65(12): 1986-90; 11. Dart, et al. Pediatrics. 2018 May;141(5). pii: e20173810.</w:t>
                  </w:r>
                </w:p>
                <w:p w14:paraId="35CA61F8" w14:textId="3E3EA6A8" w:rsidR="00171735" w:rsidRDefault="00171735">
                  <w:pPr>
                    <w:spacing w:after="0"/>
                    <w:rPr>
                      <w:b/>
                      <w:color w:val="000000"/>
                      <w:sz w:val="20"/>
                      <w:szCs w:val="20"/>
                    </w:rPr>
                  </w:pPr>
                </w:p>
              </w:tc>
            </w:tr>
            <w:tr w:rsidR="002D58E4" w14:paraId="1A42BF20" w14:textId="77777777">
              <w:trPr>
                <w:trHeight w:val="500"/>
              </w:trPr>
              <w:tc>
                <w:tcPr>
                  <w:tcW w:w="93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6A2C06B4" w14:textId="77777777" w:rsidR="002D58E4" w:rsidRDefault="00F721D4">
                  <w:pPr>
                    <w:spacing w:after="0"/>
                    <w:jc w:val="center"/>
                    <w:rPr>
                      <w:sz w:val="20"/>
                      <w:szCs w:val="20"/>
                    </w:rPr>
                  </w:pPr>
                  <w:r>
                    <w:rPr>
                      <w:b/>
                      <w:color w:val="000000"/>
                      <w:sz w:val="20"/>
                      <w:szCs w:val="20"/>
                    </w:rPr>
                    <w:t>Study, Location</w:t>
                  </w:r>
                </w:p>
              </w:tc>
              <w:tc>
                <w:tcPr>
                  <w:tcW w:w="1080" w:type="dxa"/>
                  <w:tcBorders>
                    <w:top w:val="single" w:sz="6" w:space="0" w:color="AEAEAE"/>
                    <w:left w:val="single" w:sz="6" w:space="0" w:color="AEAEAE"/>
                    <w:bottom w:val="single" w:sz="6" w:space="0" w:color="AEAEAE"/>
                    <w:right w:val="single" w:sz="6" w:space="0" w:color="AEAEAE"/>
                  </w:tcBorders>
                  <w:shd w:val="clear" w:color="auto" w:fill="D9D9D9"/>
                </w:tcPr>
                <w:p w14:paraId="360A2A24" w14:textId="77777777" w:rsidR="002D58E4" w:rsidRDefault="00F721D4">
                  <w:pPr>
                    <w:spacing w:after="0"/>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3EFF7F7E" w14:textId="77777777" w:rsidR="002D58E4" w:rsidRDefault="00F721D4">
                  <w:pPr>
                    <w:spacing w:after="0"/>
                    <w:jc w:val="center"/>
                    <w:rPr>
                      <w:b/>
                      <w:color w:val="000000"/>
                      <w:sz w:val="20"/>
                      <w:szCs w:val="20"/>
                    </w:rPr>
                  </w:pPr>
                  <w:r>
                    <w:rPr>
                      <w:b/>
                      <w:color w:val="000000"/>
                      <w:sz w:val="20"/>
                      <w:szCs w:val="20"/>
                    </w:rPr>
                    <w:t>Risk of bias*</w:t>
                  </w:r>
                </w:p>
              </w:tc>
              <w:tc>
                <w:tcPr>
                  <w:tcW w:w="1580" w:type="dxa"/>
                  <w:tcBorders>
                    <w:top w:val="single" w:sz="6" w:space="0" w:color="AEAEAE"/>
                    <w:left w:val="single" w:sz="6" w:space="0" w:color="AEAEAE"/>
                    <w:bottom w:val="single" w:sz="6" w:space="0" w:color="AEAEAE"/>
                    <w:right w:val="single" w:sz="6" w:space="0" w:color="AEAEAE"/>
                  </w:tcBorders>
                  <w:shd w:val="clear" w:color="auto" w:fill="D9D9D9"/>
                </w:tcPr>
                <w:p w14:paraId="6ACAEB7F" w14:textId="77777777" w:rsidR="002D58E4" w:rsidRDefault="00F721D4">
                  <w:pPr>
                    <w:spacing w:after="0"/>
                    <w:jc w:val="center"/>
                    <w:rPr>
                      <w:b/>
                      <w:color w:val="000000"/>
                      <w:sz w:val="20"/>
                      <w:szCs w:val="20"/>
                    </w:rPr>
                  </w:pPr>
                  <w:r>
                    <w:rPr>
                      <w:b/>
                      <w:color w:val="000000"/>
                      <w:sz w:val="20"/>
                      <w:szCs w:val="20"/>
                    </w:rPr>
                    <w:t>Lyme Disease Diagnosis method</w:t>
                  </w:r>
                </w:p>
              </w:tc>
              <w:tc>
                <w:tcPr>
                  <w:tcW w:w="351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5B96878" w14:textId="77777777" w:rsidR="002D58E4" w:rsidRDefault="00F721D4">
                  <w:pPr>
                    <w:spacing w:after="0"/>
                    <w:jc w:val="center"/>
                    <w:rPr>
                      <w:sz w:val="20"/>
                      <w:szCs w:val="20"/>
                    </w:rPr>
                  </w:pPr>
                  <w:r>
                    <w:rPr>
                      <w:b/>
                      <w:color w:val="000000"/>
                      <w:sz w:val="20"/>
                      <w:szCs w:val="20"/>
                    </w:rPr>
                    <w:t>Population characteristics</w:t>
                  </w:r>
                </w:p>
              </w:tc>
              <w:tc>
                <w:tcPr>
                  <w:tcW w:w="306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4E9647D" w14:textId="77777777" w:rsidR="002D58E4" w:rsidRDefault="00F721D4">
                  <w:pPr>
                    <w:spacing w:after="0"/>
                    <w:jc w:val="center"/>
                    <w:rPr>
                      <w:b/>
                      <w:sz w:val="20"/>
                      <w:szCs w:val="20"/>
                    </w:rPr>
                  </w:pPr>
                  <w:r>
                    <w:rPr>
                      <w:b/>
                      <w:sz w:val="20"/>
                      <w:szCs w:val="20"/>
                    </w:rPr>
                    <w:t>Proportion of Patients with Lyme Arthritis among Patients with acute arthritis</w:t>
                  </w:r>
                </w:p>
              </w:tc>
              <w:tc>
                <w:tcPr>
                  <w:tcW w:w="3924"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8C0DF48" w14:textId="77777777" w:rsidR="002D58E4" w:rsidRDefault="00F721D4">
                  <w:pPr>
                    <w:spacing w:after="0"/>
                    <w:jc w:val="center"/>
                    <w:rPr>
                      <w:sz w:val="20"/>
                      <w:szCs w:val="20"/>
                    </w:rPr>
                  </w:pPr>
                  <w:r>
                    <w:rPr>
                      <w:b/>
                      <w:color w:val="000000"/>
                      <w:sz w:val="20"/>
                      <w:szCs w:val="20"/>
                    </w:rPr>
                    <w:t>Study Conclusions</w:t>
                  </w:r>
                </w:p>
              </w:tc>
            </w:tr>
            <w:tr w:rsidR="002D58E4" w14:paraId="750F5B38" w14:textId="77777777">
              <w:trPr>
                <w:trHeight w:val="434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DAAECBE" w14:textId="77777777" w:rsidR="002D58E4" w:rsidRPr="002914A2" w:rsidRDefault="00F721D4">
                  <w:pPr>
                    <w:spacing w:after="0"/>
                    <w:rPr>
                      <w:sz w:val="20"/>
                      <w:szCs w:val="20"/>
                      <w:lang w:val="fr-CA"/>
                    </w:rPr>
                  </w:pPr>
                  <w:r w:rsidRPr="002914A2">
                    <w:rPr>
                      <w:sz w:val="20"/>
                      <w:szCs w:val="20"/>
                      <w:lang w:val="fr-CA"/>
                    </w:rPr>
                    <w:t>Thompson, et al., 2009</w:t>
                  </w:r>
                </w:p>
                <w:p w14:paraId="7148FEC0" w14:textId="77777777" w:rsidR="002D58E4" w:rsidRPr="002914A2" w:rsidRDefault="002D58E4">
                  <w:pPr>
                    <w:spacing w:after="0"/>
                    <w:rPr>
                      <w:sz w:val="20"/>
                      <w:szCs w:val="20"/>
                      <w:lang w:val="fr-CA"/>
                    </w:rPr>
                  </w:pPr>
                </w:p>
                <w:p w14:paraId="186201C4" w14:textId="77777777" w:rsidR="002D58E4" w:rsidRPr="002914A2" w:rsidRDefault="002D58E4">
                  <w:pPr>
                    <w:spacing w:after="0"/>
                    <w:rPr>
                      <w:sz w:val="20"/>
                      <w:szCs w:val="20"/>
                      <w:lang w:val="fr-CA"/>
                    </w:rPr>
                  </w:pPr>
                </w:p>
                <w:p w14:paraId="02EA72FB" w14:textId="77777777" w:rsidR="002D58E4" w:rsidRPr="002914A2" w:rsidRDefault="00F721D4">
                  <w:pPr>
                    <w:spacing w:after="0"/>
                    <w:rPr>
                      <w:sz w:val="20"/>
                      <w:szCs w:val="20"/>
                      <w:lang w:val="fr-CA"/>
                    </w:rPr>
                  </w:pPr>
                  <w:r w:rsidRPr="002914A2">
                    <w:rPr>
                      <w:sz w:val="20"/>
                      <w:szCs w:val="20"/>
                      <w:lang w:val="fr-CA"/>
                    </w:rPr>
                    <w:t>Boston, MA</w:t>
                  </w:r>
                </w:p>
              </w:tc>
              <w:tc>
                <w:tcPr>
                  <w:tcW w:w="1080" w:type="dxa"/>
                  <w:tcBorders>
                    <w:top w:val="single" w:sz="6" w:space="0" w:color="AEAEAE"/>
                    <w:left w:val="single" w:sz="6" w:space="0" w:color="AEAEAE"/>
                    <w:bottom w:val="single" w:sz="6" w:space="0" w:color="AEAEAE"/>
                    <w:right w:val="single" w:sz="6" w:space="0" w:color="AEAEAE"/>
                  </w:tcBorders>
                  <w:vAlign w:val="center"/>
                </w:tcPr>
                <w:p w14:paraId="7749B230" w14:textId="77777777" w:rsidR="002D58E4" w:rsidRDefault="00F721D4">
                  <w:pPr>
                    <w:spacing w:after="0"/>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145E5AE" w14:textId="77777777" w:rsidR="002D58E4" w:rsidRDefault="00F721D4">
                  <w:pPr>
                    <w:spacing w:after="0"/>
                    <w:jc w:val="center"/>
                    <w:rPr>
                      <w:sz w:val="20"/>
                      <w:szCs w:val="20"/>
                    </w:rPr>
                  </w:pPr>
                  <w:r>
                    <w:rPr>
                      <w:sz w:val="20"/>
                      <w:szCs w:val="20"/>
                    </w:rPr>
                    <w:t>8</w:t>
                  </w:r>
                </w:p>
              </w:tc>
              <w:tc>
                <w:tcPr>
                  <w:tcW w:w="1580" w:type="dxa"/>
                  <w:tcBorders>
                    <w:top w:val="single" w:sz="6" w:space="0" w:color="AEAEAE"/>
                    <w:left w:val="single" w:sz="6" w:space="0" w:color="AEAEAE"/>
                    <w:bottom w:val="single" w:sz="6" w:space="0" w:color="AEAEAE"/>
                    <w:right w:val="single" w:sz="6" w:space="0" w:color="AEAEAE"/>
                  </w:tcBorders>
                  <w:vAlign w:val="center"/>
                </w:tcPr>
                <w:p w14:paraId="518939EC" w14:textId="77777777" w:rsidR="002D58E4" w:rsidRDefault="00F721D4">
                  <w:pPr>
                    <w:spacing w:after="0"/>
                    <w:rPr>
                      <w:sz w:val="20"/>
                      <w:szCs w:val="20"/>
                    </w:rPr>
                  </w:pPr>
                  <w:r>
                    <w:rPr>
                      <w:sz w:val="20"/>
                      <w:szCs w:val="20"/>
                    </w:rPr>
                    <w:t>Patients had positive</w:t>
                  </w:r>
                </w:p>
                <w:p w14:paraId="187FFA4A" w14:textId="77777777" w:rsidR="002D58E4" w:rsidRDefault="00F721D4">
                  <w:pPr>
                    <w:spacing w:after="0"/>
                    <w:rPr>
                      <w:sz w:val="20"/>
                      <w:szCs w:val="20"/>
                    </w:rPr>
                  </w:pPr>
                  <w:r>
                    <w:rPr>
                      <w:sz w:val="20"/>
                      <w:szCs w:val="20"/>
                    </w:rPr>
                    <w:t>Lyme serology results by ELISA, confirmed by positive IgG Western Blot.</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0B19D69" w14:textId="77777777" w:rsidR="002D58E4" w:rsidRDefault="00F721D4">
                  <w:pPr>
                    <w:spacing w:after="0"/>
                    <w:rPr>
                      <w:sz w:val="20"/>
                      <w:szCs w:val="20"/>
                    </w:rPr>
                  </w:pPr>
                  <w:r>
                    <w:rPr>
                      <w:sz w:val="20"/>
                      <w:szCs w:val="20"/>
                    </w:rPr>
                    <w:t>179 pediatric (mean age 7.2 years; range 3-11) patients with acute mono-articular arthritis who had synovial fluid aspiration performed in an emergency department visit. The mean duration of arthritis symptoms was 2.5 days (range 1-7). Patients lived in an area endemic for Lyme disease. 48.6% of all patients recalled a recent fever; 83% of patients with septic arthritis recalled a recent fever. 7% of all patients recalled a recent tick bite; 16% of Lyme arthritis patients recalled a tick bite, whereas 2% and 3% of septic and non-septic non-Lyme patients recalled a tick bite, respectively.</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8F08549" w14:textId="77777777" w:rsidR="002D58E4" w:rsidRDefault="00F721D4">
                  <w:pPr>
                    <w:spacing w:after="0"/>
                    <w:rPr>
                      <w:sz w:val="20"/>
                      <w:szCs w:val="20"/>
                    </w:rPr>
                  </w:pPr>
                  <w:r>
                    <w:rPr>
                      <w:sz w:val="20"/>
                      <w:szCs w:val="20"/>
                    </w:rPr>
                    <w:t>46 (26%) patients were diagnosed with septic arthritis, 55 (31%) patients were diagnosed with Lyme arthritis, and 78 (43%) patients were diagnosed with non-septic non-Lyme arthritis.</w:t>
                  </w:r>
                </w:p>
                <w:p w14:paraId="7E360793" w14:textId="77777777" w:rsidR="002D58E4" w:rsidRDefault="002D58E4">
                  <w:pPr>
                    <w:spacing w:after="0"/>
                    <w:rPr>
                      <w:sz w:val="20"/>
                      <w:szCs w:val="20"/>
                    </w:rPr>
                  </w:pP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9CD97B2" w14:textId="77777777" w:rsidR="002D58E4" w:rsidRDefault="002D58E4">
                  <w:pPr>
                    <w:spacing w:after="0"/>
                    <w:rPr>
                      <w:sz w:val="20"/>
                      <w:szCs w:val="20"/>
                    </w:rPr>
                  </w:pPr>
                </w:p>
                <w:p w14:paraId="5F418D42" w14:textId="77777777" w:rsidR="002D58E4" w:rsidRDefault="00F721D4">
                  <w:pPr>
                    <w:spacing w:after="0"/>
                    <w:ind w:right="346"/>
                    <w:rPr>
                      <w:sz w:val="20"/>
                      <w:szCs w:val="20"/>
                    </w:rPr>
                  </w:pPr>
                  <w:r>
                    <w:rPr>
                      <w:sz w:val="20"/>
                      <w:szCs w:val="20"/>
                    </w:rPr>
                    <w:t xml:space="preserve">Lyme arthritis patients were significantly more likely to have knee involvement (p&lt;0.001, p&lt;0.001) and a history of tick bite (p&lt;0.02, p=0.03) than patients with septic arthritis or non-septic non-Lyme arthritis, respectively. </w:t>
                  </w:r>
                </w:p>
                <w:p w14:paraId="70D51815" w14:textId="77777777" w:rsidR="002D58E4" w:rsidRDefault="002D58E4">
                  <w:pPr>
                    <w:spacing w:after="0"/>
                    <w:ind w:right="346"/>
                    <w:rPr>
                      <w:sz w:val="20"/>
                      <w:szCs w:val="20"/>
                    </w:rPr>
                  </w:pPr>
                </w:p>
                <w:p w14:paraId="3A09C82D" w14:textId="77777777" w:rsidR="002D58E4" w:rsidRDefault="00F721D4">
                  <w:pPr>
                    <w:spacing w:after="0"/>
                    <w:ind w:right="346"/>
                    <w:rPr>
                      <w:sz w:val="20"/>
                      <w:szCs w:val="20"/>
                    </w:rPr>
                  </w:pPr>
                  <w:r>
                    <w:rPr>
                      <w:sz w:val="20"/>
                      <w:szCs w:val="20"/>
                    </w:rPr>
                    <w:t xml:space="preserve">Patients with Lyme arthritis had </w:t>
                  </w:r>
                  <w:r>
                    <w:rPr>
                      <w:b/>
                      <w:sz w:val="20"/>
                      <w:szCs w:val="20"/>
                    </w:rPr>
                    <w:t>lower</w:t>
                  </w:r>
                  <w:r>
                    <w:rPr>
                      <w:sz w:val="20"/>
                      <w:szCs w:val="20"/>
                    </w:rPr>
                    <w:t xml:space="preserve"> ESR levels (p&lt;0.01), CRP levels (p&lt;0.001), joint white blood cell counts (p=0.03), and percent joint neutrophils (p&lt;0.001) </w:t>
                  </w:r>
                  <w:r>
                    <w:rPr>
                      <w:b/>
                      <w:sz w:val="20"/>
                      <w:szCs w:val="20"/>
                    </w:rPr>
                    <w:t>than patients with septic arthritis</w:t>
                  </w:r>
                  <w:r>
                    <w:rPr>
                      <w:sz w:val="20"/>
                      <w:szCs w:val="20"/>
                    </w:rPr>
                    <w:t xml:space="preserve">. </w:t>
                  </w:r>
                </w:p>
                <w:p w14:paraId="24514B94" w14:textId="77777777" w:rsidR="002D58E4" w:rsidRDefault="002D58E4">
                  <w:pPr>
                    <w:spacing w:after="0"/>
                    <w:ind w:right="346"/>
                    <w:rPr>
                      <w:sz w:val="20"/>
                      <w:szCs w:val="20"/>
                    </w:rPr>
                  </w:pPr>
                </w:p>
                <w:p w14:paraId="5DCD2F73" w14:textId="77777777" w:rsidR="002D58E4" w:rsidRDefault="00F721D4">
                  <w:pPr>
                    <w:spacing w:after="0"/>
                    <w:ind w:right="346"/>
                    <w:rPr>
                      <w:sz w:val="20"/>
                      <w:szCs w:val="20"/>
                    </w:rPr>
                  </w:pPr>
                  <w:r>
                    <w:rPr>
                      <w:sz w:val="20"/>
                      <w:szCs w:val="20"/>
                    </w:rPr>
                    <w:t xml:space="preserve">Patient with Lyme arthritis had </w:t>
                  </w:r>
                  <w:r>
                    <w:rPr>
                      <w:b/>
                      <w:sz w:val="20"/>
                      <w:szCs w:val="20"/>
                    </w:rPr>
                    <w:t>higher</w:t>
                  </w:r>
                  <w:r>
                    <w:rPr>
                      <w:sz w:val="20"/>
                      <w:szCs w:val="20"/>
                    </w:rPr>
                    <w:t xml:space="preserve"> ESR levels (p&lt;0.001), CRP levels (p&lt;0.001), joint white blood cell counts (p&lt;0.001), and percent joint neutrophils (p&lt;0.001)</w:t>
                  </w:r>
                  <w:r>
                    <w:rPr>
                      <w:b/>
                      <w:sz w:val="20"/>
                      <w:szCs w:val="20"/>
                    </w:rPr>
                    <w:t xml:space="preserve"> than patients with non-septic non-Lyme arthritis. </w:t>
                  </w:r>
                  <w:r>
                    <w:rPr>
                      <w:sz w:val="20"/>
                      <w:szCs w:val="20"/>
                    </w:rPr>
                    <w:t xml:space="preserve"> </w:t>
                  </w:r>
                </w:p>
                <w:p w14:paraId="23A241F2" w14:textId="77777777" w:rsidR="002D58E4" w:rsidRDefault="002D58E4">
                  <w:pPr>
                    <w:spacing w:after="0"/>
                    <w:rPr>
                      <w:sz w:val="20"/>
                      <w:szCs w:val="20"/>
                    </w:rPr>
                  </w:pPr>
                </w:p>
                <w:p w14:paraId="22C89B5C" w14:textId="77777777" w:rsidR="002D58E4" w:rsidRDefault="00F721D4">
                  <w:pPr>
                    <w:spacing w:after="0"/>
                    <w:rPr>
                      <w:sz w:val="20"/>
                      <w:szCs w:val="20"/>
                    </w:rPr>
                  </w:pPr>
                  <w:r>
                    <w:rPr>
                      <w:sz w:val="20"/>
                      <w:szCs w:val="20"/>
                    </w:rPr>
                    <w:t xml:space="preserve">Despite similar presentations, several key clinical factors can aid in differential diagnosis of acute arthritis. </w:t>
                  </w:r>
                </w:p>
                <w:p w14:paraId="04FCE5FA" w14:textId="77777777" w:rsidR="002D58E4" w:rsidRDefault="002D58E4">
                  <w:pPr>
                    <w:spacing w:after="0"/>
                    <w:rPr>
                      <w:sz w:val="20"/>
                      <w:szCs w:val="20"/>
                    </w:rPr>
                  </w:pPr>
                </w:p>
              </w:tc>
            </w:tr>
            <w:tr w:rsidR="002D58E4" w14:paraId="26F626B0" w14:textId="77777777">
              <w:trPr>
                <w:trHeight w:val="46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92B6469" w14:textId="77777777" w:rsidR="002D58E4" w:rsidRDefault="00F721D4">
                  <w:pPr>
                    <w:spacing w:after="0"/>
                    <w:rPr>
                      <w:sz w:val="20"/>
                      <w:szCs w:val="20"/>
                    </w:rPr>
                  </w:pPr>
                  <w:r>
                    <w:rPr>
                      <w:sz w:val="20"/>
                      <w:szCs w:val="20"/>
                    </w:rPr>
                    <w:t>Glotzbecker, et al., 2011</w:t>
                  </w:r>
                </w:p>
                <w:p w14:paraId="40B7EDBB" w14:textId="77777777" w:rsidR="002D58E4" w:rsidRDefault="002D58E4">
                  <w:pPr>
                    <w:spacing w:after="0"/>
                    <w:rPr>
                      <w:sz w:val="20"/>
                      <w:szCs w:val="20"/>
                    </w:rPr>
                  </w:pPr>
                </w:p>
                <w:p w14:paraId="6B27F3C0" w14:textId="77777777" w:rsidR="002D58E4" w:rsidRDefault="00F721D4">
                  <w:pPr>
                    <w:spacing w:after="0"/>
                    <w:rPr>
                      <w:sz w:val="20"/>
                      <w:szCs w:val="20"/>
                    </w:rPr>
                  </w:pPr>
                  <w:r>
                    <w:rPr>
                      <w:sz w:val="20"/>
                      <w:szCs w:val="20"/>
                    </w:rPr>
                    <w:t>Boston, MA</w:t>
                  </w:r>
                </w:p>
                <w:p w14:paraId="76BEFE43" w14:textId="77777777" w:rsidR="002D58E4" w:rsidRDefault="002D58E4">
                  <w:pPr>
                    <w:spacing w:after="0"/>
                    <w:rPr>
                      <w:sz w:val="20"/>
                      <w:szCs w:val="20"/>
                    </w:rPr>
                  </w:pPr>
                </w:p>
              </w:tc>
              <w:tc>
                <w:tcPr>
                  <w:tcW w:w="1080" w:type="dxa"/>
                  <w:tcBorders>
                    <w:top w:val="single" w:sz="6" w:space="0" w:color="AEAEAE"/>
                    <w:left w:val="single" w:sz="6" w:space="0" w:color="AEAEAE"/>
                    <w:bottom w:val="single" w:sz="6" w:space="0" w:color="AEAEAE"/>
                    <w:right w:val="single" w:sz="6" w:space="0" w:color="AEAEAE"/>
                  </w:tcBorders>
                  <w:vAlign w:val="center"/>
                </w:tcPr>
                <w:p w14:paraId="182D57BD" w14:textId="77777777" w:rsidR="002D58E4" w:rsidRDefault="00F721D4">
                  <w:pPr>
                    <w:spacing w:after="0"/>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E8BA9D4" w14:textId="77777777" w:rsidR="002D58E4" w:rsidRDefault="00F721D4">
                  <w:pPr>
                    <w:spacing w:after="0"/>
                    <w:jc w:val="center"/>
                    <w:rPr>
                      <w:sz w:val="20"/>
                      <w:szCs w:val="20"/>
                    </w:rPr>
                  </w:pPr>
                  <w:r>
                    <w:rPr>
                      <w:sz w:val="20"/>
                      <w:szCs w:val="20"/>
                    </w:rPr>
                    <w:t>3</w:t>
                  </w:r>
                </w:p>
              </w:tc>
              <w:tc>
                <w:tcPr>
                  <w:tcW w:w="1580" w:type="dxa"/>
                  <w:tcBorders>
                    <w:top w:val="single" w:sz="6" w:space="0" w:color="AEAEAE"/>
                    <w:left w:val="single" w:sz="6" w:space="0" w:color="AEAEAE"/>
                    <w:bottom w:val="single" w:sz="6" w:space="0" w:color="AEAEAE"/>
                    <w:right w:val="single" w:sz="6" w:space="0" w:color="AEAEAE"/>
                  </w:tcBorders>
                  <w:vAlign w:val="center"/>
                </w:tcPr>
                <w:p w14:paraId="6EFEFE62" w14:textId="77777777" w:rsidR="002D58E4" w:rsidRDefault="00F721D4">
                  <w:pPr>
                    <w:spacing w:after="0"/>
                    <w:rPr>
                      <w:sz w:val="20"/>
                      <w:szCs w:val="20"/>
                    </w:rPr>
                  </w:pPr>
                  <w:r>
                    <w:rPr>
                      <w:sz w:val="20"/>
                      <w:szCs w:val="20"/>
                    </w:rPr>
                    <w:t>All 8 patients had a positive IgG Western Blot for Lyme disease. ELISA testing was available for 6 of the</w:t>
                  </w:r>
                  <w:r>
                    <w:t xml:space="preserve"> </w:t>
                  </w:r>
                  <w:r>
                    <w:rPr>
                      <w:sz w:val="20"/>
                      <w:szCs w:val="20"/>
                    </w:rPr>
                    <w:t xml:space="preserve">8 patients. 1 patient recalled tick exposure; none recalled a tick bite or rash.  </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771E3AC" w14:textId="77777777" w:rsidR="002D58E4" w:rsidRDefault="00F721D4">
                  <w:pPr>
                    <w:spacing w:after="0"/>
                    <w:rPr>
                      <w:sz w:val="20"/>
                      <w:szCs w:val="20"/>
                    </w:rPr>
                  </w:pPr>
                  <w:r>
                    <w:rPr>
                      <w:sz w:val="20"/>
                      <w:szCs w:val="20"/>
                    </w:rPr>
                    <w:t>8 pediatric patients (mean age 9.5 years; range 3-20) with Lyme arthritis isolated in the hip were included. All patients presented with hip pain (N=8), limp (N=3), or refusal to bear weight (N=5). One of 8 patients had a fever &gt;38.5°C. Two of 8 patients had a peripheral white blood cell count &gt;12,500/mm3 and 3 of 8 patients had an erythrocyte sedimentation rate&gt;40mm/h.  Aspiration was performed on 5 patients, with a median synovial fluid WBC of 41,500/mm</w:t>
                  </w:r>
                  <w:r>
                    <w:rPr>
                      <w:sz w:val="20"/>
                      <w:szCs w:val="20"/>
                      <w:vertAlign w:val="superscript"/>
                    </w:rPr>
                    <w:t>3</w:t>
                  </w:r>
                  <w:r>
                    <w:rPr>
                      <w:sz w:val="20"/>
                      <w:szCs w:val="20"/>
                      <w:vertAlign w:val="subscript"/>
                    </w:rPr>
                    <w:t>.</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73810E0" w14:textId="77777777" w:rsidR="002D58E4" w:rsidRDefault="00F721D4">
                  <w:pPr>
                    <w:spacing w:after="0"/>
                    <w:rPr>
                      <w:sz w:val="20"/>
                      <w:szCs w:val="20"/>
                    </w:rPr>
                  </w:pPr>
                  <w:r>
                    <w:rPr>
                      <w:sz w:val="20"/>
                      <w:szCs w:val="20"/>
                    </w:rPr>
                    <w:t>Of 138 patients who underwent incision and drainage for suspected septic arthritis, 8 patients (5.8%) were diagnosed with Lyme arthritis of the hip.  Fluid or tissue culture was performed in 6 patients and was negative.</w:t>
                  </w:r>
                </w:p>
                <w:p w14:paraId="3CEC67F2" w14:textId="77777777" w:rsidR="002D58E4" w:rsidRDefault="002D58E4">
                  <w:pPr>
                    <w:spacing w:after="0"/>
                    <w:rPr>
                      <w:sz w:val="20"/>
                      <w:szCs w:val="20"/>
                    </w:rPr>
                  </w:pPr>
                </w:p>
                <w:p w14:paraId="545C9172" w14:textId="77777777" w:rsidR="002D58E4" w:rsidRDefault="00F721D4">
                  <w:pPr>
                    <w:spacing w:after="0"/>
                    <w:rPr>
                      <w:i/>
                    </w:rPr>
                  </w:pPr>
                  <w:r>
                    <w:rPr>
                      <w:i/>
                      <w:sz w:val="20"/>
                      <w:szCs w:val="20"/>
                    </w:rPr>
                    <w:t xml:space="preserve">The authors used Kocher’s criteria for evaluating the pediatric hip to differentiate transient synovitis from septic arthritis: </w:t>
                  </w:r>
                  <w:r>
                    <w:rPr>
                      <w:i/>
                    </w:rPr>
                    <w:t xml:space="preserve"> </w:t>
                  </w:r>
                </w:p>
                <w:p w14:paraId="7E4496C8" w14:textId="77777777" w:rsidR="002D58E4" w:rsidRDefault="00F721D4">
                  <w:pPr>
                    <w:numPr>
                      <w:ilvl w:val="0"/>
                      <w:numId w:val="17"/>
                    </w:numPr>
                    <w:pBdr>
                      <w:top w:val="nil"/>
                      <w:left w:val="nil"/>
                      <w:bottom w:val="nil"/>
                      <w:right w:val="nil"/>
                      <w:between w:val="nil"/>
                    </w:pBdr>
                    <w:spacing w:after="0"/>
                    <w:rPr>
                      <w:i/>
                      <w:color w:val="000000"/>
                      <w:sz w:val="20"/>
                      <w:szCs w:val="20"/>
                    </w:rPr>
                  </w:pPr>
                  <w:r>
                    <w:rPr>
                      <w:i/>
                      <w:color w:val="000000"/>
                      <w:sz w:val="20"/>
                      <w:szCs w:val="20"/>
                    </w:rPr>
                    <w:t>Fever &gt;38.5°C</w:t>
                  </w:r>
                </w:p>
                <w:p w14:paraId="285964BA" w14:textId="77777777" w:rsidR="002D58E4" w:rsidRDefault="00F721D4">
                  <w:pPr>
                    <w:numPr>
                      <w:ilvl w:val="0"/>
                      <w:numId w:val="17"/>
                    </w:numPr>
                    <w:pBdr>
                      <w:top w:val="nil"/>
                      <w:left w:val="nil"/>
                      <w:bottom w:val="nil"/>
                      <w:right w:val="nil"/>
                      <w:between w:val="nil"/>
                    </w:pBdr>
                    <w:spacing w:after="0"/>
                    <w:rPr>
                      <w:i/>
                      <w:color w:val="000000"/>
                      <w:sz w:val="20"/>
                      <w:szCs w:val="20"/>
                    </w:rPr>
                  </w:pPr>
                  <w:r>
                    <w:rPr>
                      <w:i/>
                      <w:color w:val="000000"/>
                      <w:sz w:val="20"/>
                      <w:szCs w:val="20"/>
                    </w:rPr>
                    <w:t xml:space="preserve">WBC count &gt;12 </w:t>
                  </w:r>
                </w:p>
                <w:p w14:paraId="087A06F8" w14:textId="77777777" w:rsidR="002D58E4" w:rsidRDefault="00F721D4">
                  <w:pPr>
                    <w:numPr>
                      <w:ilvl w:val="0"/>
                      <w:numId w:val="17"/>
                    </w:numPr>
                    <w:pBdr>
                      <w:top w:val="nil"/>
                      <w:left w:val="nil"/>
                      <w:bottom w:val="nil"/>
                      <w:right w:val="nil"/>
                      <w:between w:val="nil"/>
                    </w:pBdr>
                    <w:spacing w:after="0"/>
                    <w:rPr>
                      <w:i/>
                      <w:color w:val="000000"/>
                      <w:sz w:val="20"/>
                      <w:szCs w:val="20"/>
                    </w:rPr>
                  </w:pPr>
                  <w:r>
                    <w:rPr>
                      <w:i/>
                      <w:color w:val="000000"/>
                      <w:sz w:val="20"/>
                      <w:szCs w:val="20"/>
                    </w:rPr>
                    <w:t xml:space="preserve">ESR &gt;40, </w:t>
                  </w:r>
                  <w:r>
                    <w:rPr>
                      <w:i/>
                      <w:color w:val="000000"/>
                      <w:sz w:val="20"/>
                      <w:szCs w:val="20"/>
                      <w:u w:val="single"/>
                    </w:rPr>
                    <w:t>and</w:t>
                  </w:r>
                  <w:r>
                    <w:rPr>
                      <w:i/>
                      <w:color w:val="000000"/>
                      <w:sz w:val="20"/>
                      <w:szCs w:val="20"/>
                    </w:rPr>
                    <w:t xml:space="preserve"> inability to bear weight on the affected leg. </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C6A11F0" w14:textId="77777777" w:rsidR="002D58E4" w:rsidRDefault="00F721D4">
                  <w:pPr>
                    <w:spacing w:after="0"/>
                    <w:rPr>
                      <w:sz w:val="20"/>
                      <w:szCs w:val="20"/>
                    </w:rPr>
                  </w:pPr>
                  <w:r>
                    <w:rPr>
                      <w:sz w:val="20"/>
                      <w:szCs w:val="20"/>
                    </w:rPr>
                    <w:t>3 patients met 0 of 4 of Kocher’s criteria, 1 patient met 1 of 4 criteria, 3 patients met 2 of 4 criteria, and 1 patient met all 4 criteria. Three of 8 patients were treated with irrigation and debridement. All patients were treated with antibiotics for 4 weeks and were asymptomatic at last follow-up. With the exception of one case, antibiotics were started within 2-10 days of presentation.</w:t>
                  </w:r>
                </w:p>
                <w:p w14:paraId="1C3F06B9" w14:textId="77777777" w:rsidR="002D58E4" w:rsidRDefault="002D58E4">
                  <w:pPr>
                    <w:spacing w:after="0"/>
                    <w:rPr>
                      <w:sz w:val="20"/>
                      <w:szCs w:val="20"/>
                    </w:rPr>
                  </w:pPr>
                </w:p>
                <w:p w14:paraId="38F19537" w14:textId="77777777" w:rsidR="002D58E4" w:rsidRDefault="00F721D4">
                  <w:pPr>
                    <w:spacing w:after="0"/>
                    <w:rPr>
                      <w:sz w:val="20"/>
                      <w:szCs w:val="20"/>
                    </w:rPr>
                  </w:pPr>
                  <w:r>
                    <w:rPr>
                      <w:sz w:val="20"/>
                      <w:szCs w:val="20"/>
                    </w:rPr>
                    <w:t>The authors suggest that in endemic regions, Lyme arthritis should be considered in the differential diagnosis of atraumatic mono-articular hip pain associated with an effusion. Prompt diagnosis of Lyme arthritis could prevent unnecessary surgical intervention and lead to initiation of antibiotic therapy.</w:t>
                  </w:r>
                </w:p>
              </w:tc>
            </w:tr>
            <w:tr w:rsidR="002D58E4" w14:paraId="4FCA84F1" w14:textId="77777777">
              <w:trPr>
                <w:trHeight w:val="100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C370142" w14:textId="77777777" w:rsidR="002D58E4" w:rsidRDefault="00F721D4">
                  <w:pPr>
                    <w:spacing w:after="0"/>
                    <w:rPr>
                      <w:sz w:val="20"/>
                      <w:szCs w:val="20"/>
                    </w:rPr>
                  </w:pPr>
                  <w:r>
                    <w:rPr>
                      <w:sz w:val="20"/>
                      <w:szCs w:val="20"/>
                    </w:rPr>
                    <w:t>Milewski, et al., 2011</w:t>
                  </w:r>
                </w:p>
                <w:p w14:paraId="75381A37" w14:textId="77777777" w:rsidR="002D58E4" w:rsidRDefault="002D58E4">
                  <w:pPr>
                    <w:spacing w:after="0"/>
                    <w:rPr>
                      <w:sz w:val="20"/>
                      <w:szCs w:val="20"/>
                    </w:rPr>
                  </w:pPr>
                </w:p>
                <w:p w14:paraId="045296A3" w14:textId="77777777" w:rsidR="002D58E4" w:rsidRDefault="002D58E4">
                  <w:pPr>
                    <w:spacing w:after="0"/>
                    <w:rPr>
                      <w:sz w:val="20"/>
                      <w:szCs w:val="20"/>
                    </w:rPr>
                  </w:pPr>
                </w:p>
                <w:p w14:paraId="6F6998FE" w14:textId="77777777" w:rsidR="002D58E4" w:rsidRDefault="00F721D4">
                  <w:pPr>
                    <w:spacing w:after="0"/>
                    <w:rPr>
                      <w:sz w:val="20"/>
                      <w:szCs w:val="20"/>
                    </w:rPr>
                  </w:pPr>
                  <w:r>
                    <w:rPr>
                      <w:sz w:val="20"/>
                      <w:szCs w:val="20"/>
                    </w:rPr>
                    <w:t>New Haven, CT</w:t>
                  </w:r>
                </w:p>
              </w:tc>
              <w:tc>
                <w:tcPr>
                  <w:tcW w:w="1080" w:type="dxa"/>
                  <w:tcBorders>
                    <w:top w:val="single" w:sz="6" w:space="0" w:color="AEAEAE"/>
                    <w:left w:val="single" w:sz="6" w:space="0" w:color="AEAEAE"/>
                    <w:bottom w:val="single" w:sz="6" w:space="0" w:color="AEAEAE"/>
                    <w:right w:val="single" w:sz="6" w:space="0" w:color="AEAEAE"/>
                  </w:tcBorders>
                  <w:vAlign w:val="center"/>
                </w:tcPr>
                <w:p w14:paraId="411F47CD" w14:textId="77777777" w:rsidR="002D58E4" w:rsidRDefault="00F721D4">
                  <w:pPr>
                    <w:spacing w:after="0"/>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812634E" w14:textId="77777777" w:rsidR="002D58E4" w:rsidRDefault="00F721D4">
                  <w:pPr>
                    <w:spacing w:after="0"/>
                    <w:jc w:val="center"/>
                    <w:rPr>
                      <w:sz w:val="20"/>
                      <w:szCs w:val="20"/>
                    </w:rPr>
                  </w:pPr>
                  <w:r>
                    <w:rPr>
                      <w:sz w:val="20"/>
                      <w:szCs w:val="20"/>
                    </w:rPr>
                    <w:t>8</w:t>
                  </w:r>
                </w:p>
              </w:tc>
              <w:tc>
                <w:tcPr>
                  <w:tcW w:w="1580" w:type="dxa"/>
                  <w:tcBorders>
                    <w:top w:val="single" w:sz="6" w:space="0" w:color="AEAEAE"/>
                    <w:left w:val="single" w:sz="6" w:space="0" w:color="AEAEAE"/>
                    <w:bottom w:val="single" w:sz="6" w:space="0" w:color="AEAEAE"/>
                    <w:right w:val="single" w:sz="6" w:space="0" w:color="AEAEAE"/>
                  </w:tcBorders>
                  <w:vAlign w:val="center"/>
                </w:tcPr>
                <w:p w14:paraId="24788D64" w14:textId="77777777" w:rsidR="002D58E4" w:rsidRDefault="00F721D4">
                  <w:pPr>
                    <w:spacing w:after="0"/>
                    <w:rPr>
                      <w:sz w:val="20"/>
                      <w:szCs w:val="20"/>
                    </w:rPr>
                  </w:pPr>
                  <w:r>
                    <w:rPr>
                      <w:sz w:val="20"/>
                      <w:szCs w:val="20"/>
                    </w:rPr>
                    <w:t>Patients had positive</w:t>
                  </w:r>
                </w:p>
                <w:p w14:paraId="3FD4F7F1" w14:textId="77777777" w:rsidR="002D58E4" w:rsidRDefault="00F721D4">
                  <w:pPr>
                    <w:spacing w:after="0"/>
                    <w:rPr>
                      <w:sz w:val="20"/>
                      <w:szCs w:val="20"/>
                    </w:rPr>
                  </w:pPr>
                  <w:r>
                    <w:rPr>
                      <w:sz w:val="20"/>
                      <w:szCs w:val="20"/>
                    </w:rPr>
                    <w:t>Lyme serology results by ELISA, confirmed by positive IgG Western Blot.</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8389E62" w14:textId="77777777" w:rsidR="002D58E4" w:rsidRDefault="00F721D4">
                  <w:pPr>
                    <w:spacing w:after="0"/>
                    <w:rPr>
                      <w:sz w:val="20"/>
                      <w:szCs w:val="20"/>
                    </w:rPr>
                  </w:pPr>
                  <w:r>
                    <w:rPr>
                      <w:sz w:val="20"/>
                      <w:szCs w:val="20"/>
                    </w:rPr>
                    <w:t xml:space="preserve">391 pediatric (mean age 8.2 years; range 0-18) patients in an endemic area who had received synovial fluid aspiration due to joint effusion. 123 (31%) patients tested positive for Lyme disease, and 51 (13%) patients had septic arthritis. 3 patients had both Lyme disease and septic arthritis, and these patients are represented in both cohorts. 48.6% (190 of 391) patients did not have evidence of infection after aspiration. </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F20FA87" w14:textId="77777777" w:rsidR="002D58E4" w:rsidRDefault="00F721D4">
                  <w:pPr>
                    <w:spacing w:after="0"/>
                    <w:rPr>
                      <w:sz w:val="20"/>
                      <w:szCs w:val="20"/>
                    </w:rPr>
                  </w:pPr>
                  <w:r>
                    <w:rPr>
                      <w:sz w:val="20"/>
                      <w:szCs w:val="20"/>
                    </w:rPr>
                    <w:t xml:space="preserve">Serological testing for Lyme disease was performed for 249 (64%) of 391 patients. The percentage of aspirations leading to Lyme disease testing ranged from 45% in 1992 to 87% in 1996, with no significant trend. The mean incidence of Lyme arthritis was seven cases per year.  </w:t>
                  </w:r>
                </w:p>
                <w:p w14:paraId="0F380096" w14:textId="77777777" w:rsidR="002D58E4" w:rsidRDefault="002D58E4">
                  <w:pPr>
                    <w:spacing w:after="0"/>
                    <w:rPr>
                      <w:sz w:val="20"/>
                      <w:szCs w:val="20"/>
                    </w:rPr>
                  </w:pPr>
                </w:p>
                <w:p w14:paraId="727B3169" w14:textId="77777777" w:rsidR="002D58E4" w:rsidRDefault="00F721D4">
                  <w:pPr>
                    <w:spacing w:after="0"/>
                    <w:rPr>
                      <w:sz w:val="20"/>
                      <w:szCs w:val="20"/>
                    </w:rPr>
                  </w:pPr>
                  <w:r>
                    <w:rPr>
                      <w:sz w:val="20"/>
                      <w:szCs w:val="20"/>
                    </w:rPr>
                    <w:t>Regardless of aspiration, the prevalence of Lyme arthritis among children with swollen knees was 45%.</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B238ED0" w14:textId="77777777" w:rsidR="002D58E4" w:rsidRDefault="00F721D4">
                  <w:pPr>
                    <w:spacing w:after="0"/>
                    <w:rPr>
                      <w:sz w:val="20"/>
                      <w:szCs w:val="20"/>
                    </w:rPr>
                  </w:pPr>
                  <w:r>
                    <w:rPr>
                      <w:sz w:val="20"/>
                      <w:szCs w:val="20"/>
                    </w:rPr>
                    <w:t>“There were significantly more children with Lyme arthritis than septic arthritis (123 compared with fifty-one; p &lt;0.001).”</w:t>
                  </w:r>
                </w:p>
                <w:p w14:paraId="1E2AC391" w14:textId="77777777" w:rsidR="002D58E4" w:rsidRDefault="002D58E4">
                  <w:pPr>
                    <w:spacing w:after="0"/>
                    <w:rPr>
                      <w:sz w:val="20"/>
                      <w:szCs w:val="20"/>
                    </w:rPr>
                  </w:pPr>
                </w:p>
                <w:p w14:paraId="699D4AD8" w14:textId="77777777" w:rsidR="002D58E4" w:rsidRDefault="00F721D4">
                  <w:pPr>
                    <w:spacing w:after="0"/>
                    <w:rPr>
                      <w:sz w:val="20"/>
                      <w:szCs w:val="20"/>
                    </w:rPr>
                  </w:pPr>
                  <w:r>
                    <w:rPr>
                      <w:sz w:val="20"/>
                      <w:szCs w:val="20"/>
                    </w:rPr>
                    <w:t xml:space="preserve">Patients with septic arthritis were significantly more likely to present with fever and had significantly higher white blood cell counts in synovial fluid.  A multiple regression analysis isolated “refusal to bear weight” as the strongest predictor for diagnosis of septic arthritis. Patients with Lyme arthritis were more likely to have knee involvement. </w:t>
                  </w:r>
                </w:p>
                <w:p w14:paraId="524D3103" w14:textId="77777777" w:rsidR="002D58E4" w:rsidRDefault="002D58E4">
                  <w:pPr>
                    <w:spacing w:after="0"/>
                    <w:rPr>
                      <w:sz w:val="20"/>
                      <w:szCs w:val="20"/>
                    </w:rPr>
                  </w:pPr>
                </w:p>
                <w:p w14:paraId="765E132F" w14:textId="77777777" w:rsidR="002D58E4" w:rsidRDefault="00F721D4">
                  <w:pPr>
                    <w:spacing w:after="0"/>
                    <w:rPr>
                      <w:sz w:val="20"/>
                      <w:szCs w:val="20"/>
                    </w:rPr>
                  </w:pPr>
                  <w:r>
                    <w:rPr>
                      <w:sz w:val="20"/>
                      <w:szCs w:val="20"/>
                    </w:rPr>
                    <w:t>The authors concluded that serologic testing and synovial fluid analysis is essential in early diagnosis of Lyme arthritis in endemic areas. They note that prompt and accurate diagnosis of Lyme arthritis could prevent unnecessary surgical intervention in patients with joint effusion.</w:t>
                  </w:r>
                </w:p>
                <w:p w14:paraId="1212DCC6" w14:textId="77777777" w:rsidR="002D58E4" w:rsidRDefault="002D58E4">
                  <w:pPr>
                    <w:spacing w:after="0"/>
                    <w:rPr>
                      <w:sz w:val="20"/>
                      <w:szCs w:val="20"/>
                    </w:rPr>
                  </w:pPr>
                </w:p>
                <w:p w14:paraId="78AC6494" w14:textId="77777777" w:rsidR="002D58E4" w:rsidRDefault="002D58E4">
                  <w:pPr>
                    <w:spacing w:after="0"/>
                    <w:rPr>
                      <w:sz w:val="20"/>
                      <w:szCs w:val="20"/>
                    </w:rPr>
                  </w:pPr>
                </w:p>
                <w:p w14:paraId="089B7B01" w14:textId="77777777" w:rsidR="002D58E4" w:rsidRDefault="002D58E4">
                  <w:pPr>
                    <w:spacing w:after="0"/>
                    <w:rPr>
                      <w:sz w:val="20"/>
                      <w:szCs w:val="20"/>
                    </w:rPr>
                  </w:pPr>
                </w:p>
              </w:tc>
            </w:tr>
            <w:tr w:rsidR="002D58E4" w14:paraId="78D4B3CE" w14:textId="77777777">
              <w:trPr>
                <w:trHeight w:val="24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75AF881" w14:textId="77777777" w:rsidR="002D58E4" w:rsidRPr="002914A2" w:rsidRDefault="00F721D4">
                  <w:pPr>
                    <w:spacing w:after="0"/>
                    <w:rPr>
                      <w:sz w:val="20"/>
                      <w:szCs w:val="20"/>
                      <w:lang w:val="fr-CA"/>
                    </w:rPr>
                  </w:pPr>
                  <w:r w:rsidRPr="002914A2">
                    <w:rPr>
                      <w:sz w:val="20"/>
                      <w:szCs w:val="20"/>
                      <w:lang w:val="fr-CA"/>
                    </w:rPr>
                    <w:t>Deanehan, et al., 2013</w:t>
                  </w:r>
                </w:p>
                <w:p w14:paraId="67FC365E" w14:textId="77777777" w:rsidR="002D58E4" w:rsidRPr="002914A2" w:rsidRDefault="002D58E4">
                  <w:pPr>
                    <w:spacing w:after="0"/>
                    <w:rPr>
                      <w:sz w:val="20"/>
                      <w:szCs w:val="20"/>
                      <w:lang w:val="fr-CA"/>
                    </w:rPr>
                  </w:pPr>
                </w:p>
                <w:p w14:paraId="51BE9541" w14:textId="77777777" w:rsidR="002D58E4" w:rsidRPr="002914A2" w:rsidRDefault="002D58E4">
                  <w:pPr>
                    <w:spacing w:after="0"/>
                    <w:rPr>
                      <w:sz w:val="20"/>
                      <w:szCs w:val="20"/>
                      <w:lang w:val="fr-CA"/>
                    </w:rPr>
                  </w:pPr>
                </w:p>
                <w:p w14:paraId="1770C80A" w14:textId="77777777" w:rsidR="002D58E4" w:rsidRPr="002914A2" w:rsidRDefault="00F721D4">
                  <w:pPr>
                    <w:spacing w:after="0"/>
                    <w:rPr>
                      <w:sz w:val="20"/>
                      <w:szCs w:val="20"/>
                      <w:lang w:val="fr-CA"/>
                    </w:rPr>
                  </w:pPr>
                  <w:r w:rsidRPr="002914A2">
                    <w:rPr>
                      <w:sz w:val="20"/>
                      <w:szCs w:val="20"/>
                      <w:lang w:val="fr-CA"/>
                    </w:rPr>
                    <w:t>Boston, MA</w:t>
                  </w:r>
                </w:p>
              </w:tc>
              <w:tc>
                <w:tcPr>
                  <w:tcW w:w="1080" w:type="dxa"/>
                  <w:tcBorders>
                    <w:top w:val="single" w:sz="6" w:space="0" w:color="AEAEAE"/>
                    <w:left w:val="single" w:sz="6" w:space="0" w:color="AEAEAE"/>
                    <w:bottom w:val="single" w:sz="6" w:space="0" w:color="AEAEAE"/>
                    <w:right w:val="single" w:sz="6" w:space="0" w:color="AEAEAE"/>
                  </w:tcBorders>
                  <w:vAlign w:val="center"/>
                </w:tcPr>
                <w:p w14:paraId="5CB6F0E9" w14:textId="77777777" w:rsidR="002D58E4" w:rsidRDefault="00F721D4">
                  <w:pPr>
                    <w:spacing w:after="0"/>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71450D35" w14:textId="77777777" w:rsidR="002D58E4" w:rsidRDefault="00F721D4">
                  <w:pPr>
                    <w:spacing w:after="0"/>
                    <w:jc w:val="center"/>
                    <w:rPr>
                      <w:sz w:val="20"/>
                      <w:szCs w:val="20"/>
                    </w:rPr>
                  </w:pPr>
                  <w:r>
                    <w:rPr>
                      <w:sz w:val="20"/>
                      <w:szCs w:val="20"/>
                    </w:rPr>
                    <w:t>8</w:t>
                  </w:r>
                </w:p>
              </w:tc>
              <w:tc>
                <w:tcPr>
                  <w:tcW w:w="1580" w:type="dxa"/>
                  <w:tcBorders>
                    <w:top w:val="single" w:sz="6" w:space="0" w:color="AEAEAE"/>
                    <w:left w:val="single" w:sz="6" w:space="0" w:color="AEAEAE"/>
                    <w:bottom w:val="single" w:sz="6" w:space="0" w:color="AEAEAE"/>
                    <w:right w:val="single" w:sz="6" w:space="0" w:color="AEAEAE"/>
                  </w:tcBorders>
                  <w:vAlign w:val="center"/>
                </w:tcPr>
                <w:p w14:paraId="0118A00C" w14:textId="77777777" w:rsidR="002D58E4" w:rsidRDefault="00F721D4">
                  <w:pPr>
                    <w:spacing w:after="0"/>
                    <w:rPr>
                      <w:sz w:val="20"/>
                      <w:szCs w:val="20"/>
                    </w:rPr>
                  </w:pPr>
                  <w:r>
                    <w:rPr>
                      <w:sz w:val="20"/>
                      <w:szCs w:val="20"/>
                    </w:rPr>
                    <w:t>Patients had a history of a physician-documented erythema migrans rash or clinical manifestations of Lyme disease with positive Lyme serology, defined as a positive IgG Western blot.</w:t>
                  </w:r>
                </w:p>
                <w:p w14:paraId="28C08E27" w14:textId="77777777" w:rsidR="002D58E4" w:rsidRDefault="00F721D4">
                  <w:pPr>
                    <w:spacing w:after="0"/>
                    <w:rPr>
                      <w:sz w:val="20"/>
                      <w:szCs w:val="20"/>
                    </w:rPr>
                  </w:pPr>
                  <w:r>
                    <w:rPr>
                      <w:sz w:val="20"/>
                      <w:szCs w:val="20"/>
                    </w:rPr>
                    <w:t>.</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E1A44EF" w14:textId="77777777" w:rsidR="002D58E4" w:rsidRDefault="00F721D4">
                  <w:pPr>
                    <w:spacing w:after="0"/>
                    <w:rPr>
                      <w:sz w:val="20"/>
                      <w:szCs w:val="20"/>
                    </w:rPr>
                  </w:pPr>
                  <w:r>
                    <w:rPr>
                      <w:sz w:val="20"/>
                      <w:szCs w:val="20"/>
                    </w:rPr>
                    <w:t xml:space="preserve">474† pediatric (median age 7.4 years; IQR 4.6-11.3) patients with knee mono-arthritis who were evaluated for Lyme arthritis, septic knee arthritis, or another form of arthritis. Patients lived in a Lyme-endemic area. 35% (84 of 238) of Lyme arthritis patients versus 77% (10 of 13) of septic arthritis patients had a history of fever; 19% (40 of 216) of patients with “other” cause of arthritis had a history of fever. 18% (30 of 168) of patients with Lyme arthritis recalled a tick bite. None of the patients with septic arthritis and 8% (10 of 125) of patients with “other” arthritis recalled a tick bite. The median duration of symptoms for all groups of patients was 3 days. </w:t>
                  </w:r>
                </w:p>
                <w:p w14:paraId="50D37734" w14:textId="77777777" w:rsidR="002D58E4" w:rsidRDefault="002D58E4">
                  <w:pPr>
                    <w:spacing w:after="0"/>
                    <w:rPr>
                      <w:sz w:val="20"/>
                      <w:szCs w:val="20"/>
                    </w:rPr>
                  </w:pPr>
                </w:p>
                <w:p w14:paraId="5B90D730" w14:textId="77777777" w:rsidR="002D58E4" w:rsidRDefault="00F721D4">
                  <w:pPr>
                    <w:spacing w:after="0"/>
                    <w:rPr>
                      <w:sz w:val="20"/>
                      <w:szCs w:val="20"/>
                    </w:rPr>
                  </w:pPr>
                  <w:r>
                    <w:rPr>
                      <w:sz w:val="20"/>
                      <w:szCs w:val="20"/>
                    </w:rPr>
                    <w:t>†474 is the number of patients in the “derivation” cohort. The “validation” cohort (N=199) was made up of a portion of patients involved in the 2011 study by Milewski. Some were excluded due to diagnostic restrictions.</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E9C2959" w14:textId="77777777" w:rsidR="002D58E4" w:rsidRDefault="00F721D4">
                  <w:pPr>
                    <w:spacing w:after="0"/>
                    <w:rPr>
                      <w:sz w:val="20"/>
                      <w:szCs w:val="20"/>
                    </w:rPr>
                  </w:pPr>
                  <w:r>
                    <w:rPr>
                      <w:sz w:val="20"/>
                      <w:szCs w:val="20"/>
                    </w:rPr>
                    <w:t xml:space="preserve">2.7% (13 of 474) of patients were diagnosed with septic arthritis. 50.4% (239 of 474) of patients were diagnosed with Lyme arthritis. 46.8% (222 of 474) of patients were diagnosed with another type of arthritis. </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7EB1E2A" w14:textId="77777777" w:rsidR="002D58E4" w:rsidRDefault="00F721D4">
                  <w:pPr>
                    <w:spacing w:after="0"/>
                  </w:pPr>
                  <w:r>
                    <w:rPr>
                      <w:sz w:val="20"/>
                      <w:szCs w:val="20"/>
                    </w:rPr>
                    <w:t xml:space="preserve">The proportion of patients undergoing synovial fluid aspiration differed by arthritis type. 100% of septic arthritis patients underwent synovial fluid aspiration, whereas only 64% and 32% of Lyme arthritis and “other” arthritis patients underwent the procedure, respectively (p&lt;0.001). Patients with septic arthritis had higher ESR and CRP levels than patients with Lyme arthritis or “other” arthritis. </w:t>
                  </w:r>
                  <w:r>
                    <w:t xml:space="preserve"> </w:t>
                  </w:r>
                </w:p>
                <w:p w14:paraId="01F0FB24" w14:textId="77777777" w:rsidR="002D58E4" w:rsidRDefault="002D58E4">
                  <w:pPr>
                    <w:spacing w:after="0"/>
                  </w:pPr>
                </w:p>
                <w:p w14:paraId="14DF4B4E" w14:textId="77777777" w:rsidR="002D58E4" w:rsidRDefault="00F721D4">
                  <w:pPr>
                    <w:spacing w:after="0"/>
                    <w:rPr>
                      <w:sz w:val="20"/>
                      <w:szCs w:val="20"/>
                    </w:rPr>
                  </w:pPr>
                  <w:r>
                    <w:rPr>
                      <w:sz w:val="20"/>
                      <w:szCs w:val="20"/>
                    </w:rPr>
                    <w:t xml:space="preserve">In Lyme endemic areas, a diagnosis of Lyme arthritis is much more likely than a diagnosis of septic arthritis.  </w:t>
                  </w:r>
                </w:p>
                <w:p w14:paraId="55589DCB" w14:textId="77777777" w:rsidR="002D58E4" w:rsidRDefault="002D58E4">
                  <w:pPr>
                    <w:spacing w:after="0"/>
                    <w:rPr>
                      <w:sz w:val="20"/>
                      <w:szCs w:val="20"/>
                    </w:rPr>
                  </w:pPr>
                </w:p>
                <w:p w14:paraId="43AA56E7" w14:textId="77777777" w:rsidR="002D58E4" w:rsidRDefault="00F721D4">
                  <w:pPr>
                    <w:spacing w:after="0"/>
                    <w:rPr>
                      <w:sz w:val="20"/>
                      <w:szCs w:val="20"/>
                    </w:rPr>
                  </w:pPr>
                  <w:r>
                    <w:rPr>
                      <w:sz w:val="20"/>
                      <w:szCs w:val="20"/>
                    </w:rPr>
                    <w:t>Based on a clinical prediction model designed by the authors, the conclusion was presented that children with absolute neutrophil count of &lt;10*10</w:t>
                  </w:r>
                  <w:r>
                    <w:rPr>
                      <w:sz w:val="20"/>
                      <w:szCs w:val="20"/>
                      <w:vertAlign w:val="superscript"/>
                    </w:rPr>
                    <w:t>3</w:t>
                  </w:r>
                  <w:r>
                    <w:rPr>
                      <w:sz w:val="20"/>
                      <w:szCs w:val="20"/>
                    </w:rPr>
                    <w:t xml:space="preserve"> cells per mm</w:t>
                  </w:r>
                  <w:r>
                    <w:rPr>
                      <w:sz w:val="20"/>
                      <w:szCs w:val="20"/>
                      <w:vertAlign w:val="superscript"/>
                    </w:rPr>
                    <w:t>3</w:t>
                  </w:r>
                  <w:r>
                    <w:rPr>
                      <w:sz w:val="20"/>
                      <w:szCs w:val="20"/>
                    </w:rPr>
                    <w:t xml:space="preserve"> and ESR&lt;40 mm/hour are at low risk for septic arthritis and may not require diagnostic synovial aspiration. </w:t>
                  </w:r>
                </w:p>
              </w:tc>
            </w:tr>
            <w:tr w:rsidR="002D58E4" w14:paraId="4DC516B1" w14:textId="77777777">
              <w:trPr>
                <w:trHeight w:val="2139"/>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302E884" w14:textId="77777777" w:rsidR="002D58E4" w:rsidRDefault="00F721D4">
                  <w:pPr>
                    <w:spacing w:after="0"/>
                    <w:rPr>
                      <w:sz w:val="20"/>
                      <w:szCs w:val="20"/>
                    </w:rPr>
                  </w:pPr>
                  <w:r>
                    <w:rPr>
                      <w:sz w:val="20"/>
                      <w:szCs w:val="20"/>
                    </w:rPr>
                    <w:t>Aiyer, et al., 2014</w:t>
                  </w:r>
                </w:p>
                <w:p w14:paraId="719EBB09" w14:textId="77777777" w:rsidR="002D58E4" w:rsidRDefault="002D58E4">
                  <w:pPr>
                    <w:spacing w:after="0"/>
                    <w:rPr>
                      <w:sz w:val="20"/>
                      <w:szCs w:val="20"/>
                    </w:rPr>
                  </w:pPr>
                </w:p>
                <w:p w14:paraId="717A331D" w14:textId="77777777" w:rsidR="002D58E4" w:rsidRDefault="00F721D4">
                  <w:pPr>
                    <w:spacing w:after="0"/>
                    <w:rPr>
                      <w:sz w:val="20"/>
                      <w:szCs w:val="20"/>
                    </w:rPr>
                  </w:pPr>
                  <w:r>
                    <w:rPr>
                      <w:sz w:val="20"/>
                      <w:szCs w:val="20"/>
                    </w:rPr>
                    <w:t>Hershey, PA</w:t>
                  </w:r>
                </w:p>
              </w:tc>
              <w:tc>
                <w:tcPr>
                  <w:tcW w:w="1080" w:type="dxa"/>
                  <w:tcBorders>
                    <w:top w:val="single" w:sz="6" w:space="0" w:color="AEAEAE"/>
                    <w:left w:val="single" w:sz="6" w:space="0" w:color="AEAEAE"/>
                    <w:bottom w:val="single" w:sz="6" w:space="0" w:color="AEAEAE"/>
                    <w:right w:val="single" w:sz="6" w:space="0" w:color="AEAEAE"/>
                  </w:tcBorders>
                  <w:vAlign w:val="center"/>
                </w:tcPr>
                <w:p w14:paraId="7807E0A2" w14:textId="77777777" w:rsidR="002D58E4" w:rsidRDefault="00F721D4">
                  <w:pPr>
                    <w:spacing w:after="0"/>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141A5DA" w14:textId="77777777" w:rsidR="002D58E4" w:rsidRDefault="00F721D4">
                  <w:pPr>
                    <w:spacing w:after="0"/>
                    <w:jc w:val="center"/>
                    <w:rPr>
                      <w:sz w:val="20"/>
                      <w:szCs w:val="20"/>
                    </w:rPr>
                  </w:pPr>
                  <w:r>
                    <w:rPr>
                      <w:sz w:val="20"/>
                      <w:szCs w:val="20"/>
                    </w:rPr>
                    <w:t>3</w:t>
                  </w:r>
                </w:p>
              </w:tc>
              <w:tc>
                <w:tcPr>
                  <w:tcW w:w="1580" w:type="dxa"/>
                  <w:tcBorders>
                    <w:top w:val="single" w:sz="6" w:space="0" w:color="AEAEAE"/>
                    <w:left w:val="single" w:sz="6" w:space="0" w:color="AEAEAE"/>
                    <w:bottom w:val="single" w:sz="6" w:space="0" w:color="AEAEAE"/>
                    <w:right w:val="single" w:sz="6" w:space="0" w:color="AEAEAE"/>
                  </w:tcBorders>
                  <w:vAlign w:val="center"/>
                </w:tcPr>
                <w:p w14:paraId="2E8497E7" w14:textId="77777777" w:rsidR="002D58E4" w:rsidRDefault="00F721D4">
                  <w:pPr>
                    <w:spacing w:after="0"/>
                    <w:rPr>
                      <w:sz w:val="20"/>
                      <w:szCs w:val="20"/>
                    </w:rPr>
                  </w:pPr>
                  <w:r>
                    <w:rPr>
                      <w:sz w:val="20"/>
                      <w:szCs w:val="20"/>
                    </w:rPr>
                    <w:t xml:space="preserve">Records of 155 patients with serologically confirmed Lyme arthritis, confirmed by antibody titers against </w:t>
                  </w:r>
                  <w:r>
                    <w:rPr>
                      <w:i/>
                      <w:sz w:val="20"/>
                      <w:szCs w:val="20"/>
                    </w:rPr>
                    <w:t>B. burgdorferi</w:t>
                  </w:r>
                  <w:r>
                    <w:rPr>
                      <w:sz w:val="20"/>
                      <w:szCs w:val="20"/>
                    </w:rPr>
                    <w:t xml:space="preserve"> by IgG Western Blot were reviewed. Some patients were also tested by ELISA.  </w:t>
                  </w:r>
                </w:p>
                <w:p w14:paraId="2FC44E7D" w14:textId="77777777" w:rsidR="002D58E4" w:rsidRDefault="002D58E4">
                  <w:pPr>
                    <w:spacing w:after="0"/>
                    <w:rPr>
                      <w:sz w:val="20"/>
                      <w:szCs w:val="20"/>
                    </w:rPr>
                  </w:pPr>
                </w:p>
                <w:p w14:paraId="1903D586" w14:textId="77777777" w:rsidR="002D58E4" w:rsidRDefault="00F721D4">
                  <w:pPr>
                    <w:spacing w:after="0"/>
                    <w:rPr>
                      <w:sz w:val="20"/>
                      <w:szCs w:val="20"/>
                    </w:rPr>
                  </w:pPr>
                  <w:r>
                    <w:rPr>
                      <w:sz w:val="20"/>
                      <w:szCs w:val="20"/>
                    </w:rPr>
                    <w:t xml:space="preserve">Six patients of 39 patients with Lyme arthritis of the ankle (15%) recalled a tick bite, and 11 (28%) recalled a rash. </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3232D6D" w14:textId="77777777" w:rsidR="002D58E4" w:rsidRDefault="00F721D4">
                  <w:pPr>
                    <w:spacing w:after="0"/>
                    <w:rPr>
                      <w:sz w:val="20"/>
                      <w:szCs w:val="20"/>
                    </w:rPr>
                  </w:pPr>
                  <w:r>
                    <w:rPr>
                      <w:sz w:val="20"/>
                      <w:szCs w:val="20"/>
                    </w:rPr>
                    <w:t xml:space="preserve">98.7% (153 of 155) of patients reported involvement in more than one joint. </w:t>
                  </w:r>
                </w:p>
                <w:p w14:paraId="37928DD5" w14:textId="77777777" w:rsidR="002D58E4" w:rsidRDefault="002D58E4">
                  <w:pPr>
                    <w:spacing w:after="0"/>
                    <w:rPr>
                      <w:sz w:val="20"/>
                      <w:szCs w:val="20"/>
                    </w:rPr>
                  </w:pPr>
                </w:p>
                <w:p w14:paraId="0C57F90D" w14:textId="77777777" w:rsidR="002D58E4" w:rsidRDefault="00F721D4">
                  <w:pPr>
                    <w:spacing w:after="0"/>
                    <w:rPr>
                      <w:sz w:val="20"/>
                      <w:szCs w:val="20"/>
                    </w:rPr>
                  </w:pPr>
                  <w:r>
                    <w:rPr>
                      <w:sz w:val="20"/>
                      <w:szCs w:val="20"/>
                    </w:rPr>
                    <w:t xml:space="preserve">39 of 155 pediatric patients (25.2%) with Lyme arthritis were diagnosed with Lyme arthritis of the ankle; only 2 of 39 (5.1%) patients reported isolated ankle involvement. 125 of 155 patients (80.6%) reported knee involvement. 26 patients (16.8%) reported hip involvement.  </w:t>
                  </w:r>
                </w:p>
                <w:p w14:paraId="25FA24F1" w14:textId="77777777" w:rsidR="002D58E4" w:rsidRDefault="002D58E4">
                  <w:pPr>
                    <w:spacing w:after="0"/>
                    <w:rPr>
                      <w:sz w:val="20"/>
                      <w:szCs w:val="20"/>
                    </w:rPr>
                  </w:pPr>
                </w:p>
                <w:p w14:paraId="0867F464" w14:textId="77777777" w:rsidR="002D58E4" w:rsidRDefault="00F721D4">
                  <w:pPr>
                    <w:spacing w:after="0"/>
                    <w:rPr>
                      <w:sz w:val="20"/>
                      <w:szCs w:val="20"/>
                    </w:rPr>
                  </w:pPr>
                  <w:r>
                    <w:rPr>
                      <w:sz w:val="20"/>
                      <w:szCs w:val="20"/>
                    </w:rPr>
                    <w:t>Additional laboratory information gathered from patients included: ESR, white blood cell count (WBC), and blood and joint cultures (if available).</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71754B5" w14:textId="77777777" w:rsidR="002D58E4" w:rsidRDefault="00F721D4">
                  <w:pPr>
                    <w:spacing w:after="0"/>
                    <w:rPr>
                      <w:sz w:val="20"/>
                      <w:szCs w:val="20"/>
                    </w:rPr>
                  </w:pPr>
                  <w:r>
                    <w:rPr>
                      <w:sz w:val="20"/>
                      <w:szCs w:val="20"/>
                    </w:rPr>
                    <w:t xml:space="preserve"> All patients in this study were confirmed to have Lyme arthritis at study onset. </w:t>
                  </w:r>
                </w:p>
                <w:p w14:paraId="751955F4" w14:textId="77777777" w:rsidR="002D58E4" w:rsidRDefault="002D58E4">
                  <w:pPr>
                    <w:spacing w:after="0"/>
                    <w:rPr>
                      <w:sz w:val="20"/>
                      <w:szCs w:val="20"/>
                    </w:rPr>
                  </w:pPr>
                </w:p>
                <w:p w14:paraId="6803664D" w14:textId="77777777" w:rsidR="002D58E4" w:rsidRDefault="00F721D4">
                  <w:pPr>
                    <w:spacing w:after="0"/>
                    <w:rPr>
                      <w:i/>
                    </w:rPr>
                  </w:pPr>
                  <w:r>
                    <w:rPr>
                      <w:i/>
                      <w:sz w:val="20"/>
                      <w:szCs w:val="20"/>
                    </w:rPr>
                    <w:t xml:space="preserve">The authors used Kocher’s criteria for evaluating the pediatric hip to differentiate transient synovitis from septic arthritis: </w:t>
                  </w:r>
                  <w:r>
                    <w:rPr>
                      <w:i/>
                    </w:rPr>
                    <w:t xml:space="preserve"> </w:t>
                  </w:r>
                </w:p>
                <w:p w14:paraId="65789121" w14:textId="77777777" w:rsidR="002D58E4" w:rsidRDefault="00F721D4">
                  <w:pPr>
                    <w:numPr>
                      <w:ilvl w:val="0"/>
                      <w:numId w:val="17"/>
                    </w:numPr>
                    <w:pBdr>
                      <w:top w:val="nil"/>
                      <w:left w:val="nil"/>
                      <w:bottom w:val="nil"/>
                      <w:right w:val="nil"/>
                      <w:between w:val="nil"/>
                    </w:pBdr>
                    <w:spacing w:after="0"/>
                    <w:rPr>
                      <w:i/>
                      <w:color w:val="000000"/>
                      <w:sz w:val="20"/>
                      <w:szCs w:val="20"/>
                    </w:rPr>
                  </w:pPr>
                  <w:r>
                    <w:rPr>
                      <w:i/>
                      <w:color w:val="000000"/>
                      <w:sz w:val="20"/>
                      <w:szCs w:val="20"/>
                    </w:rPr>
                    <w:t>Fever &gt;38.5°C</w:t>
                  </w:r>
                </w:p>
                <w:p w14:paraId="5D64942D" w14:textId="77777777" w:rsidR="002D58E4" w:rsidRDefault="00F721D4">
                  <w:pPr>
                    <w:numPr>
                      <w:ilvl w:val="0"/>
                      <w:numId w:val="17"/>
                    </w:numPr>
                    <w:pBdr>
                      <w:top w:val="nil"/>
                      <w:left w:val="nil"/>
                      <w:bottom w:val="nil"/>
                      <w:right w:val="nil"/>
                      <w:between w:val="nil"/>
                    </w:pBdr>
                    <w:spacing w:after="0"/>
                    <w:rPr>
                      <w:i/>
                      <w:color w:val="000000"/>
                      <w:sz w:val="20"/>
                      <w:szCs w:val="20"/>
                    </w:rPr>
                  </w:pPr>
                  <w:r>
                    <w:rPr>
                      <w:i/>
                      <w:color w:val="000000"/>
                      <w:sz w:val="20"/>
                      <w:szCs w:val="20"/>
                    </w:rPr>
                    <w:t xml:space="preserve">WBC count &gt;12 </w:t>
                  </w:r>
                </w:p>
                <w:p w14:paraId="76955F7B" w14:textId="77777777" w:rsidR="002D58E4" w:rsidRDefault="00F721D4">
                  <w:pPr>
                    <w:numPr>
                      <w:ilvl w:val="0"/>
                      <w:numId w:val="17"/>
                    </w:numPr>
                    <w:pBdr>
                      <w:top w:val="nil"/>
                      <w:left w:val="nil"/>
                      <w:bottom w:val="nil"/>
                      <w:right w:val="nil"/>
                      <w:between w:val="nil"/>
                    </w:pBdr>
                    <w:spacing w:after="0"/>
                    <w:rPr>
                      <w:i/>
                      <w:color w:val="000000"/>
                      <w:sz w:val="20"/>
                      <w:szCs w:val="20"/>
                    </w:rPr>
                  </w:pPr>
                  <w:r>
                    <w:rPr>
                      <w:i/>
                      <w:color w:val="000000"/>
                      <w:sz w:val="20"/>
                      <w:szCs w:val="20"/>
                    </w:rPr>
                    <w:t xml:space="preserve">ESR &gt;40, </w:t>
                  </w:r>
                  <w:r>
                    <w:rPr>
                      <w:i/>
                      <w:color w:val="000000"/>
                      <w:sz w:val="20"/>
                      <w:szCs w:val="20"/>
                      <w:u w:val="single"/>
                    </w:rPr>
                    <w:t>and</w:t>
                  </w:r>
                </w:p>
                <w:p w14:paraId="5B7CE96B" w14:textId="77777777" w:rsidR="002D58E4" w:rsidRDefault="00F721D4">
                  <w:pPr>
                    <w:numPr>
                      <w:ilvl w:val="0"/>
                      <w:numId w:val="17"/>
                    </w:numPr>
                    <w:pBdr>
                      <w:top w:val="nil"/>
                      <w:left w:val="nil"/>
                      <w:bottom w:val="nil"/>
                      <w:right w:val="nil"/>
                      <w:between w:val="nil"/>
                    </w:pBdr>
                    <w:spacing w:after="0"/>
                    <w:rPr>
                      <w:i/>
                      <w:color w:val="000000"/>
                      <w:sz w:val="20"/>
                      <w:szCs w:val="20"/>
                    </w:rPr>
                  </w:pPr>
                  <w:r>
                    <w:rPr>
                      <w:i/>
                      <w:color w:val="000000"/>
                      <w:sz w:val="20"/>
                      <w:szCs w:val="20"/>
                    </w:rPr>
                    <w:t xml:space="preserve">Inability to bear weight on the affected leg. </w:t>
                  </w:r>
                </w:p>
                <w:p w14:paraId="621391E6" w14:textId="77777777" w:rsidR="002D58E4" w:rsidRDefault="002D58E4">
                  <w:pPr>
                    <w:pBdr>
                      <w:top w:val="nil"/>
                      <w:left w:val="nil"/>
                      <w:bottom w:val="nil"/>
                      <w:right w:val="nil"/>
                      <w:between w:val="nil"/>
                    </w:pBdr>
                    <w:spacing w:after="0"/>
                    <w:ind w:left="720" w:hanging="720"/>
                    <w:rPr>
                      <w:i/>
                      <w:color w:val="000000"/>
                      <w:sz w:val="20"/>
                      <w:szCs w:val="20"/>
                    </w:rPr>
                  </w:pPr>
                </w:p>
                <w:p w14:paraId="23D11134" w14:textId="77777777" w:rsidR="002D58E4" w:rsidRDefault="00F721D4">
                  <w:pPr>
                    <w:spacing w:after="0"/>
                    <w:rPr>
                      <w:sz w:val="20"/>
                      <w:szCs w:val="20"/>
                    </w:rPr>
                  </w:pPr>
                  <w:r>
                    <w:rPr>
                      <w:i/>
                      <w:sz w:val="20"/>
                      <w:szCs w:val="20"/>
                    </w:rPr>
                    <w:t>(4 of 4 criteria meaning a nearly 99% chance of septic arthritis).</w:t>
                  </w:r>
                  <w:r>
                    <w:rPr>
                      <w:sz w:val="20"/>
                      <w:szCs w:val="20"/>
                    </w:rPr>
                    <w:t xml:space="preserve"> </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68DB9E8" w14:textId="77777777" w:rsidR="002D58E4" w:rsidRDefault="00F721D4">
                  <w:pPr>
                    <w:spacing w:after="0"/>
                    <w:rPr>
                      <w:sz w:val="20"/>
                      <w:szCs w:val="20"/>
                    </w:rPr>
                  </w:pPr>
                  <w:r>
                    <w:rPr>
                      <w:sz w:val="20"/>
                      <w:szCs w:val="20"/>
                    </w:rPr>
                    <w:t>Only three patients were found to have a fever &gt;38.5°C at the time of presentation. Ten patients (10 of 39, 25.6%) had a WBC &gt;12. Only15 patients (15 of 39, 38.5%) were found to have ESR values &gt;40. Only 9 of 39 (22%) had pain with passive range of motion.</w:t>
                  </w:r>
                </w:p>
                <w:p w14:paraId="2621ADBC" w14:textId="77777777" w:rsidR="002D58E4" w:rsidRDefault="002D58E4">
                  <w:pPr>
                    <w:spacing w:after="0"/>
                    <w:rPr>
                      <w:sz w:val="20"/>
                      <w:szCs w:val="20"/>
                    </w:rPr>
                  </w:pPr>
                </w:p>
                <w:p w14:paraId="7512BE77" w14:textId="77777777" w:rsidR="002D58E4" w:rsidRDefault="00F721D4">
                  <w:pPr>
                    <w:spacing w:after="0"/>
                    <w:rPr>
                      <w:sz w:val="20"/>
                      <w:szCs w:val="20"/>
                    </w:rPr>
                  </w:pPr>
                  <w:r>
                    <w:rPr>
                      <w:sz w:val="20"/>
                      <w:szCs w:val="20"/>
                    </w:rPr>
                    <w:t>All patients were treated with antibiotics. IV antibiotics were started in the event that differentiation between septic arthritis and Lyme arthritis was difficult (5 of 39 patients). One patient underwent a surgical irrigation and debridement procedure while waiting for Lyme serology results.</w:t>
                  </w:r>
                </w:p>
                <w:p w14:paraId="6B21CBC5" w14:textId="77777777" w:rsidR="002D58E4" w:rsidRDefault="002D58E4">
                  <w:pPr>
                    <w:spacing w:after="0"/>
                    <w:rPr>
                      <w:sz w:val="20"/>
                      <w:szCs w:val="20"/>
                    </w:rPr>
                  </w:pPr>
                </w:p>
                <w:p w14:paraId="0A933E2E" w14:textId="77777777" w:rsidR="002D58E4" w:rsidRDefault="00F721D4">
                  <w:pPr>
                    <w:spacing w:after="0"/>
                    <w:rPr>
                      <w:sz w:val="20"/>
                      <w:szCs w:val="20"/>
                    </w:rPr>
                  </w:pPr>
                  <w:r>
                    <w:rPr>
                      <w:sz w:val="20"/>
                      <w:szCs w:val="20"/>
                    </w:rPr>
                    <w:t>The authors found that in endemic regions, poly-articular involvement is indicative of Lyme arthritis rather than septic arthritis. The sensitivity of poly-articular involvement related to Lyme disease was 97.4%. The authors suggest the following algorithm to differentiate Lyme arthritis from septic arthritis: ≤2 Kocher criteria, poly-articular disease, an ability to bear weight, and minimal pain with passive range of motion. They suggest that patients with these features should be treated with appropriate antibiotics while they await serologic confirmation.</w:t>
                  </w:r>
                </w:p>
              </w:tc>
            </w:tr>
            <w:tr w:rsidR="002D58E4" w14:paraId="2008B9A2" w14:textId="77777777" w:rsidTr="008A6D79">
              <w:trPr>
                <w:trHeight w:val="2855"/>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D04760B" w14:textId="77777777" w:rsidR="002D58E4" w:rsidRDefault="00F721D4">
                  <w:pPr>
                    <w:spacing w:after="0"/>
                    <w:rPr>
                      <w:sz w:val="20"/>
                      <w:szCs w:val="20"/>
                    </w:rPr>
                  </w:pPr>
                  <w:r>
                    <w:rPr>
                      <w:sz w:val="20"/>
                      <w:szCs w:val="20"/>
                    </w:rPr>
                    <w:t>Deanehan, et al., 2014</w:t>
                  </w:r>
                </w:p>
                <w:p w14:paraId="4F31537F" w14:textId="77777777" w:rsidR="002D58E4" w:rsidRDefault="002D58E4">
                  <w:pPr>
                    <w:spacing w:after="0"/>
                    <w:rPr>
                      <w:sz w:val="20"/>
                      <w:szCs w:val="20"/>
                    </w:rPr>
                  </w:pPr>
                </w:p>
                <w:p w14:paraId="325CFE43" w14:textId="77777777" w:rsidR="002D58E4" w:rsidRDefault="00F721D4">
                  <w:pPr>
                    <w:spacing w:after="0"/>
                    <w:rPr>
                      <w:sz w:val="20"/>
                      <w:szCs w:val="20"/>
                    </w:rPr>
                  </w:pPr>
                  <w:r>
                    <w:rPr>
                      <w:sz w:val="20"/>
                      <w:szCs w:val="20"/>
                    </w:rPr>
                    <w:t>Boston, MA and New Haven, CT</w:t>
                  </w:r>
                </w:p>
              </w:tc>
              <w:tc>
                <w:tcPr>
                  <w:tcW w:w="1080" w:type="dxa"/>
                  <w:tcBorders>
                    <w:top w:val="single" w:sz="6" w:space="0" w:color="AEAEAE"/>
                    <w:left w:val="single" w:sz="6" w:space="0" w:color="AEAEAE"/>
                    <w:bottom w:val="single" w:sz="6" w:space="0" w:color="AEAEAE"/>
                    <w:right w:val="single" w:sz="6" w:space="0" w:color="AEAEAE"/>
                  </w:tcBorders>
                  <w:vAlign w:val="center"/>
                </w:tcPr>
                <w:p w14:paraId="349322FD" w14:textId="77777777" w:rsidR="002D58E4" w:rsidRDefault="00F721D4">
                  <w:pPr>
                    <w:spacing w:after="0"/>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0BB204CD" w14:textId="77777777" w:rsidR="002D58E4" w:rsidRDefault="00F721D4">
                  <w:pPr>
                    <w:spacing w:after="0"/>
                    <w:jc w:val="center"/>
                    <w:rPr>
                      <w:sz w:val="20"/>
                      <w:szCs w:val="20"/>
                    </w:rPr>
                  </w:pPr>
                  <w:r>
                    <w:rPr>
                      <w:sz w:val="20"/>
                      <w:szCs w:val="20"/>
                    </w:rPr>
                    <w:t>8</w:t>
                  </w:r>
                </w:p>
              </w:tc>
              <w:tc>
                <w:tcPr>
                  <w:tcW w:w="1580" w:type="dxa"/>
                  <w:tcBorders>
                    <w:top w:val="single" w:sz="6" w:space="0" w:color="AEAEAE"/>
                    <w:left w:val="single" w:sz="6" w:space="0" w:color="AEAEAE"/>
                    <w:bottom w:val="single" w:sz="6" w:space="0" w:color="AEAEAE"/>
                    <w:right w:val="single" w:sz="6" w:space="0" w:color="AEAEAE"/>
                  </w:tcBorders>
                  <w:vAlign w:val="center"/>
                </w:tcPr>
                <w:p w14:paraId="476EEB7D" w14:textId="77777777" w:rsidR="002D58E4" w:rsidRDefault="00F721D4">
                  <w:pPr>
                    <w:spacing w:after="0"/>
                    <w:rPr>
                      <w:sz w:val="20"/>
                      <w:szCs w:val="20"/>
                    </w:rPr>
                  </w:pPr>
                  <w:r>
                    <w:rPr>
                      <w:sz w:val="20"/>
                      <w:szCs w:val="20"/>
                    </w:rPr>
                    <w:t>Cases were identified in Lyme endemic areas. Lyme arthritis cases were confirmed by either serologic testing or positive synovial fluid culture. Lyme serology was not required for children with a positive synovial fluid culture.</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54CEB09" w14:textId="77777777" w:rsidR="002D58E4" w:rsidRDefault="00F721D4">
                  <w:pPr>
                    <w:spacing w:after="0"/>
                    <w:rPr>
                      <w:sz w:val="20"/>
                      <w:szCs w:val="20"/>
                    </w:rPr>
                  </w:pPr>
                  <w:r>
                    <w:rPr>
                      <w:sz w:val="20"/>
                      <w:szCs w:val="20"/>
                    </w:rPr>
                    <w:t>384 children from either Boston (54%) or New Haven (46%) who presented to the emergency room with knee monoarthritis who had synovial fluid culture obtained. The median age was 8.0 years (IQR 5.0-11.9 years).</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2E17CD3" w14:textId="77777777" w:rsidR="002D58E4" w:rsidRDefault="00F721D4">
                  <w:pPr>
                    <w:spacing w:after="0"/>
                    <w:rPr>
                      <w:sz w:val="20"/>
                      <w:szCs w:val="20"/>
                    </w:rPr>
                  </w:pPr>
                  <w:r>
                    <w:rPr>
                      <w:sz w:val="20"/>
                      <w:szCs w:val="20"/>
                    </w:rPr>
                    <w:t>Of the 384 study patients, 19 (5%) had septic arthritis, 257 (67%) had Lyme arthritis, and 108 (28%) had other inflammatory arthritis.</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F7EB292" w14:textId="77777777" w:rsidR="002D58E4" w:rsidRDefault="00F721D4">
                  <w:pPr>
                    <w:spacing w:after="0"/>
                    <w:rPr>
                      <w:sz w:val="20"/>
                      <w:szCs w:val="20"/>
                    </w:rPr>
                  </w:pPr>
                  <w:r>
                    <w:rPr>
                      <w:sz w:val="20"/>
                      <w:szCs w:val="20"/>
                    </w:rPr>
                    <w:t xml:space="preserve">All of the 257 children with Lyme arthritis were IgG positive for Lyme antibodies and had a negative synovial fluid culture. 10 (4%) of these children also had record of a physician-diagnosed erythema migrans rash, and 23 (9%) were positive for </w:t>
                  </w:r>
                  <w:r>
                    <w:rPr>
                      <w:i/>
                      <w:sz w:val="20"/>
                      <w:szCs w:val="20"/>
                    </w:rPr>
                    <w:t>B. burgdorferi</w:t>
                  </w:r>
                  <w:r>
                    <w:rPr>
                      <w:sz w:val="20"/>
                      <w:szCs w:val="20"/>
                    </w:rPr>
                    <w:t xml:space="preserve"> by PCR testing of synovial fluid. </w:t>
                  </w:r>
                </w:p>
                <w:p w14:paraId="4A95780F" w14:textId="77777777" w:rsidR="002D58E4" w:rsidRDefault="002D58E4">
                  <w:pPr>
                    <w:spacing w:after="0"/>
                    <w:rPr>
                      <w:sz w:val="20"/>
                      <w:szCs w:val="20"/>
                    </w:rPr>
                  </w:pPr>
                </w:p>
                <w:p w14:paraId="632BBC4D" w14:textId="77777777" w:rsidR="002D58E4" w:rsidRDefault="00F721D4">
                  <w:pPr>
                    <w:spacing w:after="0"/>
                    <w:rPr>
                      <w:sz w:val="20"/>
                      <w:szCs w:val="20"/>
                    </w:rPr>
                  </w:pPr>
                  <w:r>
                    <w:rPr>
                      <w:sz w:val="20"/>
                      <w:szCs w:val="20"/>
                    </w:rPr>
                    <w:t xml:space="preserve">Children with other inflammatory arthritis had lower synovial white blood cell (WBC), absolute neutrophil counts (ANC), and % neutrophils than those with either Lyme or septic arthritis. </w:t>
                  </w:r>
                </w:p>
                <w:p w14:paraId="1FE3C28C" w14:textId="77777777" w:rsidR="002D58E4" w:rsidRDefault="002D58E4">
                  <w:pPr>
                    <w:spacing w:after="0"/>
                    <w:rPr>
                      <w:sz w:val="20"/>
                      <w:szCs w:val="20"/>
                    </w:rPr>
                  </w:pPr>
                </w:p>
                <w:p w14:paraId="7FAB2FE6" w14:textId="77777777" w:rsidR="002D58E4" w:rsidRDefault="00F721D4">
                  <w:pPr>
                    <w:spacing w:after="0"/>
                    <w:rPr>
                      <w:sz w:val="20"/>
                      <w:szCs w:val="20"/>
                    </w:rPr>
                  </w:pPr>
                  <w:r>
                    <w:rPr>
                      <w:sz w:val="20"/>
                      <w:szCs w:val="20"/>
                    </w:rPr>
                    <w:t>The authors assessed the relationship between arthritis type and synovial fluid WBC count, and after adjustment for age, peripheral WBC count, and hospital center, synovial fluid WBC did not differ by arthritis type (Lyme or septic).</w:t>
                  </w:r>
                </w:p>
                <w:p w14:paraId="65598FDA" w14:textId="77777777" w:rsidR="002D58E4" w:rsidRDefault="002D58E4">
                  <w:pPr>
                    <w:spacing w:after="0"/>
                    <w:rPr>
                      <w:sz w:val="20"/>
                      <w:szCs w:val="20"/>
                    </w:rPr>
                  </w:pPr>
                </w:p>
                <w:p w14:paraId="37F07D6E" w14:textId="77777777" w:rsidR="002D58E4" w:rsidRDefault="00F721D4">
                  <w:pPr>
                    <w:spacing w:after="0"/>
                    <w:rPr>
                      <w:sz w:val="20"/>
                      <w:szCs w:val="20"/>
                    </w:rPr>
                  </w:pPr>
                  <w:r>
                    <w:rPr>
                      <w:sz w:val="20"/>
                      <w:szCs w:val="20"/>
                    </w:rPr>
                    <w:t xml:space="preserve">In conclusive statements, the authors stress that septic arthritis is a rare cause of knee monoarthritis. They note that synovial fluid WBC, ANC, and % neutrophils are not useful discriminators between Lyme and septic arthritis and that synovial fluid results should not serve as an early indicator for invasive management.  </w:t>
                  </w:r>
                </w:p>
              </w:tc>
            </w:tr>
            <w:tr w:rsidR="002D58E4" w14:paraId="07B92843" w14:textId="77777777">
              <w:trPr>
                <w:trHeight w:val="424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9C63912" w14:textId="77777777" w:rsidR="002D58E4" w:rsidRDefault="00F721D4">
                  <w:pPr>
                    <w:spacing w:after="0"/>
                    <w:rPr>
                      <w:sz w:val="20"/>
                      <w:szCs w:val="20"/>
                    </w:rPr>
                  </w:pPr>
                  <w:r>
                    <w:rPr>
                      <w:sz w:val="20"/>
                      <w:szCs w:val="20"/>
                    </w:rPr>
                    <w:t>Cruz, et al., 2017</w:t>
                  </w:r>
                </w:p>
                <w:p w14:paraId="14882A61" w14:textId="77777777" w:rsidR="002D58E4" w:rsidRDefault="002D58E4">
                  <w:pPr>
                    <w:spacing w:after="0"/>
                    <w:rPr>
                      <w:sz w:val="20"/>
                      <w:szCs w:val="20"/>
                    </w:rPr>
                  </w:pPr>
                </w:p>
                <w:p w14:paraId="46CE7F9D" w14:textId="77777777" w:rsidR="002D58E4" w:rsidRDefault="00F721D4">
                  <w:pPr>
                    <w:spacing w:after="0"/>
                    <w:rPr>
                      <w:sz w:val="20"/>
                      <w:szCs w:val="20"/>
                    </w:rPr>
                  </w:pPr>
                  <w:r>
                    <w:rPr>
                      <w:color w:val="000000"/>
                      <w:sz w:val="20"/>
                      <w:szCs w:val="20"/>
                      <w:highlight w:val="white"/>
                    </w:rPr>
                    <w:t xml:space="preserve">Lyme endemic area (unclear if in PA or RI) </w:t>
                  </w:r>
                </w:p>
              </w:tc>
              <w:tc>
                <w:tcPr>
                  <w:tcW w:w="1080" w:type="dxa"/>
                  <w:tcBorders>
                    <w:top w:val="single" w:sz="6" w:space="0" w:color="AEAEAE"/>
                    <w:left w:val="single" w:sz="6" w:space="0" w:color="AEAEAE"/>
                    <w:bottom w:val="single" w:sz="6" w:space="0" w:color="AEAEAE"/>
                    <w:right w:val="single" w:sz="6" w:space="0" w:color="AEAEAE"/>
                  </w:tcBorders>
                  <w:vAlign w:val="center"/>
                </w:tcPr>
                <w:p w14:paraId="7B028299" w14:textId="77777777" w:rsidR="002D58E4" w:rsidRDefault="00F721D4">
                  <w:pPr>
                    <w:spacing w:after="0"/>
                    <w:rPr>
                      <w:sz w:val="20"/>
                      <w:szCs w:val="20"/>
                    </w:rPr>
                  </w:pPr>
                  <w:r>
                    <w:rPr>
                      <w:sz w:val="20"/>
                      <w:szCs w:val="20"/>
                    </w:rPr>
                    <w:t>Case-control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2A591C3F" w14:textId="77777777" w:rsidR="002D58E4" w:rsidRDefault="00F721D4">
                  <w:pPr>
                    <w:spacing w:after="0"/>
                    <w:jc w:val="center"/>
                    <w:rPr>
                      <w:sz w:val="20"/>
                      <w:szCs w:val="20"/>
                    </w:rPr>
                  </w:pPr>
                  <w:r>
                    <w:rPr>
                      <w:sz w:val="20"/>
                      <w:szCs w:val="20"/>
                    </w:rPr>
                    <w:t>7</w:t>
                  </w:r>
                </w:p>
              </w:tc>
              <w:tc>
                <w:tcPr>
                  <w:tcW w:w="1580" w:type="dxa"/>
                  <w:tcBorders>
                    <w:top w:val="single" w:sz="6" w:space="0" w:color="AEAEAE"/>
                    <w:left w:val="single" w:sz="6" w:space="0" w:color="AEAEAE"/>
                    <w:bottom w:val="single" w:sz="6" w:space="0" w:color="AEAEAE"/>
                    <w:right w:val="single" w:sz="6" w:space="0" w:color="AEAEAE"/>
                  </w:tcBorders>
                  <w:vAlign w:val="center"/>
                </w:tcPr>
                <w:p w14:paraId="379D6FAF" w14:textId="77777777" w:rsidR="002D58E4" w:rsidRDefault="002D58E4">
                  <w:pPr>
                    <w:spacing w:after="0"/>
                    <w:rPr>
                      <w:sz w:val="20"/>
                      <w:szCs w:val="20"/>
                    </w:rPr>
                  </w:pPr>
                </w:p>
                <w:p w14:paraId="2DD25B66" w14:textId="089852F7" w:rsidR="002D58E4" w:rsidRDefault="00F721D4">
                  <w:pPr>
                    <w:spacing w:after="0"/>
                    <w:rPr>
                      <w:sz w:val="20"/>
                      <w:szCs w:val="20"/>
                    </w:rPr>
                  </w:pPr>
                  <w:r>
                    <w:rPr>
                      <w:sz w:val="20"/>
                      <w:szCs w:val="20"/>
                    </w:rPr>
                    <w:t>Unclear (need full text)</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A093530" w14:textId="77777777" w:rsidR="002D58E4" w:rsidRDefault="00F721D4">
                  <w:pPr>
                    <w:spacing w:after="0"/>
                    <w:rPr>
                      <w:sz w:val="20"/>
                      <w:szCs w:val="20"/>
                    </w:rPr>
                  </w:pPr>
                  <w:r>
                    <w:rPr>
                      <w:sz w:val="20"/>
                      <w:szCs w:val="20"/>
                    </w:rPr>
                    <w:t>93 pediatric patients who were residents of an area endemic for Lyme disease who underwent hip aspiration for the evaluation of hip pain were evaluated.</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E4A6A2C" w14:textId="77777777" w:rsidR="002D58E4" w:rsidRDefault="00F721D4">
                  <w:pPr>
                    <w:spacing w:after="0"/>
                    <w:rPr>
                      <w:sz w:val="20"/>
                      <w:szCs w:val="20"/>
                    </w:rPr>
                  </w:pPr>
                  <w:r>
                    <w:rPr>
                      <w:sz w:val="20"/>
                      <w:szCs w:val="20"/>
                    </w:rPr>
                    <w:t xml:space="preserve">17 of 93 (18.3%) patients were diagnosed with Lyme arthritis. </w:t>
                  </w:r>
                </w:p>
                <w:p w14:paraId="17D7FE04" w14:textId="77777777" w:rsidR="002D58E4" w:rsidRDefault="002D58E4">
                  <w:pPr>
                    <w:spacing w:after="0"/>
                    <w:rPr>
                      <w:sz w:val="20"/>
                      <w:szCs w:val="20"/>
                    </w:rPr>
                  </w:pPr>
                </w:p>
                <w:p w14:paraId="5438A5BC" w14:textId="77777777" w:rsidR="002D58E4" w:rsidRDefault="00F721D4">
                  <w:pPr>
                    <w:spacing w:after="0"/>
                    <w:rPr>
                      <w:sz w:val="20"/>
                      <w:szCs w:val="20"/>
                    </w:rPr>
                  </w:pPr>
                  <w:r>
                    <w:rPr>
                      <w:sz w:val="20"/>
                      <w:szCs w:val="20"/>
                    </w:rPr>
                    <w:t xml:space="preserve">40 of 93 (43.0%) patients were diagnosed with septic arthritis. </w:t>
                  </w:r>
                </w:p>
                <w:p w14:paraId="1C3B05AD" w14:textId="77777777" w:rsidR="002D58E4" w:rsidRDefault="002D58E4">
                  <w:pPr>
                    <w:spacing w:after="0"/>
                    <w:rPr>
                      <w:sz w:val="20"/>
                      <w:szCs w:val="20"/>
                    </w:rPr>
                  </w:pPr>
                </w:p>
                <w:p w14:paraId="1F55724D" w14:textId="77777777" w:rsidR="002D58E4" w:rsidRDefault="00F721D4">
                  <w:pPr>
                    <w:spacing w:after="0"/>
                    <w:rPr>
                      <w:sz w:val="20"/>
                      <w:szCs w:val="20"/>
                    </w:rPr>
                  </w:pPr>
                  <w:r>
                    <w:rPr>
                      <w:sz w:val="20"/>
                      <w:szCs w:val="20"/>
                    </w:rPr>
                    <w:t xml:space="preserve">36 of 93 (38.7%) patients were diagnosed with transient synovitis. </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C0EAD25" w14:textId="77777777" w:rsidR="002D58E4" w:rsidRDefault="00F721D4">
                  <w:pPr>
                    <w:spacing w:after="0"/>
                    <w:rPr>
                      <w:sz w:val="20"/>
                      <w:szCs w:val="20"/>
                    </w:rPr>
                  </w:pPr>
                  <w:r>
                    <w:rPr>
                      <w:sz w:val="20"/>
                      <w:szCs w:val="20"/>
                    </w:rPr>
                    <w:t>Multivariable logistic regression revealed febrile history (OR: 16.3 [95% CI 2.35, 113.0]) and increased peripheral white blood cell (WBC) count (OR: 1.26 [95% CI 1.01, 1.58]) to be significantly associated with increased odds of being diagnosed with septic arthritis versus Lyme arthritis.</w:t>
                  </w:r>
                </w:p>
                <w:p w14:paraId="4A152E9F" w14:textId="77777777" w:rsidR="002D58E4" w:rsidRDefault="002D58E4">
                  <w:pPr>
                    <w:spacing w:after="0"/>
                    <w:rPr>
                      <w:sz w:val="20"/>
                      <w:szCs w:val="20"/>
                    </w:rPr>
                  </w:pPr>
                </w:p>
                <w:p w14:paraId="29AA5CDC" w14:textId="77777777" w:rsidR="002D58E4" w:rsidRDefault="00F721D4">
                  <w:pPr>
                    <w:spacing w:after="0"/>
                    <w:rPr>
                      <w:sz w:val="20"/>
                      <w:szCs w:val="20"/>
                    </w:rPr>
                  </w:pPr>
                  <w:r>
                    <w:rPr>
                      <w:sz w:val="20"/>
                      <w:szCs w:val="20"/>
                    </w:rPr>
                    <w:t>Increased erythrocyte sedimentation rate (ESR) was significantly associated with increased odds of being diagnosed with Lyme arthritis versus transient synovitis (OR: 1.06 [95% CI 1.02, 1.10]), whereas febrile history (OR: 0.06 [95% CI 0.01, 0.49]) and increased peripheral WBC count (OR: 0.8 [95% CI 0.65, 0.98]) were associated with decreased odds of Lyme arthritis.</w:t>
                  </w:r>
                </w:p>
              </w:tc>
            </w:tr>
            <w:tr w:rsidR="002D58E4" w14:paraId="007C3CD0" w14:textId="77777777">
              <w:trPr>
                <w:trHeight w:val="408"/>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54A38A0" w14:textId="77777777" w:rsidR="002D58E4" w:rsidRDefault="00F721D4">
                  <w:pPr>
                    <w:spacing w:after="0"/>
                    <w:rPr>
                      <w:sz w:val="20"/>
                      <w:szCs w:val="20"/>
                    </w:rPr>
                  </w:pPr>
                  <w:r>
                    <w:rPr>
                      <w:sz w:val="20"/>
                      <w:szCs w:val="20"/>
                    </w:rPr>
                    <w:t>Baldwin, et al., 2016</w:t>
                  </w:r>
                </w:p>
                <w:p w14:paraId="6B6B4B5B" w14:textId="77777777" w:rsidR="002D58E4" w:rsidRDefault="002D58E4">
                  <w:pPr>
                    <w:spacing w:after="0"/>
                    <w:rPr>
                      <w:sz w:val="20"/>
                      <w:szCs w:val="20"/>
                    </w:rPr>
                  </w:pPr>
                </w:p>
                <w:p w14:paraId="0E36DE38" w14:textId="77777777" w:rsidR="002D58E4" w:rsidRDefault="00F721D4">
                  <w:pPr>
                    <w:spacing w:after="0"/>
                    <w:rPr>
                      <w:sz w:val="20"/>
                      <w:szCs w:val="20"/>
                    </w:rPr>
                  </w:pPr>
                  <w:r>
                    <w:rPr>
                      <w:sz w:val="20"/>
                      <w:szCs w:val="20"/>
                    </w:rPr>
                    <w:t>Philadelphia, PA</w:t>
                  </w:r>
                </w:p>
              </w:tc>
              <w:tc>
                <w:tcPr>
                  <w:tcW w:w="1080" w:type="dxa"/>
                  <w:tcBorders>
                    <w:top w:val="single" w:sz="6" w:space="0" w:color="AEAEAE"/>
                    <w:left w:val="single" w:sz="6" w:space="0" w:color="AEAEAE"/>
                    <w:bottom w:val="single" w:sz="6" w:space="0" w:color="AEAEAE"/>
                    <w:right w:val="single" w:sz="6" w:space="0" w:color="AEAEAE"/>
                  </w:tcBorders>
                  <w:vAlign w:val="center"/>
                </w:tcPr>
                <w:p w14:paraId="69F7BD11" w14:textId="77777777" w:rsidR="002D58E4" w:rsidRDefault="00F721D4">
                  <w:pPr>
                    <w:spacing w:after="0"/>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01D3441" w14:textId="77777777" w:rsidR="002D58E4" w:rsidRDefault="00F721D4">
                  <w:pPr>
                    <w:spacing w:after="0"/>
                    <w:jc w:val="center"/>
                    <w:rPr>
                      <w:sz w:val="20"/>
                      <w:szCs w:val="20"/>
                    </w:rPr>
                  </w:pPr>
                  <w:r>
                    <w:rPr>
                      <w:sz w:val="20"/>
                      <w:szCs w:val="20"/>
                    </w:rPr>
                    <w:t>8</w:t>
                  </w:r>
                </w:p>
              </w:tc>
              <w:tc>
                <w:tcPr>
                  <w:tcW w:w="1580" w:type="dxa"/>
                  <w:tcBorders>
                    <w:top w:val="single" w:sz="6" w:space="0" w:color="AEAEAE"/>
                    <w:left w:val="single" w:sz="6" w:space="0" w:color="AEAEAE"/>
                    <w:bottom w:val="single" w:sz="6" w:space="0" w:color="AEAEAE"/>
                    <w:right w:val="single" w:sz="6" w:space="0" w:color="AEAEAE"/>
                  </w:tcBorders>
                  <w:vAlign w:val="center"/>
                </w:tcPr>
                <w:p w14:paraId="5B6A7DD9" w14:textId="77777777" w:rsidR="002D58E4" w:rsidRDefault="00F721D4">
                  <w:pPr>
                    <w:spacing w:after="0"/>
                    <w:rPr>
                      <w:sz w:val="20"/>
                      <w:szCs w:val="20"/>
                    </w:rPr>
                  </w:pPr>
                  <w:r>
                    <w:rPr>
                      <w:sz w:val="20"/>
                      <w:szCs w:val="20"/>
                    </w:rPr>
                    <w:t>Lyme disease diagnosis was confirmed by IgG Western Blot.</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F6ADEAD" w14:textId="77777777" w:rsidR="002D58E4" w:rsidRDefault="00F721D4">
                  <w:pPr>
                    <w:spacing w:after="0"/>
                    <w:rPr>
                      <w:sz w:val="20"/>
                      <w:szCs w:val="20"/>
                    </w:rPr>
                  </w:pPr>
                  <w:r>
                    <w:rPr>
                      <w:sz w:val="20"/>
                      <w:szCs w:val="20"/>
                    </w:rPr>
                    <w:t>Medical records of 498 pediatric patients with knee effusions who had undergone arthrocentesis of the knee were retrospectively reviewed, and a total 189 patients with Lyme arthritis or septic arthritis were included in the cohort.</w:t>
                  </w:r>
                </w:p>
                <w:p w14:paraId="61ED5B74" w14:textId="77777777" w:rsidR="002D58E4" w:rsidRDefault="002D58E4">
                  <w:pPr>
                    <w:spacing w:after="0"/>
                    <w:rPr>
                      <w:sz w:val="20"/>
                      <w:szCs w:val="20"/>
                    </w:rPr>
                  </w:pPr>
                </w:p>
                <w:p w14:paraId="69DA4B5A" w14:textId="77777777" w:rsidR="002D58E4" w:rsidRDefault="002D58E4">
                  <w:pPr>
                    <w:spacing w:after="0"/>
                    <w:rPr>
                      <w:sz w:val="20"/>
                      <w:szCs w:val="20"/>
                    </w:rPr>
                  </w:pPr>
                </w:p>
                <w:p w14:paraId="7689B035" w14:textId="77777777" w:rsidR="002D58E4" w:rsidRDefault="00F721D4">
                  <w:pPr>
                    <w:spacing w:after="0"/>
                    <w:rPr>
                      <w:i/>
                      <w:sz w:val="20"/>
                      <w:szCs w:val="20"/>
                    </w:rPr>
                  </w:pPr>
                  <w:r>
                    <w:rPr>
                      <w:i/>
                      <w:sz w:val="20"/>
                      <w:szCs w:val="20"/>
                    </w:rPr>
                    <w:t>To avoid misclassification bias, undiagnosed knee effusions and joints with both a positive culture and positive Lyme titers were excluded.</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B39CC67" w14:textId="77777777" w:rsidR="002D58E4" w:rsidRDefault="00F721D4">
                  <w:pPr>
                    <w:spacing w:after="0"/>
                    <w:rPr>
                      <w:sz w:val="20"/>
                      <w:szCs w:val="20"/>
                    </w:rPr>
                  </w:pPr>
                  <w:r>
                    <w:rPr>
                      <w:sz w:val="20"/>
                      <w:szCs w:val="20"/>
                    </w:rPr>
                    <w:t xml:space="preserve">140 of 498 patients (28.1%) who underwent arthrocentesis of the knee were confirmed to have Lyme disease. </w:t>
                  </w:r>
                </w:p>
                <w:p w14:paraId="13635BAB" w14:textId="77777777" w:rsidR="002D58E4" w:rsidRDefault="002D58E4">
                  <w:pPr>
                    <w:spacing w:after="0"/>
                    <w:rPr>
                      <w:sz w:val="20"/>
                      <w:szCs w:val="20"/>
                    </w:rPr>
                  </w:pPr>
                </w:p>
                <w:p w14:paraId="65C07733" w14:textId="77777777" w:rsidR="002D58E4" w:rsidRDefault="00F721D4">
                  <w:pPr>
                    <w:spacing w:after="0"/>
                    <w:rPr>
                      <w:sz w:val="20"/>
                      <w:szCs w:val="20"/>
                    </w:rPr>
                  </w:pPr>
                  <w:r>
                    <w:rPr>
                      <w:sz w:val="20"/>
                      <w:szCs w:val="20"/>
                    </w:rPr>
                    <w:t xml:space="preserve">23 patients (4.6%) had culture-positive septic arthritis (positive joint fluid culture </w:t>
                  </w:r>
                  <w:r>
                    <w:rPr>
                      <w:sz w:val="20"/>
                      <w:szCs w:val="20"/>
                      <w:u w:val="single"/>
                    </w:rPr>
                    <w:t xml:space="preserve">or </w:t>
                  </w:r>
                  <w:r>
                    <w:rPr>
                      <w:sz w:val="20"/>
                      <w:szCs w:val="20"/>
                    </w:rPr>
                    <w:t>synovial WBC count of &gt;60,000 white blood cells/mm</w:t>
                  </w:r>
                  <w:r>
                    <w:rPr>
                      <w:sz w:val="20"/>
                      <w:szCs w:val="20"/>
                      <w:vertAlign w:val="superscript"/>
                    </w:rPr>
                    <w:t>3</w:t>
                  </w:r>
                  <w:r>
                    <w:rPr>
                      <w:sz w:val="20"/>
                      <w:szCs w:val="20"/>
                    </w:rPr>
                    <w:t xml:space="preserve"> with negative Lyme titer). 26 patients (5.2%) had culture-negative septic arthritis.</w:t>
                  </w:r>
                </w:p>
                <w:p w14:paraId="23A9D5B1" w14:textId="77777777" w:rsidR="002D58E4" w:rsidRDefault="002D58E4">
                  <w:pPr>
                    <w:spacing w:after="0"/>
                    <w:rPr>
                      <w:sz w:val="20"/>
                      <w:szCs w:val="20"/>
                    </w:rPr>
                  </w:pP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577ABEF" w14:textId="77777777" w:rsidR="002D58E4" w:rsidRDefault="00F721D4">
                  <w:pPr>
                    <w:spacing w:after="0"/>
                    <w:rPr>
                      <w:sz w:val="20"/>
                      <w:szCs w:val="20"/>
                    </w:rPr>
                  </w:pPr>
                  <w:r>
                    <w:rPr>
                      <w:sz w:val="20"/>
                      <w:szCs w:val="20"/>
                    </w:rPr>
                    <w:t>All patients with confirmed septic arthritis underwent emergent incision and drainage of the knee in the operating room. Of the 140 patients who were eventually diagnosed with Lyme disease, 46 (33%) underwent surgical incision and drainage based on a presumed diagnosis of septic arthritis.</w:t>
                  </w:r>
                </w:p>
                <w:p w14:paraId="1B0BD85A" w14:textId="77777777" w:rsidR="002D58E4" w:rsidRDefault="002D58E4">
                  <w:pPr>
                    <w:spacing w:after="0"/>
                    <w:rPr>
                      <w:sz w:val="20"/>
                      <w:szCs w:val="20"/>
                    </w:rPr>
                  </w:pPr>
                </w:p>
                <w:p w14:paraId="3077B715" w14:textId="77777777" w:rsidR="002D58E4" w:rsidRDefault="00F721D4">
                  <w:pPr>
                    <w:spacing w:after="0"/>
                    <w:rPr>
                      <w:sz w:val="20"/>
                      <w:szCs w:val="20"/>
                    </w:rPr>
                  </w:pPr>
                  <w:r>
                    <w:rPr>
                      <w:sz w:val="20"/>
                      <w:szCs w:val="20"/>
                    </w:rPr>
                    <w:t>On multivariate analysis, 4 independent factors for differentiating between septic arthritis and Lyme disease were identified: 1. history of fever reported (OR: 6.1 [95%CI 1.2, 31.7], p=0.032), severe pain with short arc motion (OR: 67.3 [95%CI 11.7, 389.1], p&lt;0.001), CRP of ≥4 mg/L (OR: 1.2 [95%CI 1.0, 1.3], p=0.02), and age under 2 years ( OR: 0.6  [95%CI 0.5, 0.8], p=0.009). The probability of septic arthritis with any one factor present was 18% compared with 100% with all 4 factors present, regardless of culture positivity.</w:t>
                  </w:r>
                </w:p>
                <w:p w14:paraId="7BB777EB" w14:textId="77777777" w:rsidR="002D58E4" w:rsidRDefault="002D58E4">
                  <w:pPr>
                    <w:spacing w:after="0"/>
                    <w:rPr>
                      <w:sz w:val="20"/>
                      <w:szCs w:val="20"/>
                    </w:rPr>
                  </w:pPr>
                </w:p>
                <w:p w14:paraId="488063AA" w14:textId="77777777" w:rsidR="002D58E4" w:rsidRDefault="00F721D4">
                  <w:pPr>
                    <w:spacing w:after="0"/>
                    <w:rPr>
                      <w:sz w:val="20"/>
                      <w:szCs w:val="20"/>
                    </w:rPr>
                  </w:pPr>
                  <w:r>
                    <w:rPr>
                      <w:sz w:val="20"/>
                      <w:szCs w:val="20"/>
                    </w:rPr>
                    <w:t>In areas endemic for Lyme disease, the authors suggest that patients older than 2 years who do not fit any of the criteria above should be serologically tested for Lyme and observed until results are available. They suggest that patients with all 4 risk factors should be considered for urgent surgical intervention.</w:t>
                  </w:r>
                </w:p>
              </w:tc>
            </w:tr>
            <w:tr w:rsidR="002D58E4" w14:paraId="5E4E640C" w14:textId="77777777">
              <w:trPr>
                <w:trHeight w:val="424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935B90D" w14:textId="77777777" w:rsidR="002D58E4" w:rsidRDefault="00F721D4">
                  <w:pPr>
                    <w:spacing w:after="0"/>
                    <w:rPr>
                      <w:sz w:val="20"/>
                      <w:szCs w:val="20"/>
                    </w:rPr>
                  </w:pPr>
                  <w:r>
                    <w:rPr>
                      <w:sz w:val="20"/>
                      <w:szCs w:val="20"/>
                    </w:rPr>
                    <w:t>Willis, 2003</w:t>
                  </w:r>
                </w:p>
                <w:p w14:paraId="5D08F81F" w14:textId="77777777" w:rsidR="002D58E4" w:rsidRDefault="002D58E4">
                  <w:pPr>
                    <w:spacing w:after="0"/>
                    <w:rPr>
                      <w:sz w:val="20"/>
                      <w:szCs w:val="20"/>
                    </w:rPr>
                  </w:pPr>
                </w:p>
                <w:p w14:paraId="3C239EBE" w14:textId="77777777" w:rsidR="002D58E4" w:rsidRDefault="002D58E4">
                  <w:pPr>
                    <w:spacing w:after="0"/>
                    <w:rPr>
                      <w:sz w:val="20"/>
                      <w:szCs w:val="20"/>
                    </w:rPr>
                  </w:pPr>
                </w:p>
                <w:p w14:paraId="3D8DC4ED" w14:textId="77777777" w:rsidR="002D58E4" w:rsidRDefault="00F721D4">
                  <w:pPr>
                    <w:spacing w:after="0"/>
                    <w:rPr>
                      <w:sz w:val="20"/>
                      <w:szCs w:val="20"/>
                    </w:rPr>
                  </w:pPr>
                  <w:r>
                    <w:rPr>
                      <w:sz w:val="20"/>
                      <w:szCs w:val="20"/>
                    </w:rPr>
                    <w:t>New York, NY</w:t>
                  </w:r>
                </w:p>
              </w:tc>
              <w:tc>
                <w:tcPr>
                  <w:tcW w:w="1080" w:type="dxa"/>
                  <w:tcBorders>
                    <w:top w:val="single" w:sz="6" w:space="0" w:color="AEAEAE"/>
                    <w:left w:val="single" w:sz="6" w:space="0" w:color="AEAEAE"/>
                    <w:bottom w:val="single" w:sz="6" w:space="0" w:color="AEAEAE"/>
                    <w:right w:val="single" w:sz="6" w:space="0" w:color="AEAEAE"/>
                  </w:tcBorders>
                  <w:vAlign w:val="center"/>
                </w:tcPr>
                <w:p w14:paraId="02C89324" w14:textId="77777777" w:rsidR="002D58E4" w:rsidRDefault="00F721D4">
                  <w:pPr>
                    <w:spacing w:after="0"/>
                    <w:rPr>
                      <w:sz w:val="20"/>
                      <w:szCs w:val="20"/>
                    </w:rPr>
                  </w:pPr>
                  <w:r>
                    <w:rPr>
                      <w:sz w:val="20"/>
                      <w:szCs w:val="20"/>
                    </w:rPr>
                    <w:t>Case series</w:t>
                  </w:r>
                </w:p>
              </w:tc>
              <w:tc>
                <w:tcPr>
                  <w:tcW w:w="630" w:type="dxa"/>
                  <w:tcBorders>
                    <w:top w:val="single" w:sz="6" w:space="0" w:color="AEAEAE"/>
                    <w:left w:val="single" w:sz="6" w:space="0" w:color="AEAEAE"/>
                    <w:bottom w:val="single" w:sz="6" w:space="0" w:color="AEAEAE"/>
                    <w:right w:val="single" w:sz="6" w:space="0" w:color="AEAEAE"/>
                  </w:tcBorders>
                  <w:vAlign w:val="center"/>
                </w:tcPr>
                <w:p w14:paraId="63C173CA" w14:textId="77777777" w:rsidR="002D58E4" w:rsidRDefault="00F721D4">
                  <w:pPr>
                    <w:spacing w:after="0"/>
                    <w:jc w:val="center"/>
                    <w:rPr>
                      <w:sz w:val="20"/>
                      <w:szCs w:val="20"/>
                    </w:rPr>
                  </w:pPr>
                  <w:r>
                    <w:rPr>
                      <w:sz w:val="20"/>
                      <w:szCs w:val="20"/>
                    </w:rPr>
                    <w:t>NA</w:t>
                  </w:r>
                </w:p>
              </w:tc>
              <w:tc>
                <w:tcPr>
                  <w:tcW w:w="1580" w:type="dxa"/>
                  <w:tcBorders>
                    <w:top w:val="single" w:sz="6" w:space="0" w:color="AEAEAE"/>
                    <w:left w:val="single" w:sz="6" w:space="0" w:color="AEAEAE"/>
                    <w:bottom w:val="single" w:sz="6" w:space="0" w:color="AEAEAE"/>
                    <w:right w:val="single" w:sz="6" w:space="0" w:color="AEAEAE"/>
                  </w:tcBorders>
                  <w:vAlign w:val="center"/>
                </w:tcPr>
                <w:p w14:paraId="0F83F091" w14:textId="77777777" w:rsidR="002D58E4" w:rsidRDefault="00F721D4">
                  <w:pPr>
                    <w:spacing w:after="0"/>
                    <w:rPr>
                      <w:sz w:val="20"/>
                      <w:szCs w:val="20"/>
                    </w:rPr>
                  </w:pPr>
                  <w:r>
                    <w:rPr>
                      <w:sz w:val="20"/>
                      <w:szCs w:val="20"/>
                    </w:rPr>
                    <w:t>Patients had positive</w:t>
                  </w:r>
                </w:p>
                <w:p w14:paraId="53B0AF89" w14:textId="77777777" w:rsidR="002D58E4" w:rsidRDefault="00F721D4">
                  <w:pPr>
                    <w:spacing w:after="0"/>
                    <w:rPr>
                      <w:sz w:val="20"/>
                      <w:szCs w:val="20"/>
                    </w:rPr>
                  </w:pPr>
                  <w:r>
                    <w:rPr>
                      <w:sz w:val="20"/>
                      <w:szCs w:val="20"/>
                    </w:rPr>
                    <w:t xml:space="preserve">Lyme serology results, including EIA or ELISA and Western Blot. Clinical history of tick bite, fever, rash and other typical symptoms of Lyme was reviewed. </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C4AF1D6" w14:textId="77777777" w:rsidR="002D58E4" w:rsidRDefault="00F721D4">
                  <w:pPr>
                    <w:spacing w:after="0"/>
                    <w:rPr>
                      <w:sz w:val="20"/>
                      <w:szCs w:val="20"/>
                    </w:rPr>
                  </w:pPr>
                  <w:r>
                    <w:rPr>
                      <w:sz w:val="20"/>
                      <w:szCs w:val="20"/>
                    </w:rPr>
                    <w:t xml:space="preserve">10 pediatric (mean age 6.2 years; range 2-12) patients presented with acute arthritis with joint swelling and impairment of movement. The duration of symptoms was a mean of 4 days (range 1-14). All patients denied a history of tick bite or rash. 6 patients had recalled a fever within a week of admission, and five patients had a fever upon admission.  </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22C7B22" w14:textId="77777777" w:rsidR="002D58E4" w:rsidRDefault="00F721D4">
                  <w:pPr>
                    <w:spacing w:after="0"/>
                    <w:rPr>
                      <w:sz w:val="20"/>
                      <w:szCs w:val="20"/>
                    </w:rPr>
                  </w:pPr>
                  <w:r>
                    <w:rPr>
                      <w:sz w:val="20"/>
                      <w:szCs w:val="20"/>
                    </w:rPr>
                    <w:t xml:space="preserve">All 10 patients were initially managed for acute septic arthritis, and surgical irrigation and debridement were planned. </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F7C7968" w14:textId="77777777" w:rsidR="002D58E4" w:rsidRDefault="00F721D4">
                  <w:pPr>
                    <w:spacing w:after="0"/>
                    <w:rPr>
                      <w:sz w:val="20"/>
                      <w:szCs w:val="20"/>
                    </w:rPr>
                  </w:pPr>
                  <w:r>
                    <w:rPr>
                      <w:sz w:val="20"/>
                      <w:szCs w:val="20"/>
                    </w:rPr>
                    <w:t xml:space="preserve">EIA results were available within 1 hour for 3 of 10 patients. Positive Lyme titers prevented surgical management for these three patients. These patients immediately received IV ceftriaxone and responded within 2 days with resolution of pain, fever, and limp. </w:t>
                  </w:r>
                </w:p>
                <w:p w14:paraId="054A4B26" w14:textId="77777777" w:rsidR="002D58E4" w:rsidRDefault="002D58E4">
                  <w:pPr>
                    <w:spacing w:after="0"/>
                    <w:rPr>
                      <w:sz w:val="20"/>
                      <w:szCs w:val="20"/>
                    </w:rPr>
                  </w:pPr>
                </w:p>
                <w:p w14:paraId="0E31A568" w14:textId="77777777" w:rsidR="002D58E4" w:rsidRDefault="00F721D4">
                  <w:pPr>
                    <w:spacing w:after="0"/>
                    <w:rPr>
                      <w:sz w:val="20"/>
                      <w:szCs w:val="20"/>
                    </w:rPr>
                  </w:pPr>
                  <w:r>
                    <w:rPr>
                      <w:sz w:val="20"/>
                      <w:szCs w:val="20"/>
                    </w:rPr>
                    <w:t xml:space="preserve">7 of 10 patients received operative joint irrigation and debridement due to delayed Lyme serology results. These patients responded favorably to surgery and had no complications. They were started on appropriate antibiotics within 3 to 5 days after initial presentation and responded to treatment with rapid resolution of arthritis. </w:t>
                  </w:r>
                </w:p>
                <w:p w14:paraId="21A34DE4" w14:textId="77777777" w:rsidR="002D58E4" w:rsidRDefault="002D58E4">
                  <w:pPr>
                    <w:spacing w:after="0"/>
                    <w:rPr>
                      <w:sz w:val="20"/>
                      <w:szCs w:val="20"/>
                    </w:rPr>
                  </w:pPr>
                </w:p>
                <w:p w14:paraId="10EFE5C5" w14:textId="77777777" w:rsidR="002D58E4" w:rsidRDefault="00F721D4">
                  <w:pPr>
                    <w:spacing w:after="0"/>
                    <w:rPr>
                      <w:sz w:val="20"/>
                      <w:szCs w:val="20"/>
                    </w:rPr>
                  </w:pPr>
                  <w:r>
                    <w:rPr>
                      <w:sz w:val="20"/>
                      <w:szCs w:val="20"/>
                    </w:rPr>
                    <w:t xml:space="preserve">The authors suggested synovial fluid aspiration in any case of suspected bacterial sepsis. They suggested that serum white blood cell count, ESR, and CRP are useful distinguishing markers in septic arthritis and Lyme arthritis. </w:t>
                  </w:r>
                </w:p>
              </w:tc>
            </w:tr>
            <w:tr w:rsidR="002D58E4" w14:paraId="60ACF34B" w14:textId="77777777">
              <w:trPr>
                <w:trHeight w:val="366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0610405" w14:textId="77777777" w:rsidR="002D58E4" w:rsidRDefault="00F721D4">
                  <w:pPr>
                    <w:spacing w:after="0"/>
                    <w:rPr>
                      <w:sz w:val="20"/>
                      <w:szCs w:val="20"/>
                    </w:rPr>
                  </w:pPr>
                  <w:r>
                    <w:rPr>
                      <w:sz w:val="20"/>
                      <w:szCs w:val="20"/>
                    </w:rPr>
                    <w:t>Daikh, 2013</w:t>
                  </w:r>
                </w:p>
                <w:p w14:paraId="24E3D742" w14:textId="77777777" w:rsidR="002D58E4" w:rsidRDefault="002D58E4">
                  <w:pPr>
                    <w:spacing w:after="0"/>
                    <w:rPr>
                      <w:sz w:val="20"/>
                      <w:szCs w:val="20"/>
                    </w:rPr>
                  </w:pPr>
                </w:p>
                <w:p w14:paraId="53C5D598" w14:textId="77777777" w:rsidR="002D58E4" w:rsidRDefault="002D58E4">
                  <w:pPr>
                    <w:spacing w:after="0"/>
                    <w:rPr>
                      <w:sz w:val="20"/>
                      <w:szCs w:val="20"/>
                    </w:rPr>
                  </w:pPr>
                </w:p>
                <w:p w14:paraId="67A00F8B" w14:textId="77777777" w:rsidR="002D58E4" w:rsidRDefault="00F721D4">
                  <w:pPr>
                    <w:spacing w:after="0"/>
                    <w:rPr>
                      <w:sz w:val="20"/>
                      <w:szCs w:val="20"/>
                    </w:rPr>
                  </w:pPr>
                  <w:r>
                    <w:rPr>
                      <w:sz w:val="20"/>
                      <w:szCs w:val="20"/>
                    </w:rPr>
                    <w:t>Portland, ME</w:t>
                  </w:r>
                </w:p>
              </w:tc>
              <w:tc>
                <w:tcPr>
                  <w:tcW w:w="1080" w:type="dxa"/>
                  <w:tcBorders>
                    <w:top w:val="single" w:sz="6" w:space="0" w:color="AEAEAE"/>
                    <w:left w:val="single" w:sz="6" w:space="0" w:color="AEAEAE"/>
                    <w:bottom w:val="single" w:sz="6" w:space="0" w:color="AEAEAE"/>
                    <w:right w:val="single" w:sz="6" w:space="0" w:color="AEAEAE"/>
                  </w:tcBorders>
                  <w:vAlign w:val="center"/>
                </w:tcPr>
                <w:p w14:paraId="028133D9" w14:textId="77777777" w:rsidR="002D58E4" w:rsidRDefault="00F721D4">
                  <w:pPr>
                    <w:spacing w:after="0"/>
                    <w:rPr>
                      <w:sz w:val="20"/>
                      <w:szCs w:val="20"/>
                    </w:rPr>
                  </w:pPr>
                  <w:r>
                    <w:rPr>
                      <w:sz w:val="20"/>
                      <w:szCs w:val="20"/>
                    </w:rPr>
                    <w:t>Case series</w:t>
                  </w:r>
                </w:p>
              </w:tc>
              <w:tc>
                <w:tcPr>
                  <w:tcW w:w="630" w:type="dxa"/>
                  <w:tcBorders>
                    <w:top w:val="single" w:sz="6" w:space="0" w:color="AEAEAE"/>
                    <w:left w:val="single" w:sz="6" w:space="0" w:color="AEAEAE"/>
                    <w:bottom w:val="single" w:sz="6" w:space="0" w:color="AEAEAE"/>
                    <w:right w:val="single" w:sz="6" w:space="0" w:color="AEAEAE"/>
                  </w:tcBorders>
                  <w:vAlign w:val="center"/>
                </w:tcPr>
                <w:p w14:paraId="31AEB1F9" w14:textId="77777777" w:rsidR="002D58E4" w:rsidRDefault="00F721D4">
                  <w:pPr>
                    <w:spacing w:after="0"/>
                    <w:jc w:val="center"/>
                    <w:rPr>
                      <w:sz w:val="20"/>
                      <w:szCs w:val="20"/>
                    </w:rPr>
                  </w:pPr>
                  <w:r>
                    <w:rPr>
                      <w:sz w:val="20"/>
                      <w:szCs w:val="20"/>
                    </w:rPr>
                    <w:t>NA</w:t>
                  </w:r>
                </w:p>
              </w:tc>
              <w:tc>
                <w:tcPr>
                  <w:tcW w:w="1580" w:type="dxa"/>
                  <w:tcBorders>
                    <w:top w:val="single" w:sz="6" w:space="0" w:color="AEAEAE"/>
                    <w:left w:val="single" w:sz="6" w:space="0" w:color="AEAEAE"/>
                    <w:bottom w:val="single" w:sz="6" w:space="0" w:color="AEAEAE"/>
                    <w:right w:val="single" w:sz="6" w:space="0" w:color="AEAEAE"/>
                  </w:tcBorders>
                  <w:vAlign w:val="center"/>
                </w:tcPr>
                <w:p w14:paraId="15EE6265" w14:textId="77777777" w:rsidR="002D58E4" w:rsidRDefault="00F721D4">
                  <w:pPr>
                    <w:spacing w:after="0"/>
                    <w:rPr>
                      <w:sz w:val="20"/>
                      <w:szCs w:val="20"/>
                    </w:rPr>
                  </w:pPr>
                  <w:r>
                    <w:rPr>
                      <w:sz w:val="20"/>
                      <w:szCs w:val="20"/>
                    </w:rPr>
                    <w:t>Patients had positive</w:t>
                  </w:r>
                </w:p>
                <w:p w14:paraId="75418B5D" w14:textId="77777777" w:rsidR="002D58E4" w:rsidRDefault="00F721D4">
                  <w:pPr>
                    <w:spacing w:after="0"/>
                    <w:rPr>
                      <w:sz w:val="20"/>
                      <w:szCs w:val="20"/>
                    </w:rPr>
                  </w:pPr>
                  <w:r>
                    <w:rPr>
                      <w:sz w:val="20"/>
                      <w:szCs w:val="20"/>
                    </w:rPr>
                    <w:t>Lyme serology results by ELISA, confirmed by positive Western Blot.</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E8C6458" w14:textId="77777777" w:rsidR="002D58E4" w:rsidRDefault="00F721D4">
                  <w:pPr>
                    <w:spacing w:after="0"/>
                    <w:rPr>
                      <w:sz w:val="20"/>
                      <w:szCs w:val="20"/>
                    </w:rPr>
                  </w:pPr>
                  <w:r>
                    <w:rPr>
                      <w:sz w:val="20"/>
                      <w:szCs w:val="20"/>
                    </w:rPr>
                    <w:t xml:space="preserve">29 adults and 52 children with Lyme arthritis living in an endemic area. 32.4% (24 of 74) of patients recalled a tick bite. 21.4% (15 of 70) of patients had a history of erythema migrans. 8% (4 of 52) of children and 39% (11 of 28) of adults had a history of other arthritis (p=0.002). </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AF28406" w14:textId="77777777" w:rsidR="002D58E4" w:rsidRDefault="00F721D4">
                  <w:pPr>
                    <w:spacing w:after="0"/>
                    <w:rPr>
                      <w:sz w:val="20"/>
                      <w:szCs w:val="20"/>
                    </w:rPr>
                  </w:pPr>
                  <w:r>
                    <w:rPr>
                      <w:sz w:val="20"/>
                      <w:szCs w:val="20"/>
                    </w:rPr>
                    <w:t>The diagnosis of Lyme arthritis was initially suspected in children more often than in adults (p=0.04). Lyme arthritis was suspected at presentation in 39% (11 of 28) of adults versus 66% (33 of 50) of children.</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4BF9DFD" w14:textId="77777777" w:rsidR="002D58E4" w:rsidRDefault="00F721D4">
                  <w:pPr>
                    <w:spacing w:after="0"/>
                    <w:rPr>
                      <w:sz w:val="20"/>
                      <w:szCs w:val="20"/>
                    </w:rPr>
                  </w:pPr>
                  <w:r>
                    <w:rPr>
                      <w:sz w:val="20"/>
                      <w:szCs w:val="20"/>
                    </w:rPr>
                    <w:t xml:space="preserve">Adults were more likely to have fluid obtained from their affected joint (p=0.002). Synovial fluid white blood cell counts were significantly higher in children (p&lt;0.0001). There were no other significant differences between inflammatory markers in blood or synovial fluid between the two groups. </w:t>
                  </w:r>
                </w:p>
                <w:p w14:paraId="261CDB83" w14:textId="77777777" w:rsidR="002D58E4" w:rsidRDefault="002D58E4">
                  <w:pPr>
                    <w:spacing w:after="0"/>
                    <w:rPr>
                      <w:sz w:val="20"/>
                      <w:szCs w:val="20"/>
                    </w:rPr>
                  </w:pPr>
                </w:p>
                <w:p w14:paraId="3C1DF9F2" w14:textId="77777777" w:rsidR="002D58E4" w:rsidRDefault="00F721D4">
                  <w:pPr>
                    <w:spacing w:after="0"/>
                    <w:rPr>
                      <w:sz w:val="20"/>
                      <w:szCs w:val="20"/>
                    </w:rPr>
                  </w:pPr>
                  <w:r>
                    <w:rPr>
                      <w:sz w:val="20"/>
                      <w:szCs w:val="20"/>
                    </w:rPr>
                    <w:t>“In endemic areas, Lyme disease should be considered in all patients with mono-articular and oligo-articular arthritis.” The authors warned that an elevated synovial cell count should not be an automatic indication for surgical intervention.</w:t>
                  </w:r>
                </w:p>
                <w:p w14:paraId="650A8C15" w14:textId="77777777" w:rsidR="002D58E4" w:rsidRDefault="002D58E4">
                  <w:pPr>
                    <w:spacing w:after="0"/>
                    <w:rPr>
                      <w:sz w:val="20"/>
                      <w:szCs w:val="20"/>
                    </w:rPr>
                  </w:pPr>
                </w:p>
              </w:tc>
            </w:tr>
            <w:tr w:rsidR="002D58E4" w14:paraId="59D2D06E" w14:textId="77777777">
              <w:trPr>
                <w:trHeight w:val="3660"/>
              </w:trPr>
              <w:tc>
                <w:tcPr>
                  <w:tcW w:w="93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5FE7323" w14:textId="77777777" w:rsidR="002D58E4" w:rsidRPr="002914A2" w:rsidRDefault="00F721D4">
                  <w:pPr>
                    <w:spacing w:after="0"/>
                    <w:rPr>
                      <w:sz w:val="20"/>
                      <w:szCs w:val="20"/>
                      <w:lang w:val="fr-CA"/>
                    </w:rPr>
                  </w:pPr>
                  <w:r w:rsidRPr="002914A2">
                    <w:rPr>
                      <w:sz w:val="20"/>
                      <w:szCs w:val="20"/>
                      <w:lang w:val="fr-CA"/>
                    </w:rPr>
                    <w:t>Dart, et al., 2018</w:t>
                  </w:r>
                </w:p>
                <w:p w14:paraId="6D93FF52" w14:textId="77777777" w:rsidR="002D58E4" w:rsidRPr="002914A2" w:rsidRDefault="002D58E4">
                  <w:pPr>
                    <w:spacing w:after="0"/>
                    <w:rPr>
                      <w:sz w:val="20"/>
                      <w:szCs w:val="20"/>
                      <w:lang w:val="fr-CA"/>
                    </w:rPr>
                  </w:pPr>
                </w:p>
                <w:p w14:paraId="61B6E56C" w14:textId="77777777" w:rsidR="002D58E4" w:rsidRPr="002914A2" w:rsidRDefault="00F721D4">
                  <w:pPr>
                    <w:spacing w:after="0"/>
                    <w:rPr>
                      <w:sz w:val="20"/>
                      <w:szCs w:val="20"/>
                      <w:lang w:val="fr-CA"/>
                    </w:rPr>
                  </w:pPr>
                  <w:r w:rsidRPr="002914A2">
                    <w:rPr>
                      <w:sz w:val="20"/>
                      <w:szCs w:val="20"/>
                      <w:lang w:val="fr-CA"/>
                    </w:rPr>
                    <w:t>Boston, MA</w:t>
                  </w:r>
                </w:p>
              </w:tc>
              <w:tc>
                <w:tcPr>
                  <w:tcW w:w="1080" w:type="dxa"/>
                  <w:tcBorders>
                    <w:top w:val="single" w:sz="6" w:space="0" w:color="AEAEAE"/>
                    <w:left w:val="single" w:sz="6" w:space="0" w:color="AEAEAE"/>
                    <w:bottom w:val="single" w:sz="6" w:space="0" w:color="AEAEAE"/>
                    <w:right w:val="single" w:sz="6" w:space="0" w:color="AEAEAE"/>
                  </w:tcBorders>
                  <w:vAlign w:val="center"/>
                </w:tcPr>
                <w:p w14:paraId="408C4B28" w14:textId="77777777" w:rsidR="002D58E4" w:rsidRDefault="00F721D4">
                  <w:pPr>
                    <w:spacing w:after="0"/>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12C1F16" w14:textId="77777777" w:rsidR="002D58E4" w:rsidRDefault="00F721D4">
                  <w:pPr>
                    <w:spacing w:after="0"/>
                    <w:jc w:val="center"/>
                    <w:rPr>
                      <w:sz w:val="20"/>
                      <w:szCs w:val="20"/>
                    </w:rPr>
                  </w:pPr>
                  <w:r>
                    <w:rPr>
                      <w:sz w:val="20"/>
                      <w:szCs w:val="20"/>
                    </w:rPr>
                    <w:t>8</w:t>
                  </w:r>
                </w:p>
              </w:tc>
              <w:tc>
                <w:tcPr>
                  <w:tcW w:w="1580" w:type="dxa"/>
                  <w:tcBorders>
                    <w:top w:val="single" w:sz="6" w:space="0" w:color="AEAEAE"/>
                    <w:left w:val="single" w:sz="6" w:space="0" w:color="AEAEAE"/>
                    <w:bottom w:val="single" w:sz="6" w:space="0" w:color="AEAEAE"/>
                    <w:right w:val="single" w:sz="6" w:space="0" w:color="AEAEAE"/>
                  </w:tcBorders>
                  <w:vAlign w:val="center"/>
                </w:tcPr>
                <w:p w14:paraId="74B17BDC" w14:textId="77777777" w:rsidR="002D58E4" w:rsidRDefault="00F721D4">
                  <w:pPr>
                    <w:spacing w:after="0"/>
                    <w:rPr>
                      <w:sz w:val="20"/>
                      <w:szCs w:val="20"/>
                    </w:rPr>
                  </w:pPr>
                  <w:r>
                    <w:rPr>
                      <w:sz w:val="20"/>
                      <w:szCs w:val="20"/>
                    </w:rPr>
                    <w:t>Patients had positive 2-tiered Lyme serology results and negative synovial fluid bacterial culture</w:t>
                  </w:r>
                </w:p>
                <w:p w14:paraId="57E9A433" w14:textId="77777777" w:rsidR="002D58E4" w:rsidRDefault="00F721D4">
                  <w:pPr>
                    <w:spacing w:after="0"/>
                    <w:rPr>
                      <w:sz w:val="20"/>
                      <w:szCs w:val="20"/>
                    </w:rPr>
                  </w:pPr>
                  <w:r>
                    <w:rPr>
                      <w:sz w:val="20"/>
                      <w:szCs w:val="20"/>
                    </w:rPr>
                    <w:t>results</w:t>
                  </w:r>
                </w:p>
              </w:tc>
              <w:tc>
                <w:tcPr>
                  <w:tcW w:w="351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94D2D57" w14:textId="77777777" w:rsidR="002D58E4" w:rsidRDefault="00F721D4">
                  <w:pPr>
                    <w:spacing w:after="0"/>
                    <w:rPr>
                      <w:sz w:val="20"/>
                      <w:szCs w:val="20"/>
                    </w:rPr>
                  </w:pPr>
                  <w:r>
                    <w:rPr>
                      <w:sz w:val="20"/>
                      <w:szCs w:val="20"/>
                    </w:rPr>
                    <w:t>Patients ≤21 years of age with hip monoarticular arthritis and a synovial fluid culture obtained who presented to 1 of 3 emergency departments located in Lyme disease endemic areas were included. Of the 238 eligible patients, 26 (11%) had septic arthritis, 32 (13%) had Lyme arthritis, and 180 (76%) had other arthritis.</w:t>
                  </w:r>
                </w:p>
              </w:tc>
              <w:tc>
                <w:tcPr>
                  <w:tcW w:w="306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0D14343" w14:textId="77777777" w:rsidR="002D58E4" w:rsidRDefault="00F721D4">
                  <w:pPr>
                    <w:spacing w:after="0"/>
                    <w:rPr>
                      <w:sz w:val="20"/>
                      <w:szCs w:val="20"/>
                    </w:rPr>
                  </w:pPr>
                  <w:r>
                    <w:rPr>
                      <w:sz w:val="20"/>
                      <w:szCs w:val="20"/>
                    </w:rPr>
                    <w:t>Patients with septic arthritis had a higher median synovial fluid white blood cell (WBC) count than patients with Lyme arthritis. Eighteen patients (56%) with Lyme arthritis had synovial fluid WBC counts ≥50,000 cells per μL. Of the 94 patients who underwent surgical drainage, 13 were later diagnosed with Lyme arthritis.</w:t>
                  </w:r>
                </w:p>
              </w:tc>
              <w:tc>
                <w:tcPr>
                  <w:tcW w:w="3924"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70E4751" w14:textId="77777777" w:rsidR="002D58E4" w:rsidRDefault="00F721D4">
                  <w:pPr>
                    <w:spacing w:after="0"/>
                    <w:rPr>
                      <w:sz w:val="20"/>
                      <w:szCs w:val="20"/>
                    </w:rPr>
                  </w:pPr>
                  <w:r>
                    <w:rPr>
                      <w:sz w:val="20"/>
                      <w:szCs w:val="20"/>
                    </w:rPr>
                    <w:t>In Lyme disease endemic areas, synovial fluid WBC counts cannot always help differentiate septic from Lyme arthritis. Rapid Lyme diagnostics could help avoid unnecessary operative procedures in patients with Lyme arthritis</w:t>
                  </w:r>
                </w:p>
              </w:tc>
            </w:tr>
          </w:tbl>
          <w:p w14:paraId="0792FC48" w14:textId="77777777" w:rsidR="002D58E4" w:rsidRDefault="00F721D4">
            <w:pPr>
              <w:spacing w:after="0" w:line="480" w:lineRule="auto"/>
              <w:jc w:val="both"/>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6B4A6B07" w14:textId="07A54D8D" w:rsidR="002D58E4" w:rsidRDefault="00F721D4">
            <w:pPr>
              <w:spacing w:after="0" w:line="480" w:lineRule="auto"/>
              <w:jc w:val="both"/>
            </w:pPr>
            <w:r>
              <w:rPr>
                <w:b/>
                <w:sz w:val="32"/>
                <w:szCs w:val="32"/>
              </w:rPr>
              <w:t xml:space="preserve">XXI. </w:t>
            </w:r>
            <w:r>
              <w:rPr>
                <w:b/>
                <w:color w:val="000000"/>
                <w:sz w:val="32"/>
                <w:szCs w:val="32"/>
              </w:rPr>
              <w:t>What is the prefer</w:t>
            </w:r>
            <w:r>
              <w:rPr>
                <w:b/>
                <w:sz w:val="32"/>
                <w:szCs w:val="32"/>
              </w:rPr>
              <w:t>red diagnostic testing strategy for Lyme arthritis?</w:t>
            </w:r>
            <w:r>
              <w:rPr>
                <w:b/>
              </w:rPr>
              <w:t xml:space="preserve"> </w:t>
            </w:r>
          </w:p>
          <w:p w14:paraId="20F8DD70" w14:textId="77777777" w:rsidR="002D58E4" w:rsidRDefault="002D58E4">
            <w:pPr>
              <w:spacing w:after="0"/>
              <w:rPr>
                <w:b/>
                <w:color w:val="000000"/>
                <w:sz w:val="18"/>
                <w:szCs w:val="18"/>
              </w:rPr>
            </w:pPr>
          </w:p>
          <w:p w14:paraId="14737138" w14:textId="77777777" w:rsidR="002D58E4" w:rsidRDefault="00F721D4">
            <w:pPr>
              <w:spacing w:after="0"/>
              <w:rPr>
                <w:sz w:val="18"/>
                <w:szCs w:val="18"/>
              </w:rPr>
            </w:pPr>
            <w:r>
              <w:rPr>
                <w:b/>
                <w:color w:val="000000"/>
                <w:sz w:val="18"/>
                <w:szCs w:val="18"/>
              </w:rPr>
              <w:t xml:space="preserve">Bibliography: </w:t>
            </w:r>
            <w:r>
              <w:rPr>
                <w:color w:val="000000"/>
                <w:sz w:val="18"/>
                <w:szCs w:val="18"/>
              </w:rPr>
              <w:t xml:space="preserve">1. Steere, et al. </w:t>
            </w:r>
            <w:r>
              <w:t xml:space="preserve"> </w:t>
            </w:r>
            <w:r>
              <w:rPr>
                <w:color w:val="000000"/>
                <w:sz w:val="18"/>
                <w:szCs w:val="18"/>
              </w:rPr>
              <w:t xml:space="preserve">Yale J Biol Med. 1984 Jul-Aug; 57(4): 557-60; 2. Johnston, et al. </w:t>
            </w:r>
            <w:r>
              <w:t xml:space="preserve"> </w:t>
            </w:r>
            <w:r>
              <w:rPr>
                <w:color w:val="000000"/>
                <w:sz w:val="18"/>
                <w:szCs w:val="18"/>
              </w:rPr>
              <w:t xml:space="preserve">Am J Pathol. 1985 Jan; 118(1): 26-34; 3. Liebling, et al. </w:t>
            </w:r>
            <w:r>
              <w:t xml:space="preserve"> </w:t>
            </w:r>
            <w:r>
              <w:rPr>
                <w:color w:val="000000"/>
                <w:sz w:val="18"/>
                <w:szCs w:val="18"/>
              </w:rPr>
              <w:t xml:space="preserve">Arthritis Rheum. 1993 May; 36(5): 665-75; 4. Bradley, et al. </w:t>
            </w:r>
            <w:r>
              <w:t xml:space="preserve"> </w:t>
            </w:r>
            <w:r>
              <w:rPr>
                <w:color w:val="000000"/>
                <w:sz w:val="18"/>
                <w:szCs w:val="18"/>
              </w:rPr>
              <w:t xml:space="preserve">Ann Intern Med. 1994 Mar 15; 120(6): 487-9; 5. </w:t>
            </w:r>
            <w:r w:rsidRPr="00B033CA">
              <w:rPr>
                <w:color w:val="000000"/>
                <w:sz w:val="18"/>
                <w:szCs w:val="18"/>
                <w:lang w:val="fr-CA"/>
              </w:rPr>
              <w:t xml:space="preserve">Nocton, et al. </w:t>
            </w:r>
            <w:r w:rsidRPr="00B033CA">
              <w:rPr>
                <w:lang w:val="fr-CA"/>
              </w:rPr>
              <w:t xml:space="preserve"> </w:t>
            </w:r>
            <w:r w:rsidRPr="00B033CA">
              <w:rPr>
                <w:color w:val="000000"/>
                <w:sz w:val="18"/>
                <w:szCs w:val="18"/>
                <w:lang w:val="fr-CA"/>
              </w:rPr>
              <w:t xml:space="preserve">N Engl J Med. 1994 Jan 27; 330(4): 229-34; 6. </w:t>
            </w:r>
            <w:r w:rsidRPr="002914A2">
              <w:rPr>
                <w:color w:val="000000"/>
                <w:sz w:val="18"/>
                <w:szCs w:val="18"/>
                <w:lang w:val="fr-CA"/>
              </w:rPr>
              <w:t xml:space="preserve">Persing, et al. </w:t>
            </w:r>
            <w:r w:rsidRPr="002914A2">
              <w:rPr>
                <w:lang w:val="fr-CA"/>
              </w:rPr>
              <w:t xml:space="preserve"> </w:t>
            </w:r>
            <w:r w:rsidRPr="002914A2">
              <w:rPr>
                <w:color w:val="000000"/>
                <w:sz w:val="18"/>
                <w:szCs w:val="18"/>
                <w:lang w:val="fr-CA"/>
              </w:rPr>
              <w:t>J Infect Dis. 1994 Mar; 169(3): 668-72; 7. Jaulhac, et al.</w:t>
            </w:r>
            <w:r w:rsidRPr="002914A2">
              <w:rPr>
                <w:lang w:val="fr-CA"/>
              </w:rPr>
              <w:t xml:space="preserve"> </w:t>
            </w:r>
            <w:r w:rsidRPr="00C10663">
              <w:rPr>
                <w:color w:val="000000"/>
                <w:sz w:val="18"/>
                <w:szCs w:val="18"/>
                <w:lang w:val="en-CA"/>
              </w:rPr>
              <w:t xml:space="preserve">Arthritis Rheum. 1996 May; 39(5): 736-45; 8. Priem, et al. </w:t>
            </w:r>
            <w:r w:rsidRPr="00C10663">
              <w:rPr>
                <w:lang w:val="en-CA"/>
              </w:rPr>
              <w:t xml:space="preserve"> </w:t>
            </w:r>
            <w:r w:rsidRPr="00C10663">
              <w:rPr>
                <w:color w:val="000000"/>
                <w:sz w:val="18"/>
                <w:szCs w:val="18"/>
                <w:lang w:val="en-CA"/>
              </w:rPr>
              <w:t>J Clin Microbiol. 1997 Mar; 35(3): 685-90; 9</w:t>
            </w:r>
            <w:r w:rsidRPr="00C10663">
              <w:rPr>
                <w:sz w:val="18"/>
                <w:szCs w:val="18"/>
                <w:lang w:val="en-CA"/>
              </w:rPr>
              <w:t xml:space="preserve">. </w:t>
            </w:r>
            <w:r w:rsidRPr="002914A2">
              <w:rPr>
                <w:sz w:val="18"/>
                <w:szCs w:val="18"/>
                <w:lang w:val="fr-CA"/>
              </w:rPr>
              <w:t xml:space="preserve">Priem, et al. </w:t>
            </w:r>
            <w:r w:rsidRPr="002914A2">
              <w:rPr>
                <w:lang w:val="fr-CA"/>
              </w:rPr>
              <w:t xml:space="preserve"> </w:t>
            </w:r>
            <w:r w:rsidRPr="002914A2">
              <w:rPr>
                <w:sz w:val="18"/>
                <w:szCs w:val="18"/>
                <w:lang w:val="fr-CA"/>
              </w:rPr>
              <w:t xml:space="preserve">Ann Rheum Dis. 1998 Feb; 57(2): 118-21; 10. Carlson, et al. </w:t>
            </w:r>
            <w:r w:rsidRPr="002914A2">
              <w:rPr>
                <w:lang w:val="fr-CA"/>
              </w:rPr>
              <w:t xml:space="preserve"> </w:t>
            </w:r>
            <w:r w:rsidRPr="002914A2">
              <w:rPr>
                <w:sz w:val="18"/>
                <w:szCs w:val="18"/>
                <w:lang w:val="fr-CA"/>
              </w:rPr>
              <w:t xml:space="preserve">Arthritis Rheum. 1999 Dec; 42(12): 2705-9; 11. Schnarr, et al. </w:t>
            </w:r>
            <w:r w:rsidRPr="002914A2">
              <w:rPr>
                <w:lang w:val="fr-CA"/>
              </w:rPr>
              <w:t xml:space="preserve"> </w:t>
            </w:r>
            <w:r w:rsidRPr="002914A2">
              <w:rPr>
                <w:sz w:val="18"/>
                <w:szCs w:val="18"/>
                <w:lang w:val="fr-CA"/>
              </w:rPr>
              <w:t xml:space="preserve">Arthritis Rheum. 2001 Nov; 44(11): 2679-85; 12. Lipowsky, et al. </w:t>
            </w:r>
            <w:r w:rsidRPr="002914A2">
              <w:rPr>
                <w:lang w:val="fr-CA"/>
              </w:rPr>
              <w:t xml:space="preserve"> </w:t>
            </w:r>
            <w:r w:rsidRPr="002914A2">
              <w:rPr>
                <w:sz w:val="18"/>
                <w:szCs w:val="18"/>
                <w:lang w:val="fr-CA"/>
              </w:rPr>
              <w:t xml:space="preserve">Clin Exp Rheumatol. 2003 Mar-Apr; 21(2): 271-2; 13. Kannian, et al. </w:t>
            </w:r>
            <w:r w:rsidRPr="002914A2">
              <w:rPr>
                <w:lang w:val="fr-CA"/>
              </w:rPr>
              <w:t xml:space="preserve"> </w:t>
            </w:r>
            <w:r w:rsidRPr="002914A2">
              <w:rPr>
                <w:sz w:val="18"/>
                <w:szCs w:val="18"/>
                <w:lang w:val="fr-CA"/>
              </w:rPr>
              <w:t xml:space="preserve">Arthritis Rheum. 2007 Dec; 56(12): 4216-25; 14. Babady, et al. </w:t>
            </w:r>
            <w:r w:rsidRPr="002914A2">
              <w:rPr>
                <w:lang w:val="fr-CA"/>
              </w:rPr>
              <w:t xml:space="preserve"> </w:t>
            </w:r>
            <w:r w:rsidRPr="002914A2">
              <w:rPr>
                <w:sz w:val="18"/>
                <w:szCs w:val="18"/>
                <w:lang w:val="fr-CA"/>
              </w:rPr>
              <w:t xml:space="preserve">Diagn Microbiol Infect Dis. 2008 Dec; 62(4): 464-6; 15. Li, et al. </w:t>
            </w:r>
            <w:r w:rsidRPr="002914A2">
              <w:rPr>
                <w:lang w:val="fr-CA"/>
              </w:rPr>
              <w:t xml:space="preserve"> </w:t>
            </w:r>
            <w:r w:rsidRPr="00C10663">
              <w:rPr>
                <w:sz w:val="18"/>
                <w:szCs w:val="18"/>
                <w:lang w:val="en-CA"/>
              </w:rPr>
              <w:t xml:space="preserve">Arthritis Rheum. 2011 Aug; 63(8): 2238-47; 16. Maraspin, et al. Infection. 2011 Feb; 39(1): 35-40; 17. </w:t>
            </w:r>
            <w:r>
              <w:rPr>
                <w:sz w:val="18"/>
                <w:szCs w:val="18"/>
              </w:rPr>
              <w:t xml:space="preserve">Waddell, et al. </w:t>
            </w:r>
            <w:r>
              <w:t xml:space="preserve"> </w:t>
            </w:r>
            <w:r>
              <w:rPr>
                <w:sz w:val="18"/>
                <w:szCs w:val="18"/>
              </w:rPr>
              <w:t xml:space="preserve">PLoS One. 2016 Dec 21; 11(12): e0168613; 18. Cook and Puri. </w:t>
            </w:r>
            <w:r>
              <w:t xml:space="preserve"> </w:t>
            </w:r>
            <w:r w:rsidRPr="002914A2">
              <w:rPr>
                <w:sz w:val="18"/>
                <w:szCs w:val="18"/>
                <w:lang w:val="fr-CA"/>
              </w:rPr>
              <w:t xml:space="preserve">Int J Gen Med. 2016 Nov 18; 9: 427-440; 19. Leeflang, et al. </w:t>
            </w:r>
            <w:r w:rsidRPr="002914A2">
              <w:rPr>
                <w:lang w:val="fr-CA"/>
              </w:rPr>
              <w:t xml:space="preserve"> </w:t>
            </w:r>
            <w:r w:rsidRPr="002914A2">
              <w:rPr>
                <w:sz w:val="18"/>
                <w:szCs w:val="18"/>
                <w:lang w:val="fr-CA"/>
              </w:rPr>
              <w:t xml:space="preserve">BMC Infect Dis. 2016 Mar 25; 16: 140; 20. Molins, et al. </w:t>
            </w:r>
            <w:r>
              <w:rPr>
                <w:sz w:val="18"/>
                <w:szCs w:val="18"/>
              </w:rPr>
              <w:t>J Clin Microbiol. 2017 Jun;55(6):1698-1706.</w:t>
            </w:r>
          </w:p>
          <w:p w14:paraId="0653C8C3" w14:textId="16CEBE9E" w:rsidR="00171735" w:rsidRDefault="00171735">
            <w:pPr>
              <w:spacing w:after="0"/>
              <w:rPr>
                <w:color w:val="000000"/>
                <w:sz w:val="18"/>
                <w:szCs w:val="18"/>
              </w:rPr>
            </w:pPr>
          </w:p>
        </w:tc>
      </w:tr>
      <w:tr w:rsidR="002D58E4" w14:paraId="7FC5EF26" w14:textId="77777777">
        <w:trPr>
          <w:trHeight w:val="500"/>
        </w:trPr>
        <w:tc>
          <w:tcPr>
            <w:tcW w:w="14790" w:type="dxa"/>
            <w:gridSpan w:val="5"/>
            <w:tcBorders>
              <w:top w:val="single" w:sz="6" w:space="0" w:color="AEAEAE"/>
              <w:left w:val="single" w:sz="6" w:space="0" w:color="AEAEAE"/>
              <w:right w:val="single" w:sz="6" w:space="0" w:color="AEAEAE"/>
            </w:tcBorders>
            <w:shd w:val="clear" w:color="auto" w:fill="D9D9D9"/>
            <w:tcMar>
              <w:top w:w="15" w:type="dxa"/>
              <w:left w:w="30" w:type="dxa"/>
              <w:bottom w:w="0" w:type="dxa"/>
              <w:right w:w="30" w:type="dxa"/>
            </w:tcMar>
          </w:tcPr>
          <w:p w14:paraId="3FB4379A" w14:textId="77777777" w:rsidR="002D58E4" w:rsidRDefault="00F721D4">
            <w:pPr>
              <w:spacing w:after="0"/>
              <w:jc w:val="center"/>
              <w:rPr>
                <w:b/>
                <w:color w:val="000000"/>
                <w:sz w:val="20"/>
                <w:szCs w:val="20"/>
              </w:rPr>
            </w:pPr>
            <w:r>
              <w:rPr>
                <w:b/>
                <w:color w:val="000000"/>
                <w:sz w:val="20"/>
                <w:szCs w:val="20"/>
              </w:rPr>
              <w:t>PCR, Culture, and Lymphocyte proliferation assay Data</w:t>
            </w:r>
          </w:p>
        </w:tc>
      </w:tr>
      <w:tr w:rsidR="002D58E4" w14:paraId="50C88C27" w14:textId="77777777">
        <w:trPr>
          <w:trHeight w:val="500"/>
        </w:trPr>
        <w:tc>
          <w:tcPr>
            <w:tcW w:w="1020" w:type="dxa"/>
            <w:tcBorders>
              <w:top w:val="single" w:sz="6" w:space="0" w:color="AEAEAE"/>
              <w:left w:val="single" w:sz="6" w:space="0" w:color="AEAEAE"/>
            </w:tcBorders>
            <w:shd w:val="clear" w:color="auto" w:fill="D9D9D9"/>
            <w:tcMar>
              <w:top w:w="15" w:type="dxa"/>
              <w:left w:w="30" w:type="dxa"/>
              <w:bottom w:w="0" w:type="dxa"/>
              <w:right w:w="30" w:type="dxa"/>
            </w:tcMar>
          </w:tcPr>
          <w:p w14:paraId="67748DB2" w14:textId="77777777" w:rsidR="002D58E4" w:rsidRDefault="00F721D4">
            <w:pPr>
              <w:spacing w:after="0"/>
              <w:jc w:val="center"/>
              <w:rPr>
                <w:sz w:val="20"/>
                <w:szCs w:val="20"/>
              </w:rPr>
            </w:pPr>
            <w:r>
              <w:rPr>
                <w:b/>
                <w:color w:val="000000"/>
                <w:sz w:val="20"/>
                <w:szCs w:val="20"/>
              </w:rPr>
              <w:t>Study and Location</w:t>
            </w:r>
          </w:p>
        </w:tc>
        <w:tc>
          <w:tcPr>
            <w:tcW w:w="990" w:type="dxa"/>
            <w:tcBorders>
              <w:top w:val="single" w:sz="6" w:space="0" w:color="AEAEAE"/>
            </w:tcBorders>
            <w:shd w:val="clear" w:color="auto" w:fill="D9D9D9"/>
          </w:tcPr>
          <w:p w14:paraId="7D6CE078" w14:textId="77777777" w:rsidR="002D58E4" w:rsidRDefault="00F721D4">
            <w:pPr>
              <w:spacing w:after="0"/>
              <w:jc w:val="center"/>
              <w:rPr>
                <w:b/>
                <w:color w:val="000000"/>
                <w:sz w:val="20"/>
                <w:szCs w:val="20"/>
              </w:rPr>
            </w:pPr>
            <w:r>
              <w:rPr>
                <w:b/>
                <w:color w:val="000000"/>
                <w:sz w:val="20"/>
                <w:szCs w:val="20"/>
              </w:rPr>
              <w:t>Study Design</w:t>
            </w:r>
          </w:p>
        </w:tc>
        <w:tc>
          <w:tcPr>
            <w:tcW w:w="3960" w:type="dxa"/>
            <w:tcBorders>
              <w:top w:val="single" w:sz="6" w:space="0" w:color="AEAEAE"/>
            </w:tcBorders>
            <w:shd w:val="clear" w:color="auto" w:fill="D9D9D9"/>
          </w:tcPr>
          <w:p w14:paraId="54EC50A1" w14:textId="77777777" w:rsidR="002D58E4" w:rsidRDefault="00F721D4">
            <w:pPr>
              <w:spacing w:after="0"/>
              <w:jc w:val="center"/>
              <w:rPr>
                <w:b/>
                <w:color w:val="000000"/>
                <w:sz w:val="20"/>
                <w:szCs w:val="20"/>
              </w:rPr>
            </w:pPr>
            <w:r>
              <w:rPr>
                <w:b/>
                <w:color w:val="000000"/>
                <w:sz w:val="20"/>
                <w:szCs w:val="20"/>
              </w:rPr>
              <w:t>Sample Source(s) and Diagnosis description</w:t>
            </w:r>
          </w:p>
        </w:tc>
        <w:tc>
          <w:tcPr>
            <w:tcW w:w="4170" w:type="dxa"/>
            <w:tcBorders>
              <w:top w:val="single" w:sz="6" w:space="0" w:color="AEAEAE"/>
            </w:tcBorders>
            <w:shd w:val="clear" w:color="auto" w:fill="D9D9D9"/>
            <w:tcMar>
              <w:top w:w="15" w:type="dxa"/>
              <w:left w:w="30" w:type="dxa"/>
              <w:bottom w:w="0" w:type="dxa"/>
              <w:right w:w="30" w:type="dxa"/>
            </w:tcMar>
          </w:tcPr>
          <w:p w14:paraId="08DE2634" w14:textId="77777777" w:rsidR="002D58E4" w:rsidRDefault="00F721D4">
            <w:pPr>
              <w:spacing w:after="0"/>
              <w:jc w:val="center"/>
              <w:rPr>
                <w:sz w:val="20"/>
                <w:szCs w:val="20"/>
              </w:rPr>
            </w:pPr>
            <w:r>
              <w:rPr>
                <w:b/>
                <w:color w:val="000000"/>
                <w:sz w:val="20"/>
                <w:szCs w:val="20"/>
              </w:rPr>
              <w:t>Diagnosis Method, % positive</w:t>
            </w:r>
          </w:p>
        </w:tc>
        <w:tc>
          <w:tcPr>
            <w:tcW w:w="4650" w:type="dxa"/>
            <w:tcBorders>
              <w:top w:val="single" w:sz="6" w:space="0" w:color="AEAEAE"/>
              <w:right w:val="single" w:sz="6" w:space="0" w:color="AEAEAE"/>
            </w:tcBorders>
            <w:shd w:val="clear" w:color="auto" w:fill="D9D9D9"/>
            <w:tcMar>
              <w:top w:w="15" w:type="dxa"/>
              <w:left w:w="30" w:type="dxa"/>
              <w:bottom w:w="0" w:type="dxa"/>
              <w:right w:w="30" w:type="dxa"/>
            </w:tcMar>
          </w:tcPr>
          <w:p w14:paraId="4D6C5A14" w14:textId="77777777" w:rsidR="002D58E4" w:rsidRDefault="00F721D4">
            <w:pPr>
              <w:spacing w:after="0"/>
              <w:jc w:val="center"/>
              <w:rPr>
                <w:sz w:val="20"/>
                <w:szCs w:val="20"/>
              </w:rPr>
            </w:pPr>
            <w:r>
              <w:rPr>
                <w:b/>
                <w:color w:val="000000"/>
                <w:sz w:val="20"/>
                <w:szCs w:val="20"/>
              </w:rPr>
              <w:t>Study Conclusions</w:t>
            </w:r>
          </w:p>
        </w:tc>
      </w:tr>
      <w:tr w:rsidR="002D58E4" w14:paraId="63A9B603" w14:textId="77777777">
        <w:trPr>
          <w:trHeight w:val="1260"/>
        </w:trPr>
        <w:tc>
          <w:tcPr>
            <w:tcW w:w="1020" w:type="dxa"/>
            <w:tcBorders>
              <w:top w:val="single" w:sz="6" w:space="0" w:color="AEAEAE"/>
              <w:left w:val="single" w:sz="6" w:space="0" w:color="AEAEAE"/>
            </w:tcBorders>
            <w:shd w:val="clear" w:color="auto" w:fill="auto"/>
            <w:tcMar>
              <w:top w:w="15" w:type="dxa"/>
              <w:left w:w="30" w:type="dxa"/>
              <w:bottom w:w="0" w:type="dxa"/>
              <w:right w:w="30" w:type="dxa"/>
            </w:tcMar>
            <w:vAlign w:val="center"/>
          </w:tcPr>
          <w:p w14:paraId="38B59AAC" w14:textId="77777777" w:rsidR="002D58E4" w:rsidRDefault="00F721D4">
            <w:pPr>
              <w:spacing w:after="0"/>
              <w:rPr>
                <w:sz w:val="20"/>
                <w:szCs w:val="20"/>
              </w:rPr>
            </w:pPr>
            <w:r>
              <w:rPr>
                <w:sz w:val="20"/>
                <w:szCs w:val="20"/>
              </w:rPr>
              <w:t>Steere, et al., 1984</w:t>
            </w:r>
          </w:p>
          <w:p w14:paraId="29FB7E8B" w14:textId="77777777" w:rsidR="002D58E4" w:rsidRDefault="002D58E4">
            <w:pPr>
              <w:spacing w:after="0"/>
              <w:rPr>
                <w:sz w:val="20"/>
                <w:szCs w:val="20"/>
              </w:rPr>
            </w:pPr>
          </w:p>
          <w:p w14:paraId="30326DF8" w14:textId="77777777" w:rsidR="002D58E4" w:rsidRDefault="00F721D4">
            <w:pPr>
              <w:spacing w:after="0"/>
              <w:rPr>
                <w:sz w:val="20"/>
                <w:szCs w:val="20"/>
              </w:rPr>
            </w:pPr>
            <w:r>
              <w:rPr>
                <w:sz w:val="20"/>
                <w:szCs w:val="20"/>
              </w:rPr>
              <w:t>New Haven, CT</w:t>
            </w:r>
          </w:p>
        </w:tc>
        <w:tc>
          <w:tcPr>
            <w:tcW w:w="990" w:type="dxa"/>
            <w:vAlign w:val="center"/>
          </w:tcPr>
          <w:p w14:paraId="19B183E9" w14:textId="77777777" w:rsidR="002D58E4" w:rsidRDefault="00F721D4">
            <w:pPr>
              <w:spacing w:after="0"/>
              <w:rPr>
                <w:sz w:val="20"/>
                <w:szCs w:val="20"/>
              </w:rPr>
            </w:pPr>
            <w:r>
              <w:rPr>
                <w:sz w:val="20"/>
                <w:szCs w:val="20"/>
              </w:rPr>
              <w:t>Cross-sectional study</w:t>
            </w:r>
          </w:p>
        </w:tc>
        <w:tc>
          <w:tcPr>
            <w:tcW w:w="3960" w:type="dxa"/>
            <w:vAlign w:val="center"/>
          </w:tcPr>
          <w:p w14:paraId="4A1E39B1" w14:textId="77777777" w:rsidR="002D58E4" w:rsidRDefault="00F721D4">
            <w:pPr>
              <w:spacing w:after="0"/>
              <w:rPr>
                <w:sz w:val="20"/>
                <w:szCs w:val="20"/>
              </w:rPr>
            </w:pPr>
            <w:r>
              <w:rPr>
                <w:sz w:val="20"/>
                <w:szCs w:val="20"/>
              </w:rPr>
              <w:t xml:space="preserve">Blood, skin biopsy specimens of erythema migrans, cerebrospinal fluid, lymph-node aspirates, and urine cultures were obtained from a total of 118 adults with recent onset Lyme disease. </w:t>
            </w:r>
          </w:p>
          <w:p w14:paraId="0498100C" w14:textId="77777777" w:rsidR="002D58E4" w:rsidRDefault="002D58E4">
            <w:pPr>
              <w:spacing w:after="0"/>
              <w:rPr>
                <w:sz w:val="20"/>
                <w:szCs w:val="20"/>
              </w:rPr>
            </w:pPr>
          </w:p>
          <w:p w14:paraId="58AC608B" w14:textId="77777777" w:rsidR="002D58E4" w:rsidRDefault="00F721D4">
            <w:pPr>
              <w:spacing w:after="0"/>
              <w:rPr>
                <w:sz w:val="20"/>
                <w:szCs w:val="20"/>
              </w:rPr>
            </w:pPr>
            <w:r>
              <w:rPr>
                <w:sz w:val="20"/>
                <w:szCs w:val="20"/>
              </w:rPr>
              <w:t>Synovial fluid, synovial tissue or cartilage was obtained from patients with Lyme arthritis.</w:t>
            </w:r>
          </w:p>
        </w:tc>
        <w:tc>
          <w:tcPr>
            <w:tcW w:w="4170" w:type="dxa"/>
            <w:shd w:val="clear" w:color="auto" w:fill="auto"/>
            <w:tcMar>
              <w:top w:w="15" w:type="dxa"/>
              <w:left w:w="30" w:type="dxa"/>
              <w:bottom w:w="0" w:type="dxa"/>
              <w:right w:w="30" w:type="dxa"/>
            </w:tcMar>
            <w:vAlign w:val="center"/>
          </w:tcPr>
          <w:p w14:paraId="68009992" w14:textId="77777777" w:rsidR="002D58E4" w:rsidRDefault="00F721D4">
            <w:pPr>
              <w:spacing w:after="0"/>
              <w:rPr>
                <w:sz w:val="20"/>
                <w:szCs w:val="20"/>
              </w:rPr>
            </w:pPr>
            <w:r>
              <w:rPr>
                <w:sz w:val="20"/>
                <w:szCs w:val="20"/>
              </w:rPr>
              <w:t>Specimens were cultured using Barbour Stoenner Kelly (BSK) medium. Cultures were incubated at 33°C and examined by dark-field microscopy.</w:t>
            </w:r>
          </w:p>
          <w:p w14:paraId="7A107783" w14:textId="77777777" w:rsidR="002D58E4" w:rsidRDefault="002D58E4">
            <w:pPr>
              <w:spacing w:after="0"/>
              <w:rPr>
                <w:sz w:val="20"/>
                <w:szCs w:val="20"/>
              </w:rPr>
            </w:pPr>
          </w:p>
          <w:p w14:paraId="64C5D7FF" w14:textId="77777777" w:rsidR="002D58E4" w:rsidRDefault="00F721D4">
            <w:pPr>
              <w:spacing w:after="0"/>
              <w:rPr>
                <w:sz w:val="20"/>
                <w:szCs w:val="20"/>
              </w:rPr>
            </w:pPr>
            <w:r>
              <w:rPr>
                <w:sz w:val="20"/>
                <w:szCs w:val="20"/>
              </w:rPr>
              <w:t xml:space="preserve">Of 23 specimens of joint fluid, synovial tissue, and cartilage cultured, none were positive for </w:t>
            </w:r>
            <w:r>
              <w:rPr>
                <w:i/>
                <w:sz w:val="20"/>
                <w:szCs w:val="20"/>
              </w:rPr>
              <w:t xml:space="preserve">B. burgdorferi </w:t>
            </w:r>
            <w:r>
              <w:rPr>
                <w:sz w:val="20"/>
                <w:szCs w:val="20"/>
              </w:rPr>
              <w:t xml:space="preserve">spirochetes.  </w:t>
            </w:r>
          </w:p>
        </w:tc>
        <w:tc>
          <w:tcPr>
            <w:tcW w:w="4650" w:type="dxa"/>
            <w:tcBorders>
              <w:top w:val="single" w:sz="6" w:space="0" w:color="AEAEAE"/>
              <w:right w:val="single" w:sz="6" w:space="0" w:color="AEAEAE"/>
            </w:tcBorders>
            <w:shd w:val="clear" w:color="auto" w:fill="auto"/>
            <w:tcMar>
              <w:top w:w="61" w:type="dxa"/>
              <w:left w:w="144" w:type="dxa"/>
              <w:bottom w:w="61" w:type="dxa"/>
              <w:right w:w="144" w:type="dxa"/>
            </w:tcMar>
            <w:vAlign w:val="center"/>
          </w:tcPr>
          <w:p w14:paraId="14FC31C6" w14:textId="77777777" w:rsidR="002D58E4" w:rsidRDefault="00F721D4">
            <w:pPr>
              <w:spacing w:after="0"/>
              <w:rPr>
                <w:sz w:val="20"/>
                <w:szCs w:val="20"/>
              </w:rPr>
            </w:pPr>
            <w:r>
              <w:rPr>
                <w:sz w:val="20"/>
                <w:szCs w:val="20"/>
              </w:rPr>
              <w:t>The authors noted that culture yields were in general low. None of the synovial fluid, synovial tissue, or cartilage specimens obtained from Lyme arthritis patients were positive.</w:t>
            </w:r>
          </w:p>
          <w:p w14:paraId="2A0E2E21" w14:textId="77777777" w:rsidR="002D58E4" w:rsidRDefault="002D58E4">
            <w:pPr>
              <w:spacing w:after="0"/>
              <w:rPr>
                <w:sz w:val="20"/>
                <w:szCs w:val="20"/>
              </w:rPr>
            </w:pPr>
          </w:p>
          <w:p w14:paraId="7D0C807A" w14:textId="77777777" w:rsidR="002D58E4" w:rsidRDefault="00F721D4">
            <w:pPr>
              <w:spacing w:after="0"/>
              <w:rPr>
                <w:sz w:val="20"/>
                <w:szCs w:val="20"/>
              </w:rPr>
            </w:pPr>
            <w:r>
              <w:rPr>
                <w:sz w:val="20"/>
                <w:szCs w:val="20"/>
              </w:rPr>
              <w:t>The authors postulate that the number of organisms in affected tissues is small based on the difficulty in recovery of spirochetes and the possible need to concentrate specimens and to passage cultures. They noted that direct visualization of organisms in tissue may be even more problematic.</w:t>
            </w:r>
          </w:p>
        </w:tc>
      </w:tr>
      <w:tr w:rsidR="002D58E4" w14:paraId="2F504E8D" w14:textId="77777777">
        <w:trPr>
          <w:trHeight w:val="720"/>
        </w:trPr>
        <w:tc>
          <w:tcPr>
            <w:tcW w:w="1020" w:type="dxa"/>
            <w:tcBorders>
              <w:top w:val="single" w:sz="6" w:space="0" w:color="AEAEAE"/>
              <w:left w:val="single" w:sz="6" w:space="0" w:color="AEAEAE"/>
            </w:tcBorders>
            <w:shd w:val="clear" w:color="auto" w:fill="auto"/>
            <w:tcMar>
              <w:top w:w="15" w:type="dxa"/>
              <w:left w:w="30" w:type="dxa"/>
              <w:bottom w:w="0" w:type="dxa"/>
              <w:right w:w="30" w:type="dxa"/>
            </w:tcMar>
            <w:vAlign w:val="center"/>
          </w:tcPr>
          <w:p w14:paraId="00B88E4D" w14:textId="77777777" w:rsidR="002D58E4" w:rsidRDefault="00F721D4">
            <w:pPr>
              <w:spacing w:after="0"/>
              <w:rPr>
                <w:sz w:val="20"/>
                <w:szCs w:val="20"/>
              </w:rPr>
            </w:pPr>
            <w:r>
              <w:rPr>
                <w:sz w:val="20"/>
                <w:szCs w:val="20"/>
              </w:rPr>
              <w:t>Johnston, et al., 1985</w:t>
            </w:r>
          </w:p>
          <w:p w14:paraId="4337C117" w14:textId="77777777" w:rsidR="002D58E4" w:rsidRDefault="002D58E4">
            <w:pPr>
              <w:spacing w:after="0"/>
              <w:rPr>
                <w:sz w:val="20"/>
                <w:szCs w:val="20"/>
              </w:rPr>
            </w:pPr>
          </w:p>
          <w:p w14:paraId="4CF77422" w14:textId="77777777" w:rsidR="002D58E4" w:rsidRDefault="00F721D4">
            <w:pPr>
              <w:spacing w:after="0"/>
              <w:rPr>
                <w:sz w:val="20"/>
                <w:szCs w:val="20"/>
              </w:rPr>
            </w:pPr>
            <w:r>
              <w:rPr>
                <w:sz w:val="20"/>
                <w:szCs w:val="20"/>
              </w:rPr>
              <w:t>New Haven, CT</w:t>
            </w:r>
          </w:p>
        </w:tc>
        <w:tc>
          <w:tcPr>
            <w:tcW w:w="990" w:type="dxa"/>
            <w:vAlign w:val="center"/>
          </w:tcPr>
          <w:p w14:paraId="4C2F2D6B" w14:textId="77777777" w:rsidR="002D58E4" w:rsidRDefault="00F721D4">
            <w:pPr>
              <w:spacing w:after="0"/>
              <w:rPr>
                <w:sz w:val="20"/>
                <w:szCs w:val="20"/>
              </w:rPr>
            </w:pPr>
            <w:r>
              <w:rPr>
                <w:sz w:val="20"/>
                <w:szCs w:val="20"/>
              </w:rPr>
              <w:t>Cross-sectional study</w:t>
            </w:r>
          </w:p>
        </w:tc>
        <w:tc>
          <w:tcPr>
            <w:tcW w:w="3960" w:type="dxa"/>
            <w:vAlign w:val="center"/>
          </w:tcPr>
          <w:p w14:paraId="48EE3F62" w14:textId="77777777" w:rsidR="002D58E4" w:rsidRDefault="00F721D4">
            <w:pPr>
              <w:spacing w:after="0"/>
              <w:rPr>
                <w:sz w:val="20"/>
                <w:szCs w:val="20"/>
              </w:rPr>
            </w:pPr>
            <w:r>
              <w:rPr>
                <w:sz w:val="20"/>
                <w:szCs w:val="20"/>
              </w:rPr>
              <w:t>Synovial tissue specimens were obtained from 17 patients (70.6% male; mean age 36, range 11-57 years) who met the clinical criteria for Lyme arthritis and underwent surgical excision or biopsy of synovial tissue. All patients had elevated</w:t>
            </w:r>
            <w:r>
              <w:t xml:space="preserve"> </w:t>
            </w:r>
            <w:r>
              <w:rPr>
                <w:sz w:val="20"/>
                <w:szCs w:val="20"/>
              </w:rPr>
              <w:t xml:space="preserve">IgG titers against </w:t>
            </w:r>
            <w:r>
              <w:rPr>
                <w:i/>
                <w:sz w:val="20"/>
                <w:szCs w:val="20"/>
              </w:rPr>
              <w:t>B. burgdorferi</w:t>
            </w:r>
            <w:r>
              <w:rPr>
                <w:sz w:val="20"/>
                <w:szCs w:val="20"/>
              </w:rPr>
              <w:t xml:space="preserve"> as determined by ELISA. </w:t>
            </w:r>
          </w:p>
          <w:p w14:paraId="77026073" w14:textId="77777777" w:rsidR="002D58E4" w:rsidRDefault="002D58E4">
            <w:pPr>
              <w:spacing w:after="0"/>
              <w:rPr>
                <w:sz w:val="20"/>
                <w:szCs w:val="20"/>
              </w:rPr>
            </w:pPr>
          </w:p>
          <w:p w14:paraId="313B116A" w14:textId="77777777" w:rsidR="002D58E4" w:rsidRDefault="00F721D4">
            <w:pPr>
              <w:spacing w:after="0"/>
              <w:rPr>
                <w:sz w:val="20"/>
                <w:szCs w:val="20"/>
              </w:rPr>
            </w:pPr>
            <w:r>
              <w:rPr>
                <w:sz w:val="20"/>
                <w:szCs w:val="20"/>
              </w:rPr>
              <w:t xml:space="preserve">Early in the illness, joint involvement was documented to be characteristically intermittent and oligoarticular but became chronic (duration &gt;6 months) in the knees of 14 patients. Open surgical or arthroscopic synovectomies were performed as therapeutic measures in 8 (57.1%) of the patients with chronic arthritis. Closed biopsies were performed in the remaining 9 patients. </w:t>
            </w:r>
          </w:p>
          <w:p w14:paraId="4217F03E" w14:textId="77777777" w:rsidR="002D58E4" w:rsidRDefault="002D58E4">
            <w:pPr>
              <w:spacing w:after="0"/>
              <w:rPr>
                <w:sz w:val="20"/>
                <w:szCs w:val="20"/>
              </w:rPr>
            </w:pPr>
          </w:p>
          <w:p w14:paraId="2B68411C" w14:textId="77777777" w:rsidR="002D58E4" w:rsidRDefault="00F721D4">
            <w:pPr>
              <w:spacing w:after="0"/>
              <w:rPr>
                <w:sz w:val="20"/>
                <w:szCs w:val="20"/>
              </w:rPr>
            </w:pPr>
            <w:r>
              <w:rPr>
                <w:sz w:val="20"/>
                <w:szCs w:val="20"/>
              </w:rPr>
              <w:t>The mean duration from the onset of arthritis to the time of synovectomy or synovial biopsy was 27 months (range, 3-84 months). All patients were receiving non-steroidal anti-inflammatory agents (NSAIDs) at the time of excision or biopsy, but none had received intra-articular steroid injections (IACS) during the prior month.</w:t>
            </w:r>
          </w:p>
        </w:tc>
        <w:tc>
          <w:tcPr>
            <w:tcW w:w="4170" w:type="dxa"/>
            <w:shd w:val="clear" w:color="auto" w:fill="auto"/>
            <w:tcMar>
              <w:top w:w="15" w:type="dxa"/>
              <w:left w:w="30" w:type="dxa"/>
              <w:bottom w:w="0" w:type="dxa"/>
              <w:right w:w="30" w:type="dxa"/>
            </w:tcMar>
            <w:vAlign w:val="center"/>
          </w:tcPr>
          <w:p w14:paraId="599686B1" w14:textId="77777777" w:rsidR="002D58E4" w:rsidRDefault="00F721D4">
            <w:pPr>
              <w:spacing w:after="0"/>
              <w:rPr>
                <w:sz w:val="20"/>
                <w:szCs w:val="20"/>
              </w:rPr>
            </w:pPr>
            <w:r>
              <w:rPr>
                <w:sz w:val="20"/>
                <w:szCs w:val="20"/>
              </w:rPr>
              <w:t>Synovial samples were fixed in neutral buffered formalin and in some cases, Helly's fixative.</w:t>
            </w:r>
            <w:r>
              <w:t xml:space="preserve"> </w:t>
            </w:r>
            <w:r>
              <w:rPr>
                <w:sz w:val="20"/>
                <w:szCs w:val="20"/>
              </w:rPr>
              <w:t>All samples were stained with hematoxylin and eosin, and samples from synovectomies underwent additional staining. Samples were histologically examined by two separate observers and were compared with synovial tissue specimens from patients with other synovial diseases.</w:t>
            </w:r>
          </w:p>
          <w:p w14:paraId="7EBA24FD" w14:textId="77777777" w:rsidR="002D58E4" w:rsidRDefault="002D58E4">
            <w:pPr>
              <w:spacing w:after="0"/>
              <w:rPr>
                <w:sz w:val="20"/>
                <w:szCs w:val="20"/>
              </w:rPr>
            </w:pPr>
          </w:p>
          <w:p w14:paraId="462A054E" w14:textId="77777777" w:rsidR="002D58E4" w:rsidRDefault="00F721D4">
            <w:pPr>
              <w:spacing w:after="0"/>
              <w:rPr>
                <w:sz w:val="20"/>
                <w:szCs w:val="20"/>
              </w:rPr>
            </w:pPr>
            <w:r>
              <w:rPr>
                <w:sz w:val="20"/>
                <w:szCs w:val="20"/>
              </w:rPr>
              <w:t xml:space="preserve">Lyme arthritis was correctly recognized by microscopy in 29% of Lyme arthritis patient specimens (5 of 17). This number was the same for both reviewers. For both reviewers, the correctly identified specimens had all originated from synovectomies. </w:t>
            </w:r>
          </w:p>
          <w:p w14:paraId="551A63DE" w14:textId="77777777" w:rsidR="002D58E4" w:rsidRDefault="002D58E4">
            <w:pPr>
              <w:spacing w:after="0"/>
              <w:rPr>
                <w:sz w:val="20"/>
                <w:szCs w:val="20"/>
              </w:rPr>
            </w:pPr>
          </w:p>
          <w:p w14:paraId="70761004" w14:textId="77777777" w:rsidR="002D58E4" w:rsidRDefault="00F721D4">
            <w:pPr>
              <w:spacing w:after="0"/>
              <w:rPr>
                <w:sz w:val="20"/>
                <w:szCs w:val="20"/>
              </w:rPr>
            </w:pPr>
            <w:r>
              <w:rPr>
                <w:sz w:val="20"/>
                <w:szCs w:val="20"/>
              </w:rPr>
              <w:t xml:space="preserve">Spirochetes were observed both within the walls of thickened vessels and in the loose tissue in vascular beds in 2 of 8 synovectomy specimens. </w:t>
            </w:r>
          </w:p>
          <w:p w14:paraId="7C515785" w14:textId="77777777" w:rsidR="002D58E4" w:rsidRDefault="002D58E4">
            <w:pPr>
              <w:spacing w:after="0"/>
              <w:rPr>
                <w:sz w:val="20"/>
                <w:szCs w:val="20"/>
              </w:rPr>
            </w:pPr>
          </w:p>
          <w:p w14:paraId="57978313" w14:textId="77777777" w:rsidR="002D58E4" w:rsidRDefault="002D58E4">
            <w:pPr>
              <w:spacing w:after="0"/>
              <w:rPr>
                <w:sz w:val="20"/>
                <w:szCs w:val="20"/>
              </w:rPr>
            </w:pPr>
          </w:p>
        </w:tc>
        <w:tc>
          <w:tcPr>
            <w:tcW w:w="4650" w:type="dxa"/>
            <w:tcBorders>
              <w:top w:val="single" w:sz="6" w:space="0" w:color="AEAEAE"/>
              <w:right w:val="single" w:sz="6" w:space="0" w:color="AEAEAE"/>
            </w:tcBorders>
            <w:shd w:val="clear" w:color="auto" w:fill="auto"/>
            <w:tcMar>
              <w:top w:w="61" w:type="dxa"/>
              <w:left w:w="144" w:type="dxa"/>
              <w:bottom w:w="61" w:type="dxa"/>
              <w:right w:w="144" w:type="dxa"/>
            </w:tcMar>
            <w:vAlign w:val="center"/>
          </w:tcPr>
          <w:p w14:paraId="6A8C502F" w14:textId="77777777" w:rsidR="002D58E4" w:rsidRDefault="00F721D4">
            <w:pPr>
              <w:spacing w:after="0"/>
              <w:rPr>
                <w:sz w:val="20"/>
                <w:szCs w:val="20"/>
              </w:rPr>
            </w:pPr>
            <w:r>
              <w:rPr>
                <w:sz w:val="20"/>
                <w:szCs w:val="20"/>
              </w:rPr>
              <w:t xml:space="preserve">The authors noted histologic similarities in the synovial tissue of patients with severe Lyme arthritis to the synovial tissue of patients with rheumatoid arthritis; in both diseases, the synovial tissue shows villus hypertrophy, vascular proliferation, and a moderate to marked infiltrate of lymphocytes and plasma cells. </w:t>
            </w:r>
          </w:p>
          <w:p w14:paraId="23ED0493" w14:textId="77777777" w:rsidR="002D58E4" w:rsidRDefault="002D58E4">
            <w:pPr>
              <w:spacing w:after="0"/>
              <w:rPr>
                <w:sz w:val="20"/>
                <w:szCs w:val="20"/>
              </w:rPr>
            </w:pPr>
          </w:p>
          <w:p w14:paraId="56D54BA6" w14:textId="77777777" w:rsidR="002D58E4" w:rsidRDefault="00F721D4">
            <w:pPr>
              <w:spacing w:before="280" w:after="0"/>
              <w:rPr>
                <w:sz w:val="20"/>
                <w:szCs w:val="20"/>
              </w:rPr>
            </w:pPr>
            <w:r>
              <w:rPr>
                <w:sz w:val="20"/>
                <w:szCs w:val="20"/>
              </w:rPr>
              <w:t xml:space="preserve">In 5 cases of Lyme disease, a specific microvascular lesion that was not found in the other synovial diseases was observed. This lesion manifests arteriolar muscle cell proliferation and concentric adventitial fibroplasia resembling the so-called “onion skin” vascular lesions seen in malignant hypertension, syphilis, and spleens of patients with systemic lupus erythematosus.  As only rare inflammatory cells were observed, the authors note that this lesion did not seem to result by a direct immune attack on the vessel. </w:t>
            </w:r>
          </w:p>
          <w:p w14:paraId="4FC40DC0" w14:textId="77777777" w:rsidR="002D58E4" w:rsidRDefault="00F721D4">
            <w:pPr>
              <w:spacing w:after="0"/>
              <w:rPr>
                <w:sz w:val="20"/>
                <w:szCs w:val="20"/>
              </w:rPr>
            </w:pPr>
            <w:r>
              <w:rPr>
                <w:sz w:val="20"/>
                <w:szCs w:val="20"/>
              </w:rPr>
              <w:t xml:space="preserve">The authors concluded that the presence of spirochetes may be directly responsible for the unique microvascular lesion described above. </w:t>
            </w:r>
          </w:p>
        </w:tc>
      </w:tr>
      <w:tr w:rsidR="002D58E4" w14:paraId="6D4334A7" w14:textId="77777777">
        <w:trPr>
          <w:trHeight w:val="1240"/>
        </w:trPr>
        <w:tc>
          <w:tcPr>
            <w:tcW w:w="1020" w:type="dxa"/>
            <w:tcBorders>
              <w:top w:val="single" w:sz="6" w:space="0" w:color="AEAEAE"/>
              <w:left w:val="single" w:sz="6" w:space="0" w:color="AEAEAE"/>
            </w:tcBorders>
            <w:shd w:val="clear" w:color="auto" w:fill="auto"/>
            <w:tcMar>
              <w:top w:w="15" w:type="dxa"/>
              <w:left w:w="30" w:type="dxa"/>
              <w:bottom w:w="0" w:type="dxa"/>
              <w:right w:w="30" w:type="dxa"/>
            </w:tcMar>
            <w:vAlign w:val="center"/>
          </w:tcPr>
          <w:p w14:paraId="36E23BDC" w14:textId="77777777" w:rsidR="002D58E4" w:rsidRDefault="00F721D4">
            <w:pPr>
              <w:spacing w:after="0"/>
              <w:rPr>
                <w:sz w:val="20"/>
                <w:szCs w:val="20"/>
              </w:rPr>
            </w:pPr>
            <w:r>
              <w:rPr>
                <w:sz w:val="20"/>
                <w:szCs w:val="20"/>
              </w:rPr>
              <w:t>Liebling, et al., 1993</w:t>
            </w:r>
          </w:p>
          <w:p w14:paraId="201F2916" w14:textId="77777777" w:rsidR="002D58E4" w:rsidRDefault="002D58E4">
            <w:pPr>
              <w:spacing w:after="0"/>
              <w:rPr>
                <w:sz w:val="20"/>
                <w:szCs w:val="20"/>
              </w:rPr>
            </w:pPr>
          </w:p>
          <w:p w14:paraId="6677F360" w14:textId="77777777" w:rsidR="002D58E4" w:rsidRDefault="00F721D4">
            <w:pPr>
              <w:spacing w:after="0"/>
              <w:rPr>
                <w:sz w:val="20"/>
                <w:szCs w:val="20"/>
              </w:rPr>
            </w:pPr>
            <w:r>
              <w:rPr>
                <w:sz w:val="20"/>
                <w:szCs w:val="20"/>
              </w:rPr>
              <w:t>New Brunswick, NJ</w:t>
            </w:r>
          </w:p>
        </w:tc>
        <w:tc>
          <w:tcPr>
            <w:tcW w:w="990" w:type="dxa"/>
            <w:vAlign w:val="center"/>
          </w:tcPr>
          <w:p w14:paraId="22C0A788" w14:textId="77777777" w:rsidR="002D58E4" w:rsidRDefault="00F721D4">
            <w:pPr>
              <w:spacing w:after="0"/>
              <w:rPr>
                <w:sz w:val="20"/>
                <w:szCs w:val="20"/>
              </w:rPr>
            </w:pPr>
            <w:r>
              <w:rPr>
                <w:sz w:val="20"/>
                <w:szCs w:val="20"/>
              </w:rPr>
              <w:t>Cross-sectional study</w:t>
            </w:r>
          </w:p>
        </w:tc>
        <w:tc>
          <w:tcPr>
            <w:tcW w:w="3960" w:type="dxa"/>
            <w:vAlign w:val="center"/>
          </w:tcPr>
          <w:p w14:paraId="53E7D755" w14:textId="77777777" w:rsidR="002D58E4" w:rsidRDefault="00F721D4">
            <w:pPr>
              <w:spacing w:after="0"/>
              <w:rPr>
                <w:sz w:val="20"/>
                <w:szCs w:val="20"/>
              </w:rPr>
            </w:pPr>
            <w:r>
              <w:rPr>
                <w:sz w:val="20"/>
                <w:szCs w:val="20"/>
              </w:rPr>
              <w:t xml:space="preserve">Ninety-nine specimens of blood, urine, cerebrospinal fluid (CSF), or synovial fluid were obtained from 44 patients living in an endemic area who had been diagnosed with Lyme disease by CDC criteria. </w:t>
            </w:r>
          </w:p>
          <w:p w14:paraId="003CCA4C" w14:textId="77777777" w:rsidR="002D58E4" w:rsidRDefault="002D58E4">
            <w:pPr>
              <w:spacing w:after="0"/>
              <w:rPr>
                <w:sz w:val="20"/>
                <w:szCs w:val="20"/>
              </w:rPr>
            </w:pPr>
          </w:p>
          <w:p w14:paraId="37298719" w14:textId="77777777" w:rsidR="002D58E4" w:rsidRDefault="00F721D4">
            <w:pPr>
              <w:spacing w:after="0"/>
              <w:rPr>
                <w:sz w:val="20"/>
                <w:szCs w:val="20"/>
              </w:rPr>
            </w:pPr>
            <w:r>
              <w:rPr>
                <w:sz w:val="20"/>
                <w:szCs w:val="20"/>
              </w:rPr>
              <w:t xml:space="preserve">47 control specimens were also obtained (rheumatoid arthritis, N=5; SLE, N=4; juvenile polyarthritis, N=1; ankylosing spondylitis, N=1; </w:t>
            </w:r>
            <w:r>
              <w:t xml:space="preserve"> </w:t>
            </w:r>
            <w:r>
              <w:rPr>
                <w:sz w:val="20"/>
                <w:szCs w:val="20"/>
              </w:rPr>
              <w:t>mixed connective tissue disease, N=1; gouty arthritis, N=2; osteoarthritis, N=4; Reiter’s syndrome, N=1; fibromyalgia, N=1; gonococcal arthritis, N=1; meningococcal arthritis, N=1; pneumonia, N=2; AIDS with toxoplasmosis, N=1; polycystic kidney disease, N=1; altered mental status, N=3; seizure disorder, N=3; cerebrovascular accident, N=3; disorders of unknown etiology not thought to be Lyme disease, N=11; normal healthy adult, N=1).</w:t>
            </w:r>
          </w:p>
        </w:tc>
        <w:tc>
          <w:tcPr>
            <w:tcW w:w="4170" w:type="dxa"/>
            <w:shd w:val="clear" w:color="auto" w:fill="auto"/>
            <w:tcMar>
              <w:top w:w="15" w:type="dxa"/>
              <w:left w:w="30" w:type="dxa"/>
              <w:bottom w:w="0" w:type="dxa"/>
              <w:right w:w="30" w:type="dxa"/>
            </w:tcMar>
            <w:vAlign w:val="center"/>
          </w:tcPr>
          <w:p w14:paraId="4F309A7B" w14:textId="77777777" w:rsidR="002D58E4" w:rsidRDefault="00F721D4">
            <w:pPr>
              <w:spacing w:after="0"/>
              <w:rPr>
                <w:sz w:val="20"/>
                <w:szCs w:val="20"/>
              </w:rPr>
            </w:pPr>
            <w:r>
              <w:rPr>
                <w:sz w:val="20"/>
                <w:szCs w:val="20"/>
              </w:rPr>
              <w:t xml:space="preserve">Specimens for which DNA was extracted from cultures of </w:t>
            </w:r>
            <w:r>
              <w:rPr>
                <w:i/>
                <w:sz w:val="20"/>
                <w:szCs w:val="20"/>
              </w:rPr>
              <w:t xml:space="preserve">B. burgdorferi </w:t>
            </w:r>
            <w:r>
              <w:rPr>
                <w:sz w:val="20"/>
                <w:szCs w:val="20"/>
              </w:rPr>
              <w:t>were tested by nested PCR (</w:t>
            </w:r>
            <w:r>
              <w:rPr>
                <w:i/>
                <w:sz w:val="20"/>
                <w:szCs w:val="20"/>
              </w:rPr>
              <w:t>MRL7</w:t>
            </w:r>
            <w:r>
              <w:rPr>
                <w:sz w:val="20"/>
                <w:szCs w:val="20"/>
              </w:rPr>
              <w:t xml:space="preserve"> and </w:t>
            </w:r>
            <w:r>
              <w:rPr>
                <w:i/>
                <w:sz w:val="20"/>
                <w:szCs w:val="20"/>
              </w:rPr>
              <w:t>MRL8</w:t>
            </w:r>
            <w:r>
              <w:rPr>
                <w:sz w:val="20"/>
                <w:szCs w:val="20"/>
              </w:rPr>
              <w:t xml:space="preserve">; second set </w:t>
            </w:r>
            <w:r>
              <w:rPr>
                <w:i/>
                <w:sz w:val="20"/>
                <w:szCs w:val="20"/>
              </w:rPr>
              <w:t>MRL7</w:t>
            </w:r>
            <w:r>
              <w:rPr>
                <w:sz w:val="20"/>
                <w:szCs w:val="20"/>
              </w:rPr>
              <w:t xml:space="preserve"> and </w:t>
            </w:r>
            <w:r>
              <w:rPr>
                <w:i/>
                <w:sz w:val="20"/>
                <w:szCs w:val="20"/>
              </w:rPr>
              <w:t>MRL11a</w:t>
            </w:r>
            <w:r>
              <w:rPr>
                <w:sz w:val="20"/>
                <w:szCs w:val="20"/>
              </w:rPr>
              <w:t xml:space="preserve">). Serum and CSF samples were also tested for presence of antibodies against </w:t>
            </w:r>
            <w:r>
              <w:rPr>
                <w:i/>
                <w:sz w:val="20"/>
                <w:szCs w:val="20"/>
              </w:rPr>
              <w:t>B. burgdorferi</w:t>
            </w:r>
            <w:r>
              <w:rPr>
                <w:sz w:val="20"/>
                <w:szCs w:val="20"/>
              </w:rPr>
              <w:t xml:space="preserve"> by ELISA, confirmed by Western Blot. </w:t>
            </w:r>
          </w:p>
          <w:p w14:paraId="16A34517" w14:textId="77777777" w:rsidR="002D58E4" w:rsidRDefault="002D58E4">
            <w:pPr>
              <w:spacing w:after="0"/>
              <w:rPr>
                <w:sz w:val="20"/>
                <w:szCs w:val="20"/>
              </w:rPr>
            </w:pPr>
          </w:p>
          <w:p w14:paraId="109E461F" w14:textId="77777777" w:rsidR="002D58E4" w:rsidRDefault="00F721D4">
            <w:pPr>
              <w:spacing w:after="0"/>
              <w:rPr>
                <w:sz w:val="20"/>
                <w:szCs w:val="20"/>
              </w:rPr>
            </w:pPr>
            <w:r>
              <w:rPr>
                <w:sz w:val="20"/>
                <w:szCs w:val="20"/>
              </w:rPr>
              <w:t xml:space="preserve">In patients with Lyme arthritis, 5 of 11 (45.5%) serum samples were positive by PCR, whereas 4 of 5 (80%) synovial fluid samples were positive by PCR. Overall 9 of 16 (56.3%) samples obtained from Lyme arthritis patients were positive by PCR. </w:t>
            </w:r>
          </w:p>
          <w:p w14:paraId="22F4C0AC" w14:textId="77777777" w:rsidR="002D58E4" w:rsidRDefault="002D58E4">
            <w:pPr>
              <w:spacing w:after="0"/>
              <w:rPr>
                <w:sz w:val="20"/>
                <w:szCs w:val="20"/>
              </w:rPr>
            </w:pPr>
          </w:p>
          <w:p w14:paraId="22903CCF" w14:textId="77777777" w:rsidR="002D58E4" w:rsidRDefault="00F721D4">
            <w:pPr>
              <w:spacing w:after="0"/>
              <w:rPr>
                <w:sz w:val="20"/>
                <w:szCs w:val="20"/>
              </w:rPr>
            </w:pPr>
            <w:r>
              <w:rPr>
                <w:sz w:val="20"/>
                <w:szCs w:val="20"/>
              </w:rPr>
              <w:t xml:space="preserve">None of the synovial fluid or urine samples taken from patients with rheumatic diseases were positive by PCR. </w:t>
            </w:r>
          </w:p>
        </w:tc>
        <w:tc>
          <w:tcPr>
            <w:tcW w:w="4650" w:type="dxa"/>
            <w:tcBorders>
              <w:top w:val="single" w:sz="6" w:space="0" w:color="AEAEAE"/>
              <w:right w:val="single" w:sz="6" w:space="0" w:color="AEAEAE"/>
            </w:tcBorders>
            <w:shd w:val="clear" w:color="auto" w:fill="auto"/>
            <w:tcMar>
              <w:top w:w="61" w:type="dxa"/>
              <w:left w:w="144" w:type="dxa"/>
              <w:bottom w:w="61" w:type="dxa"/>
              <w:right w:w="144" w:type="dxa"/>
            </w:tcMar>
            <w:vAlign w:val="center"/>
          </w:tcPr>
          <w:p w14:paraId="12799F21" w14:textId="77777777" w:rsidR="002D58E4" w:rsidRDefault="00F721D4">
            <w:pPr>
              <w:spacing w:after="0"/>
              <w:rPr>
                <w:sz w:val="20"/>
                <w:szCs w:val="20"/>
              </w:rPr>
            </w:pPr>
            <w:r>
              <w:rPr>
                <w:sz w:val="20"/>
                <w:szCs w:val="20"/>
              </w:rPr>
              <w:t>The overall specificity of nested PCR for all body fluids was 96.4%, and overall sensitivity was 76.7%.</w:t>
            </w:r>
            <w:r>
              <w:t xml:space="preserve"> </w:t>
            </w:r>
            <w:r>
              <w:rPr>
                <w:sz w:val="20"/>
                <w:szCs w:val="20"/>
              </w:rPr>
              <w:t>The overall false-positive rate was 3.6%.</w:t>
            </w:r>
          </w:p>
          <w:p w14:paraId="5EDA64DE" w14:textId="77777777" w:rsidR="002D58E4" w:rsidRDefault="002D58E4">
            <w:pPr>
              <w:spacing w:after="0"/>
              <w:rPr>
                <w:sz w:val="20"/>
                <w:szCs w:val="20"/>
              </w:rPr>
            </w:pPr>
          </w:p>
          <w:p w14:paraId="7B5C751B" w14:textId="77777777" w:rsidR="002D58E4" w:rsidRDefault="00F721D4">
            <w:pPr>
              <w:spacing w:after="0"/>
              <w:rPr>
                <w:sz w:val="20"/>
                <w:szCs w:val="20"/>
              </w:rPr>
            </w:pPr>
            <w:r>
              <w:rPr>
                <w:sz w:val="20"/>
                <w:szCs w:val="20"/>
              </w:rPr>
              <w:t xml:space="preserve">Nested PCR of synovial fluid showed 80% sensitivity and 95.7% specificity. </w:t>
            </w:r>
          </w:p>
          <w:p w14:paraId="2505928F" w14:textId="77777777" w:rsidR="002D58E4" w:rsidRDefault="002D58E4">
            <w:pPr>
              <w:spacing w:after="0"/>
              <w:rPr>
                <w:sz w:val="20"/>
                <w:szCs w:val="20"/>
              </w:rPr>
            </w:pPr>
          </w:p>
          <w:p w14:paraId="61D43444" w14:textId="77777777" w:rsidR="002D58E4" w:rsidRDefault="00F721D4">
            <w:pPr>
              <w:spacing w:after="0"/>
              <w:rPr>
                <w:sz w:val="20"/>
                <w:szCs w:val="20"/>
              </w:rPr>
            </w:pPr>
            <w:r>
              <w:rPr>
                <w:sz w:val="20"/>
                <w:szCs w:val="20"/>
              </w:rPr>
              <w:t xml:space="preserve">The authors noted that the only negative synovial fluid sample obtained from a patient with clinical and serologic evidence of Lyme arthritis was extracted prior to the use of hyaluronidase in the pretreatment process, and suggest that pretreatment with hyaluronidase may have mitigated the false negative. </w:t>
            </w:r>
          </w:p>
          <w:p w14:paraId="24E5F703" w14:textId="77777777" w:rsidR="002D58E4" w:rsidRDefault="002D58E4">
            <w:pPr>
              <w:spacing w:after="0"/>
              <w:rPr>
                <w:sz w:val="20"/>
                <w:szCs w:val="20"/>
              </w:rPr>
            </w:pPr>
          </w:p>
          <w:p w14:paraId="2541ED8E" w14:textId="77777777" w:rsidR="002D58E4" w:rsidRDefault="00F721D4">
            <w:pPr>
              <w:spacing w:after="0"/>
              <w:rPr>
                <w:sz w:val="20"/>
                <w:szCs w:val="20"/>
              </w:rPr>
            </w:pPr>
            <w:r>
              <w:rPr>
                <w:sz w:val="20"/>
                <w:szCs w:val="20"/>
              </w:rPr>
              <w:t xml:space="preserve">Overall, the authors conclude that PCR of the synovial fluid is an effective diagnostic tool. </w:t>
            </w:r>
          </w:p>
        </w:tc>
      </w:tr>
      <w:tr w:rsidR="002D58E4" w14:paraId="4DA07941" w14:textId="77777777">
        <w:trPr>
          <w:trHeight w:val="1240"/>
        </w:trPr>
        <w:tc>
          <w:tcPr>
            <w:tcW w:w="1020" w:type="dxa"/>
            <w:tcBorders>
              <w:top w:val="single" w:sz="6" w:space="0" w:color="AEAEAE"/>
              <w:left w:val="single" w:sz="6" w:space="0" w:color="AEAEAE"/>
            </w:tcBorders>
            <w:shd w:val="clear" w:color="auto" w:fill="auto"/>
            <w:tcMar>
              <w:top w:w="15" w:type="dxa"/>
              <w:left w:w="30" w:type="dxa"/>
              <w:bottom w:w="0" w:type="dxa"/>
              <w:right w:w="30" w:type="dxa"/>
            </w:tcMar>
            <w:vAlign w:val="center"/>
          </w:tcPr>
          <w:p w14:paraId="4647E33A" w14:textId="77777777" w:rsidR="002D58E4" w:rsidRDefault="00F721D4">
            <w:pPr>
              <w:spacing w:after="0"/>
              <w:rPr>
                <w:sz w:val="20"/>
                <w:szCs w:val="20"/>
              </w:rPr>
            </w:pPr>
            <w:r>
              <w:rPr>
                <w:sz w:val="20"/>
                <w:szCs w:val="20"/>
              </w:rPr>
              <w:t>Bradley, et al., 1994</w:t>
            </w:r>
          </w:p>
          <w:p w14:paraId="4EE50BF3" w14:textId="77777777" w:rsidR="002D58E4" w:rsidRDefault="002D58E4">
            <w:pPr>
              <w:spacing w:after="0"/>
              <w:rPr>
                <w:sz w:val="20"/>
                <w:szCs w:val="20"/>
              </w:rPr>
            </w:pPr>
          </w:p>
          <w:p w14:paraId="440847FD" w14:textId="77777777" w:rsidR="002D58E4" w:rsidRDefault="00F721D4">
            <w:pPr>
              <w:spacing w:after="0"/>
              <w:rPr>
                <w:sz w:val="20"/>
                <w:szCs w:val="20"/>
              </w:rPr>
            </w:pPr>
            <w:r>
              <w:rPr>
                <w:sz w:val="20"/>
                <w:szCs w:val="20"/>
              </w:rPr>
              <w:t>Minneapolis, MN</w:t>
            </w:r>
          </w:p>
        </w:tc>
        <w:tc>
          <w:tcPr>
            <w:tcW w:w="990" w:type="dxa"/>
            <w:vAlign w:val="center"/>
          </w:tcPr>
          <w:p w14:paraId="0CBE7F2B" w14:textId="77777777" w:rsidR="002D58E4" w:rsidRDefault="00F721D4">
            <w:pPr>
              <w:spacing w:after="0"/>
              <w:rPr>
                <w:sz w:val="20"/>
                <w:szCs w:val="20"/>
              </w:rPr>
            </w:pPr>
            <w:r>
              <w:rPr>
                <w:sz w:val="20"/>
                <w:szCs w:val="20"/>
              </w:rPr>
              <w:t>Cross-sectional study</w:t>
            </w:r>
          </w:p>
        </w:tc>
        <w:tc>
          <w:tcPr>
            <w:tcW w:w="3960" w:type="dxa"/>
            <w:vAlign w:val="center"/>
          </w:tcPr>
          <w:p w14:paraId="03214853" w14:textId="77777777" w:rsidR="002D58E4" w:rsidRDefault="00F721D4">
            <w:pPr>
              <w:spacing w:after="0"/>
              <w:rPr>
                <w:sz w:val="20"/>
                <w:szCs w:val="20"/>
              </w:rPr>
            </w:pPr>
            <w:r>
              <w:rPr>
                <w:sz w:val="20"/>
                <w:szCs w:val="20"/>
              </w:rPr>
              <w:t xml:space="preserve">Synovial fluid samples were taken from patients and controls from Minnesota and Wisconsin, areas where the background seroprevalence of </w:t>
            </w:r>
            <w:r>
              <w:rPr>
                <w:i/>
                <w:sz w:val="20"/>
                <w:szCs w:val="20"/>
              </w:rPr>
              <w:t>B. burgdorferi</w:t>
            </w:r>
            <w:r>
              <w:rPr>
                <w:sz w:val="20"/>
                <w:szCs w:val="20"/>
              </w:rPr>
              <w:t xml:space="preserve"> among healthy individuals is 1% to 2%. </w:t>
            </w:r>
          </w:p>
          <w:p w14:paraId="2EE0585E" w14:textId="77777777" w:rsidR="002D58E4" w:rsidRDefault="002D58E4">
            <w:pPr>
              <w:spacing w:after="0"/>
              <w:rPr>
                <w:sz w:val="20"/>
                <w:szCs w:val="20"/>
              </w:rPr>
            </w:pPr>
          </w:p>
          <w:p w14:paraId="6FAADB2D" w14:textId="77777777" w:rsidR="002D58E4" w:rsidRDefault="00F721D4">
            <w:pPr>
              <w:spacing w:after="0"/>
              <w:rPr>
                <w:sz w:val="20"/>
                <w:szCs w:val="20"/>
              </w:rPr>
            </w:pPr>
            <w:r>
              <w:rPr>
                <w:sz w:val="20"/>
                <w:szCs w:val="20"/>
              </w:rPr>
              <w:t xml:space="preserve">Lyme arthritis was suspected in patients with mono- or oligoarticular large joint involvement, seropositivity for </w:t>
            </w:r>
            <w:r>
              <w:rPr>
                <w:i/>
                <w:sz w:val="20"/>
                <w:szCs w:val="20"/>
              </w:rPr>
              <w:t>B. burgdorferi</w:t>
            </w:r>
            <w:r>
              <w:rPr>
                <w:sz w:val="20"/>
                <w:szCs w:val="20"/>
              </w:rPr>
              <w:t xml:space="preserve">, and no other known underlying disease. </w:t>
            </w:r>
          </w:p>
          <w:p w14:paraId="08A733B4" w14:textId="77777777" w:rsidR="002D58E4" w:rsidRDefault="002D58E4">
            <w:pPr>
              <w:spacing w:after="0"/>
              <w:rPr>
                <w:sz w:val="20"/>
                <w:szCs w:val="20"/>
              </w:rPr>
            </w:pPr>
          </w:p>
          <w:p w14:paraId="117738AA" w14:textId="77777777" w:rsidR="002D58E4" w:rsidRDefault="00F721D4">
            <w:pPr>
              <w:spacing w:after="0"/>
              <w:rPr>
                <w:sz w:val="20"/>
                <w:szCs w:val="20"/>
              </w:rPr>
            </w:pPr>
            <w:r>
              <w:rPr>
                <w:sz w:val="20"/>
                <w:szCs w:val="20"/>
              </w:rPr>
              <w:t>Controls presented with various arthritic processes (rheumatoid arthritis, spondyloarthropathy, gout, pseudogout, hemarthrosis, degenerative joint disease, lupus, papillary synovitis, and trauma) and were undergoing arthrocentesis of involved joints.</w:t>
            </w:r>
          </w:p>
        </w:tc>
        <w:tc>
          <w:tcPr>
            <w:tcW w:w="4170" w:type="dxa"/>
            <w:shd w:val="clear" w:color="auto" w:fill="auto"/>
            <w:tcMar>
              <w:top w:w="15" w:type="dxa"/>
              <w:left w:w="30" w:type="dxa"/>
              <w:bottom w:w="0" w:type="dxa"/>
              <w:right w:w="30" w:type="dxa"/>
            </w:tcMar>
            <w:vAlign w:val="center"/>
          </w:tcPr>
          <w:p w14:paraId="25C5950C" w14:textId="77777777" w:rsidR="002D58E4" w:rsidRDefault="00F721D4">
            <w:pPr>
              <w:spacing w:after="0"/>
              <w:rPr>
                <w:sz w:val="20"/>
                <w:szCs w:val="20"/>
              </w:rPr>
            </w:pPr>
            <w:r>
              <w:rPr>
                <w:sz w:val="20"/>
                <w:szCs w:val="20"/>
              </w:rPr>
              <w:t xml:space="preserve">One half of the synovial fluid collected underwent nested PCR (initial primers </w:t>
            </w:r>
            <w:r>
              <w:rPr>
                <w:i/>
                <w:sz w:val="20"/>
                <w:szCs w:val="20"/>
              </w:rPr>
              <w:t>991</w:t>
            </w:r>
            <w:r>
              <w:rPr>
                <w:sz w:val="20"/>
                <w:szCs w:val="20"/>
              </w:rPr>
              <w:t xml:space="preserve"> and </w:t>
            </w:r>
            <w:r>
              <w:rPr>
                <w:i/>
                <w:sz w:val="20"/>
                <w:szCs w:val="20"/>
              </w:rPr>
              <w:t>992</w:t>
            </w:r>
            <w:r>
              <w:rPr>
                <w:sz w:val="20"/>
                <w:szCs w:val="20"/>
              </w:rPr>
              <w:t xml:space="preserve">, confirmation by primer pairs </w:t>
            </w:r>
            <w:r>
              <w:rPr>
                <w:i/>
                <w:sz w:val="20"/>
                <w:szCs w:val="20"/>
              </w:rPr>
              <w:t>A2/A4</w:t>
            </w:r>
            <w:r>
              <w:rPr>
                <w:sz w:val="20"/>
                <w:szCs w:val="20"/>
              </w:rPr>
              <w:t xml:space="preserve"> and </w:t>
            </w:r>
            <w:r>
              <w:rPr>
                <w:i/>
                <w:sz w:val="20"/>
                <w:szCs w:val="20"/>
              </w:rPr>
              <w:t>A149/A319</w:t>
            </w:r>
            <w:r>
              <w:rPr>
                <w:sz w:val="20"/>
                <w:szCs w:val="20"/>
              </w:rPr>
              <w:t xml:space="preserve">, as well as internal probes for the plasmid-encoded </w:t>
            </w:r>
            <w:r>
              <w:rPr>
                <w:i/>
                <w:sz w:val="20"/>
                <w:szCs w:val="20"/>
              </w:rPr>
              <w:t>B. burgdorferi</w:t>
            </w:r>
            <w:r>
              <w:rPr>
                <w:sz w:val="20"/>
                <w:szCs w:val="20"/>
              </w:rPr>
              <w:t xml:space="preserve"> </w:t>
            </w:r>
            <w:r>
              <w:rPr>
                <w:i/>
                <w:sz w:val="20"/>
                <w:szCs w:val="20"/>
              </w:rPr>
              <w:t>ospA</w:t>
            </w:r>
            <w:r>
              <w:rPr>
                <w:sz w:val="20"/>
                <w:szCs w:val="20"/>
              </w:rPr>
              <w:t xml:space="preserve"> gene) and the other half was cultured using Barbour Stoenner Kelly (BSK) medium.</w:t>
            </w:r>
          </w:p>
          <w:p w14:paraId="27F3A52F" w14:textId="77777777" w:rsidR="002D58E4" w:rsidRDefault="002D58E4">
            <w:pPr>
              <w:spacing w:after="0"/>
              <w:rPr>
                <w:sz w:val="20"/>
                <w:szCs w:val="20"/>
              </w:rPr>
            </w:pPr>
          </w:p>
          <w:p w14:paraId="4914BBEA" w14:textId="77777777" w:rsidR="002D58E4" w:rsidRDefault="00F721D4">
            <w:pPr>
              <w:spacing w:after="0"/>
              <w:rPr>
                <w:sz w:val="20"/>
                <w:szCs w:val="20"/>
              </w:rPr>
            </w:pPr>
            <w:r>
              <w:rPr>
                <w:sz w:val="20"/>
                <w:szCs w:val="20"/>
              </w:rPr>
              <w:t xml:space="preserve">Synovial fluid from six of seven (86%; 95% CI: 42%-100%) patients thought to have Lyme arthritis was positive by PCR.  All cultures for </w:t>
            </w:r>
            <w:r>
              <w:rPr>
                <w:i/>
                <w:sz w:val="20"/>
                <w:szCs w:val="20"/>
              </w:rPr>
              <w:t>B. burgdorferi</w:t>
            </w:r>
            <w:r>
              <w:rPr>
                <w:sz w:val="20"/>
                <w:szCs w:val="20"/>
              </w:rPr>
              <w:t xml:space="preserve"> were negative.</w:t>
            </w:r>
          </w:p>
          <w:p w14:paraId="3B79D08E" w14:textId="77777777" w:rsidR="002D58E4" w:rsidRDefault="002D58E4">
            <w:pPr>
              <w:spacing w:after="0"/>
              <w:rPr>
                <w:sz w:val="20"/>
                <w:szCs w:val="20"/>
              </w:rPr>
            </w:pPr>
          </w:p>
          <w:p w14:paraId="4B42BB8A" w14:textId="77777777" w:rsidR="002D58E4" w:rsidRDefault="00F721D4">
            <w:pPr>
              <w:spacing w:after="0"/>
              <w:rPr>
                <w:sz w:val="20"/>
                <w:szCs w:val="20"/>
              </w:rPr>
            </w:pPr>
            <w:r>
              <w:rPr>
                <w:sz w:val="20"/>
                <w:szCs w:val="20"/>
              </w:rPr>
              <w:t>All 18 synovial fluid samples from patients with other rheumatological disorders were negative by PCR (p&lt;0.001).</w:t>
            </w:r>
          </w:p>
        </w:tc>
        <w:tc>
          <w:tcPr>
            <w:tcW w:w="4650" w:type="dxa"/>
            <w:tcBorders>
              <w:top w:val="single" w:sz="6" w:space="0" w:color="AEAEAE"/>
              <w:right w:val="single" w:sz="6" w:space="0" w:color="AEAEAE"/>
            </w:tcBorders>
            <w:shd w:val="clear" w:color="auto" w:fill="auto"/>
            <w:tcMar>
              <w:top w:w="61" w:type="dxa"/>
              <w:left w:w="144" w:type="dxa"/>
              <w:bottom w:w="61" w:type="dxa"/>
              <w:right w:w="144" w:type="dxa"/>
            </w:tcMar>
            <w:vAlign w:val="center"/>
          </w:tcPr>
          <w:p w14:paraId="5A2182CF" w14:textId="77777777" w:rsidR="002D58E4" w:rsidRDefault="00F721D4">
            <w:pPr>
              <w:spacing w:after="0"/>
              <w:rPr>
                <w:sz w:val="20"/>
                <w:szCs w:val="20"/>
              </w:rPr>
            </w:pPr>
            <w:r>
              <w:rPr>
                <w:sz w:val="20"/>
                <w:szCs w:val="20"/>
              </w:rPr>
              <w:t xml:space="preserve">The results demonstrated that PCR of synovial fluid is an effective way to diagnose patients with Lyme arthritis. </w:t>
            </w:r>
          </w:p>
          <w:p w14:paraId="52A42BB2" w14:textId="77777777" w:rsidR="002D58E4" w:rsidRDefault="002D58E4">
            <w:pPr>
              <w:spacing w:after="0"/>
              <w:rPr>
                <w:sz w:val="20"/>
                <w:szCs w:val="20"/>
              </w:rPr>
            </w:pPr>
          </w:p>
          <w:p w14:paraId="7F2D2619" w14:textId="77777777" w:rsidR="002D58E4" w:rsidRDefault="00F721D4">
            <w:pPr>
              <w:spacing w:after="0"/>
              <w:rPr>
                <w:sz w:val="20"/>
                <w:szCs w:val="20"/>
              </w:rPr>
            </w:pPr>
            <w:r>
              <w:rPr>
                <w:sz w:val="20"/>
                <w:szCs w:val="20"/>
              </w:rPr>
              <w:t>The authors propose that the discrepancy between</w:t>
            </w:r>
          </w:p>
          <w:p w14:paraId="021B9681" w14:textId="77777777" w:rsidR="002D58E4" w:rsidRDefault="00F721D4">
            <w:pPr>
              <w:spacing w:after="0"/>
              <w:rPr>
                <w:sz w:val="20"/>
                <w:szCs w:val="20"/>
              </w:rPr>
            </w:pPr>
            <w:r>
              <w:rPr>
                <w:sz w:val="20"/>
                <w:szCs w:val="20"/>
              </w:rPr>
              <w:t xml:space="preserve">PCR results and culture results could be attributed to organisms that are injured, dead, or otherwise inhibited from multiplication. </w:t>
            </w:r>
          </w:p>
          <w:p w14:paraId="77698B6E" w14:textId="77777777" w:rsidR="002D58E4" w:rsidRDefault="002D58E4">
            <w:pPr>
              <w:spacing w:after="0"/>
              <w:rPr>
                <w:sz w:val="20"/>
                <w:szCs w:val="20"/>
              </w:rPr>
            </w:pPr>
          </w:p>
          <w:p w14:paraId="2717007D" w14:textId="77777777" w:rsidR="002D58E4" w:rsidRDefault="00F721D4">
            <w:pPr>
              <w:spacing w:after="0"/>
              <w:rPr>
                <w:sz w:val="20"/>
                <w:szCs w:val="20"/>
              </w:rPr>
            </w:pPr>
            <w:r>
              <w:rPr>
                <w:sz w:val="20"/>
                <w:szCs w:val="20"/>
              </w:rPr>
              <w:t>The</w:t>
            </w:r>
            <w:r>
              <w:t xml:space="preserve"> </w:t>
            </w:r>
            <w:r>
              <w:rPr>
                <w:sz w:val="20"/>
                <w:szCs w:val="20"/>
              </w:rPr>
              <w:t>results show the intra-articular persistence of</w:t>
            </w:r>
          </w:p>
          <w:p w14:paraId="387A79D4" w14:textId="77777777" w:rsidR="002D58E4" w:rsidRDefault="00F721D4">
            <w:pPr>
              <w:spacing w:after="0"/>
              <w:rPr>
                <w:sz w:val="20"/>
                <w:szCs w:val="20"/>
              </w:rPr>
            </w:pPr>
            <w:r>
              <w:rPr>
                <w:i/>
                <w:sz w:val="20"/>
                <w:szCs w:val="20"/>
              </w:rPr>
              <w:t>B. burgdorferi</w:t>
            </w:r>
            <w:r>
              <w:rPr>
                <w:sz w:val="20"/>
                <w:szCs w:val="20"/>
              </w:rPr>
              <w:t xml:space="preserve"> DNA in Lyme arthritis and suggest that persistent organisms and their components may be directly involved in ongoing immune and inflammatory processes, even in some antibiotic-treated patients.</w:t>
            </w:r>
          </w:p>
        </w:tc>
      </w:tr>
      <w:tr w:rsidR="002D58E4" w14:paraId="1B88C6E3" w14:textId="77777777">
        <w:trPr>
          <w:trHeight w:val="28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20589825" w14:textId="77777777" w:rsidR="002D58E4" w:rsidRDefault="00F721D4">
            <w:pPr>
              <w:spacing w:after="0"/>
              <w:rPr>
                <w:sz w:val="20"/>
                <w:szCs w:val="20"/>
              </w:rPr>
            </w:pPr>
            <w:r>
              <w:rPr>
                <w:sz w:val="20"/>
                <w:szCs w:val="20"/>
              </w:rPr>
              <w:t>Nocton, et al., 1994</w:t>
            </w:r>
          </w:p>
          <w:p w14:paraId="01D17BA4" w14:textId="77777777" w:rsidR="002D58E4" w:rsidRDefault="002D58E4">
            <w:pPr>
              <w:spacing w:after="0"/>
              <w:rPr>
                <w:sz w:val="20"/>
                <w:szCs w:val="20"/>
              </w:rPr>
            </w:pPr>
          </w:p>
          <w:p w14:paraId="5C80FEE5" w14:textId="77777777" w:rsidR="002D58E4" w:rsidRDefault="00F721D4">
            <w:pPr>
              <w:spacing w:after="0"/>
              <w:rPr>
                <w:sz w:val="20"/>
                <w:szCs w:val="20"/>
              </w:rPr>
            </w:pPr>
            <w:r>
              <w:rPr>
                <w:sz w:val="20"/>
                <w:szCs w:val="20"/>
              </w:rPr>
              <w:t>New Haven, CT and Boston, MA</w:t>
            </w:r>
          </w:p>
        </w:tc>
        <w:tc>
          <w:tcPr>
            <w:tcW w:w="990" w:type="dxa"/>
            <w:vAlign w:val="center"/>
          </w:tcPr>
          <w:p w14:paraId="5BBF7980" w14:textId="77777777" w:rsidR="002D58E4" w:rsidRDefault="00F721D4">
            <w:pPr>
              <w:spacing w:after="0"/>
              <w:rPr>
                <w:sz w:val="20"/>
                <w:szCs w:val="20"/>
              </w:rPr>
            </w:pPr>
            <w:r>
              <w:rPr>
                <w:sz w:val="20"/>
                <w:szCs w:val="20"/>
              </w:rPr>
              <w:t>Prospective cohort study</w:t>
            </w:r>
          </w:p>
        </w:tc>
        <w:tc>
          <w:tcPr>
            <w:tcW w:w="3960" w:type="dxa"/>
            <w:vAlign w:val="center"/>
          </w:tcPr>
          <w:p w14:paraId="5BA4F9F7" w14:textId="77777777" w:rsidR="002D58E4" w:rsidRDefault="00F721D4">
            <w:pPr>
              <w:spacing w:after="0"/>
              <w:rPr>
                <w:sz w:val="20"/>
                <w:szCs w:val="20"/>
              </w:rPr>
            </w:pPr>
            <w:r>
              <w:rPr>
                <w:sz w:val="20"/>
                <w:szCs w:val="20"/>
              </w:rPr>
              <w:t xml:space="preserve">Synovial fluid samples were collected from 117 patients with Lyme arthritis, which was defined by brief, intermittent attacks of oligoarthritis, elevated antibody titers for </w:t>
            </w:r>
            <w:r>
              <w:rPr>
                <w:i/>
                <w:sz w:val="20"/>
                <w:szCs w:val="20"/>
              </w:rPr>
              <w:t>B. burgdorferi</w:t>
            </w:r>
            <w:r>
              <w:rPr>
                <w:sz w:val="20"/>
                <w:szCs w:val="20"/>
              </w:rPr>
              <w:t xml:space="preserve"> by ELISA, exposure to an endemic region, and exclusion of other forms of arthritis. </w:t>
            </w:r>
          </w:p>
          <w:p w14:paraId="63166A18" w14:textId="77777777" w:rsidR="002D58E4" w:rsidRDefault="002D58E4">
            <w:pPr>
              <w:spacing w:after="0"/>
              <w:rPr>
                <w:sz w:val="20"/>
                <w:szCs w:val="20"/>
              </w:rPr>
            </w:pPr>
          </w:p>
          <w:p w14:paraId="6DF1141A" w14:textId="77777777" w:rsidR="002D58E4" w:rsidRDefault="00F721D4">
            <w:pPr>
              <w:spacing w:after="0"/>
              <w:rPr>
                <w:sz w:val="20"/>
                <w:szCs w:val="20"/>
              </w:rPr>
            </w:pPr>
            <w:r>
              <w:rPr>
                <w:sz w:val="20"/>
                <w:szCs w:val="20"/>
              </w:rPr>
              <w:t>Synovial fluid specimens were collected from 69 control patients with other forms of arthritis (rheumatoid arthritis, N=20; gout, N=7; osteoarthritis, N=7; degenerative joint disease, N=7; juvenile rheumatoid arthritis, N=5; pseudogout, N=2; psoriatic arthritis, N=2; Reiter’s syndrome, N=2; scleroderma, N=2; spondyloarthropathy, N=2; other forms, N=13).</w:t>
            </w:r>
          </w:p>
        </w:tc>
        <w:tc>
          <w:tcPr>
            <w:tcW w:w="4170" w:type="dxa"/>
            <w:shd w:val="clear" w:color="auto" w:fill="auto"/>
            <w:tcMar>
              <w:top w:w="15" w:type="dxa"/>
              <w:left w:w="30" w:type="dxa"/>
              <w:bottom w:w="0" w:type="dxa"/>
              <w:right w:w="30" w:type="dxa"/>
            </w:tcMar>
            <w:vAlign w:val="center"/>
          </w:tcPr>
          <w:p w14:paraId="549D0D2D" w14:textId="77777777" w:rsidR="002D58E4" w:rsidRDefault="00F721D4">
            <w:pPr>
              <w:spacing w:after="0"/>
              <w:rPr>
                <w:sz w:val="20"/>
                <w:szCs w:val="20"/>
              </w:rPr>
            </w:pPr>
            <w:r>
              <w:rPr>
                <w:sz w:val="20"/>
                <w:szCs w:val="20"/>
              </w:rPr>
              <w:t xml:space="preserve">Samples were tested in a blinded manner in two different laboratories by PCR using four sets of primers and probes, three of which targeted plasmid DNA that encodes </w:t>
            </w:r>
            <w:r>
              <w:rPr>
                <w:i/>
                <w:sz w:val="20"/>
                <w:szCs w:val="20"/>
              </w:rPr>
              <w:t>ospA</w:t>
            </w:r>
            <w:r>
              <w:rPr>
                <w:sz w:val="20"/>
                <w:szCs w:val="20"/>
              </w:rPr>
              <w:t xml:space="preserve">, and one which targeted chromosomal DNA encoding </w:t>
            </w:r>
            <w:r>
              <w:rPr>
                <w:i/>
                <w:sz w:val="20"/>
                <w:szCs w:val="20"/>
              </w:rPr>
              <w:t>16S</w:t>
            </w:r>
            <w:r>
              <w:rPr>
                <w:sz w:val="20"/>
                <w:szCs w:val="20"/>
              </w:rPr>
              <w:t xml:space="preserve"> </w:t>
            </w:r>
            <w:r>
              <w:rPr>
                <w:i/>
                <w:sz w:val="20"/>
                <w:szCs w:val="20"/>
              </w:rPr>
              <w:t>rRNA</w:t>
            </w:r>
            <w:r>
              <w:rPr>
                <w:sz w:val="20"/>
                <w:szCs w:val="20"/>
              </w:rPr>
              <w:t xml:space="preserve">. </w:t>
            </w:r>
          </w:p>
          <w:p w14:paraId="280F4832" w14:textId="77777777" w:rsidR="002D58E4" w:rsidRDefault="002D58E4">
            <w:pPr>
              <w:spacing w:after="0"/>
              <w:rPr>
                <w:sz w:val="20"/>
                <w:szCs w:val="20"/>
              </w:rPr>
            </w:pPr>
          </w:p>
          <w:p w14:paraId="6D517FA0" w14:textId="77777777" w:rsidR="002D58E4" w:rsidRDefault="00F721D4">
            <w:pPr>
              <w:spacing w:after="0"/>
              <w:rPr>
                <w:sz w:val="20"/>
                <w:szCs w:val="20"/>
              </w:rPr>
            </w:pPr>
            <w:r>
              <w:rPr>
                <w:sz w:val="20"/>
                <w:szCs w:val="20"/>
              </w:rPr>
              <w:t>Sensitivity PCR (any set): 85.2%</w:t>
            </w:r>
          </w:p>
          <w:p w14:paraId="6A9A18AE" w14:textId="77777777" w:rsidR="002D58E4" w:rsidRDefault="002D58E4">
            <w:pPr>
              <w:spacing w:after="0"/>
              <w:rPr>
                <w:sz w:val="20"/>
                <w:szCs w:val="20"/>
              </w:rPr>
            </w:pPr>
          </w:p>
          <w:p w14:paraId="34B1B948" w14:textId="77777777" w:rsidR="002D58E4" w:rsidRDefault="00F721D4">
            <w:pPr>
              <w:spacing w:after="0"/>
              <w:rPr>
                <w:sz w:val="20"/>
                <w:szCs w:val="20"/>
              </w:rPr>
            </w:pPr>
            <w:r>
              <w:rPr>
                <w:sz w:val="20"/>
                <w:szCs w:val="20"/>
              </w:rPr>
              <w:t>Specificity PCR (any set): 100%</w:t>
            </w:r>
          </w:p>
          <w:p w14:paraId="211DD27B" w14:textId="77777777" w:rsidR="002D58E4" w:rsidRDefault="002D58E4">
            <w:pPr>
              <w:spacing w:after="0"/>
              <w:rPr>
                <w:sz w:val="20"/>
                <w:szCs w:val="20"/>
              </w:rPr>
            </w:pPr>
          </w:p>
          <w:p w14:paraId="10206B90" w14:textId="77777777" w:rsidR="002D58E4" w:rsidRDefault="00F721D4">
            <w:pPr>
              <w:spacing w:after="0"/>
              <w:rPr>
                <w:sz w:val="20"/>
                <w:szCs w:val="20"/>
              </w:rPr>
            </w:pPr>
            <w:r>
              <w:rPr>
                <w:sz w:val="20"/>
                <w:szCs w:val="20"/>
              </w:rPr>
              <w:t xml:space="preserve">In both laboratories, the sensitivity of each of the three </w:t>
            </w:r>
            <w:r>
              <w:rPr>
                <w:i/>
                <w:sz w:val="20"/>
                <w:szCs w:val="20"/>
              </w:rPr>
              <w:t>ospA</w:t>
            </w:r>
            <w:r>
              <w:rPr>
                <w:sz w:val="20"/>
                <w:szCs w:val="20"/>
              </w:rPr>
              <w:t xml:space="preserve"> primer-probe sets was high (75%-89%), with moderately concordant results, whereas the primer-probe set detecting chromosomal DNA was less sensitive. </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46CB339A" w14:textId="77777777" w:rsidR="002D58E4" w:rsidRDefault="00F721D4">
            <w:pPr>
              <w:spacing w:after="0"/>
              <w:rPr>
                <w:sz w:val="20"/>
                <w:szCs w:val="20"/>
              </w:rPr>
            </w:pPr>
            <w:r>
              <w:rPr>
                <w:sz w:val="20"/>
                <w:szCs w:val="20"/>
              </w:rPr>
              <w:t xml:space="preserve">Lyme arthritis patients with a positive PCR result had significantly higher white-cell counts in their synovial fluid (p&lt;0.003), significantly shorter durations of illness (p&lt;0.02) and arthritis symptoms (p&lt;0.03), and a longer duration of arthritis after aspiration (p=0.03). 77.3% of patients with positive PCR had received no antibiotic treatment prior to synovial fluid aspiration, and 16% of patients with positive PCR had received less than 1 month of antibiotic treatment prior to aspiration; when these two groups were combined, the relationship to positive PCR results after treatment was statistically significant (p&lt;0.001). </w:t>
            </w:r>
          </w:p>
          <w:p w14:paraId="7C876EF0" w14:textId="77777777" w:rsidR="002D58E4" w:rsidRDefault="002D58E4">
            <w:pPr>
              <w:spacing w:after="0"/>
              <w:rPr>
                <w:sz w:val="20"/>
                <w:szCs w:val="20"/>
              </w:rPr>
            </w:pPr>
          </w:p>
          <w:p w14:paraId="72B7DEC7" w14:textId="77777777" w:rsidR="002D58E4" w:rsidRDefault="00F721D4">
            <w:pPr>
              <w:spacing w:after="0"/>
              <w:rPr>
                <w:sz w:val="20"/>
                <w:szCs w:val="20"/>
              </w:rPr>
            </w:pPr>
            <w:r>
              <w:rPr>
                <w:sz w:val="20"/>
                <w:szCs w:val="20"/>
              </w:rPr>
              <w:t xml:space="preserve">Of 12 patients for whom serial synovial fluid samples were available, 9 had positive PCR results for months to years later during subsequent episodes of arthritis. </w:t>
            </w:r>
          </w:p>
          <w:p w14:paraId="12EA6039" w14:textId="77777777" w:rsidR="002D58E4" w:rsidRDefault="002D58E4">
            <w:pPr>
              <w:spacing w:after="0"/>
              <w:rPr>
                <w:sz w:val="20"/>
                <w:szCs w:val="20"/>
              </w:rPr>
            </w:pPr>
          </w:p>
          <w:p w14:paraId="447A1BC9" w14:textId="77777777" w:rsidR="002D58E4" w:rsidRDefault="00F721D4">
            <w:pPr>
              <w:spacing w:after="0"/>
              <w:rPr>
                <w:sz w:val="20"/>
                <w:szCs w:val="20"/>
              </w:rPr>
            </w:pPr>
            <w:r>
              <w:rPr>
                <w:sz w:val="20"/>
                <w:szCs w:val="20"/>
              </w:rPr>
              <w:t xml:space="preserve">The authors conclude that PCR is a useful method for detecting </w:t>
            </w:r>
            <w:r>
              <w:rPr>
                <w:i/>
                <w:sz w:val="20"/>
                <w:szCs w:val="20"/>
              </w:rPr>
              <w:t>B. burgdorferi</w:t>
            </w:r>
            <w:r>
              <w:rPr>
                <w:sz w:val="20"/>
                <w:szCs w:val="20"/>
              </w:rPr>
              <w:t xml:space="preserve"> DNA in synovial fluid in Lyme arthritis patients. </w:t>
            </w:r>
          </w:p>
        </w:tc>
      </w:tr>
      <w:tr w:rsidR="002D58E4" w14:paraId="53842329" w14:textId="77777777">
        <w:trPr>
          <w:trHeight w:val="124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6942B646" w14:textId="77777777" w:rsidR="002D58E4" w:rsidRDefault="00F721D4">
            <w:pPr>
              <w:spacing w:after="0"/>
              <w:rPr>
                <w:sz w:val="20"/>
                <w:szCs w:val="20"/>
              </w:rPr>
            </w:pPr>
            <w:r>
              <w:rPr>
                <w:sz w:val="20"/>
                <w:szCs w:val="20"/>
              </w:rPr>
              <w:t>Persing, et al., 1994</w:t>
            </w:r>
          </w:p>
          <w:p w14:paraId="3F578408" w14:textId="77777777" w:rsidR="002D58E4" w:rsidRDefault="002D58E4">
            <w:pPr>
              <w:spacing w:after="0"/>
              <w:rPr>
                <w:sz w:val="20"/>
                <w:szCs w:val="20"/>
              </w:rPr>
            </w:pPr>
          </w:p>
          <w:p w14:paraId="1B70F043" w14:textId="77777777" w:rsidR="002D58E4" w:rsidRDefault="00F721D4">
            <w:pPr>
              <w:spacing w:after="0"/>
              <w:rPr>
                <w:sz w:val="20"/>
                <w:szCs w:val="20"/>
              </w:rPr>
            </w:pPr>
            <w:r>
              <w:rPr>
                <w:sz w:val="20"/>
                <w:szCs w:val="20"/>
              </w:rPr>
              <w:t>New Haven, CT</w:t>
            </w:r>
          </w:p>
        </w:tc>
        <w:tc>
          <w:tcPr>
            <w:tcW w:w="990" w:type="dxa"/>
            <w:vAlign w:val="center"/>
          </w:tcPr>
          <w:p w14:paraId="56BE0D82" w14:textId="77777777" w:rsidR="002D58E4" w:rsidRDefault="00F721D4">
            <w:pPr>
              <w:spacing w:after="0"/>
              <w:rPr>
                <w:sz w:val="20"/>
                <w:szCs w:val="20"/>
              </w:rPr>
            </w:pPr>
            <w:r>
              <w:rPr>
                <w:sz w:val="20"/>
                <w:szCs w:val="20"/>
              </w:rPr>
              <w:t>Cross-sectional study</w:t>
            </w:r>
          </w:p>
        </w:tc>
        <w:tc>
          <w:tcPr>
            <w:tcW w:w="3960" w:type="dxa"/>
            <w:vAlign w:val="center"/>
          </w:tcPr>
          <w:p w14:paraId="541925E4" w14:textId="77777777" w:rsidR="002D58E4" w:rsidRDefault="00F721D4">
            <w:pPr>
              <w:spacing w:after="0"/>
              <w:rPr>
                <w:sz w:val="20"/>
                <w:szCs w:val="20"/>
              </w:rPr>
            </w:pPr>
            <w:r>
              <w:rPr>
                <w:sz w:val="20"/>
                <w:szCs w:val="20"/>
              </w:rPr>
              <w:t xml:space="preserve">Synovial fluid samples were collected from 18 patients with Lyme arthritis who were negative by culture (19 synovial fluid specimens). The patients met the CDC case definition criteria for Lyme disease; all patients had intermittent episodes of arthritis, lived in areas endemic for Lyme disease, and had elevated antibody titers for </w:t>
            </w:r>
            <w:r>
              <w:rPr>
                <w:i/>
                <w:sz w:val="20"/>
                <w:szCs w:val="20"/>
              </w:rPr>
              <w:t>B. burgdorferi</w:t>
            </w:r>
            <w:r>
              <w:rPr>
                <w:sz w:val="20"/>
                <w:szCs w:val="20"/>
              </w:rPr>
              <w:t xml:space="preserve"> by ELISA. </w:t>
            </w:r>
          </w:p>
          <w:p w14:paraId="63CF8AB8" w14:textId="77777777" w:rsidR="002D58E4" w:rsidRDefault="002D58E4">
            <w:pPr>
              <w:spacing w:after="0"/>
              <w:rPr>
                <w:sz w:val="20"/>
                <w:szCs w:val="20"/>
              </w:rPr>
            </w:pPr>
          </w:p>
          <w:p w14:paraId="2C09AE74" w14:textId="77777777" w:rsidR="002D58E4" w:rsidRDefault="00F721D4">
            <w:pPr>
              <w:spacing w:after="0"/>
              <w:rPr>
                <w:sz w:val="20"/>
                <w:szCs w:val="20"/>
              </w:rPr>
            </w:pPr>
            <w:r>
              <w:rPr>
                <w:sz w:val="20"/>
                <w:szCs w:val="20"/>
              </w:rPr>
              <w:t>Eleven control synovial fluid specimens were collected from patients with non-Lyme arthritic disorders (rheumatoid arthritis, chronic granulomatous disease, and systemic lupus erythematosus) and were processed and stored the same way as those from patients with Lyme arthritis.</w:t>
            </w:r>
          </w:p>
        </w:tc>
        <w:tc>
          <w:tcPr>
            <w:tcW w:w="4170" w:type="dxa"/>
            <w:shd w:val="clear" w:color="auto" w:fill="auto"/>
            <w:tcMar>
              <w:top w:w="15" w:type="dxa"/>
              <w:left w:w="30" w:type="dxa"/>
              <w:bottom w:w="0" w:type="dxa"/>
              <w:right w:w="30" w:type="dxa"/>
            </w:tcMar>
            <w:vAlign w:val="center"/>
          </w:tcPr>
          <w:p w14:paraId="0A766A6A" w14:textId="77777777" w:rsidR="002D58E4" w:rsidRDefault="00F721D4">
            <w:pPr>
              <w:spacing w:after="0"/>
              <w:rPr>
                <w:sz w:val="20"/>
                <w:szCs w:val="20"/>
              </w:rPr>
            </w:pPr>
            <w:r>
              <w:rPr>
                <w:sz w:val="20"/>
                <w:szCs w:val="20"/>
              </w:rPr>
              <w:t xml:space="preserve">PCR was performed using DNA sequences characteristic of plasmid-encoded genes </w:t>
            </w:r>
            <w:r>
              <w:rPr>
                <w:i/>
                <w:sz w:val="20"/>
                <w:szCs w:val="20"/>
              </w:rPr>
              <w:t>ospA</w:t>
            </w:r>
            <w:r>
              <w:rPr>
                <w:sz w:val="20"/>
                <w:szCs w:val="20"/>
              </w:rPr>
              <w:t xml:space="preserve"> and </w:t>
            </w:r>
            <w:r>
              <w:rPr>
                <w:i/>
                <w:sz w:val="20"/>
                <w:szCs w:val="20"/>
              </w:rPr>
              <w:t>ospB</w:t>
            </w:r>
            <w:r>
              <w:rPr>
                <w:sz w:val="20"/>
                <w:szCs w:val="20"/>
              </w:rPr>
              <w:t xml:space="preserve">, as well as primers detecting the </w:t>
            </w:r>
            <w:r>
              <w:rPr>
                <w:i/>
                <w:sz w:val="20"/>
                <w:szCs w:val="20"/>
              </w:rPr>
              <w:t>16S</w:t>
            </w:r>
            <w:r>
              <w:rPr>
                <w:sz w:val="20"/>
                <w:szCs w:val="20"/>
              </w:rPr>
              <w:t xml:space="preserve"> rRNA gene and the </w:t>
            </w:r>
            <w:r>
              <w:rPr>
                <w:i/>
                <w:sz w:val="20"/>
                <w:szCs w:val="20"/>
              </w:rPr>
              <w:t>B. burgdorferi</w:t>
            </w:r>
            <w:r>
              <w:rPr>
                <w:sz w:val="20"/>
                <w:szCs w:val="20"/>
              </w:rPr>
              <w:t xml:space="preserve"> flagellin (</w:t>
            </w:r>
            <w:r>
              <w:rPr>
                <w:i/>
                <w:sz w:val="20"/>
                <w:szCs w:val="20"/>
              </w:rPr>
              <w:t>fla</w:t>
            </w:r>
            <w:r>
              <w:rPr>
                <w:sz w:val="20"/>
                <w:szCs w:val="20"/>
              </w:rPr>
              <w:t>) gene.</w:t>
            </w:r>
          </w:p>
          <w:p w14:paraId="7BDD28EA" w14:textId="77777777" w:rsidR="002D58E4" w:rsidRDefault="002D58E4">
            <w:pPr>
              <w:spacing w:after="0"/>
              <w:rPr>
                <w:sz w:val="20"/>
                <w:szCs w:val="20"/>
              </w:rPr>
            </w:pPr>
          </w:p>
          <w:p w14:paraId="6E7792FD" w14:textId="77777777" w:rsidR="002D58E4" w:rsidRDefault="00F721D4">
            <w:pPr>
              <w:spacing w:after="0"/>
              <w:rPr>
                <w:sz w:val="20"/>
                <w:szCs w:val="20"/>
              </w:rPr>
            </w:pPr>
            <w:r>
              <w:rPr>
                <w:sz w:val="20"/>
                <w:szCs w:val="20"/>
              </w:rPr>
              <w:t xml:space="preserve">All 19 samples were reactive with the </w:t>
            </w:r>
            <w:r>
              <w:rPr>
                <w:i/>
                <w:sz w:val="20"/>
                <w:szCs w:val="20"/>
              </w:rPr>
              <w:t>ospA</w:t>
            </w:r>
            <w:r>
              <w:rPr>
                <w:sz w:val="20"/>
                <w:szCs w:val="20"/>
              </w:rPr>
              <w:t xml:space="preserve"> 149/319 primer pair and were even more strongly reactive with the </w:t>
            </w:r>
            <w:r>
              <w:rPr>
                <w:i/>
                <w:sz w:val="20"/>
                <w:szCs w:val="20"/>
              </w:rPr>
              <w:t>ospB</w:t>
            </w:r>
            <w:r>
              <w:rPr>
                <w:sz w:val="20"/>
                <w:szCs w:val="20"/>
              </w:rPr>
              <w:t xml:space="preserve"> primer pair (100% sensitivity for both </w:t>
            </w:r>
            <w:r>
              <w:rPr>
                <w:i/>
                <w:sz w:val="20"/>
                <w:szCs w:val="20"/>
              </w:rPr>
              <w:t>ospA</w:t>
            </w:r>
            <w:r>
              <w:rPr>
                <w:sz w:val="20"/>
                <w:szCs w:val="20"/>
              </w:rPr>
              <w:t xml:space="preserve"> and </w:t>
            </w:r>
            <w:r>
              <w:rPr>
                <w:i/>
                <w:sz w:val="20"/>
                <w:szCs w:val="20"/>
              </w:rPr>
              <w:t>ospB</w:t>
            </w:r>
            <w:r>
              <w:rPr>
                <w:sz w:val="20"/>
                <w:szCs w:val="20"/>
              </w:rPr>
              <w:t xml:space="preserve">). </w:t>
            </w:r>
          </w:p>
          <w:p w14:paraId="7C4EE905" w14:textId="77777777" w:rsidR="002D58E4" w:rsidRDefault="002D58E4">
            <w:pPr>
              <w:spacing w:after="0"/>
              <w:rPr>
                <w:sz w:val="20"/>
                <w:szCs w:val="20"/>
              </w:rPr>
            </w:pPr>
          </w:p>
          <w:p w14:paraId="7A4E616B" w14:textId="77777777" w:rsidR="002D58E4" w:rsidRDefault="00F721D4">
            <w:pPr>
              <w:spacing w:after="0"/>
              <w:rPr>
                <w:sz w:val="15"/>
                <w:szCs w:val="15"/>
              </w:rPr>
            </w:pPr>
            <w:r>
              <w:rPr>
                <w:sz w:val="20"/>
                <w:szCs w:val="20"/>
              </w:rPr>
              <w:t xml:space="preserve">Only 8 of 19 samples (42.1% sensitivity) were reactive for </w:t>
            </w:r>
            <w:r>
              <w:rPr>
                <w:i/>
                <w:sz w:val="20"/>
                <w:szCs w:val="20"/>
              </w:rPr>
              <w:t>16S</w:t>
            </w:r>
            <w:r>
              <w:rPr>
                <w:sz w:val="20"/>
                <w:szCs w:val="20"/>
              </w:rPr>
              <w:t xml:space="preserve"> rDNA and only 9 of 17 samples (52.9% sensitivity) were positive for the flagellin target.</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BFC48C6" w14:textId="77777777" w:rsidR="002D58E4" w:rsidRDefault="00F721D4">
            <w:pPr>
              <w:spacing w:after="0"/>
              <w:rPr>
                <w:sz w:val="20"/>
                <w:szCs w:val="20"/>
              </w:rPr>
            </w:pPr>
            <w:r>
              <w:rPr>
                <w:sz w:val="20"/>
                <w:szCs w:val="20"/>
              </w:rPr>
              <w:t xml:space="preserve">In all 19 synovial fluid specimens, DNA sequences characteristic of plasmid-encoded genes </w:t>
            </w:r>
            <w:r>
              <w:rPr>
                <w:i/>
                <w:sz w:val="20"/>
                <w:szCs w:val="20"/>
              </w:rPr>
              <w:t>ospA</w:t>
            </w:r>
            <w:r>
              <w:rPr>
                <w:sz w:val="20"/>
                <w:szCs w:val="20"/>
              </w:rPr>
              <w:t xml:space="preserve"> and </w:t>
            </w:r>
            <w:r>
              <w:rPr>
                <w:i/>
                <w:sz w:val="20"/>
                <w:szCs w:val="20"/>
              </w:rPr>
              <w:t xml:space="preserve">ospB </w:t>
            </w:r>
            <w:r>
              <w:rPr>
                <w:sz w:val="20"/>
                <w:szCs w:val="20"/>
              </w:rPr>
              <w:t xml:space="preserve">were easily detected. However, despite equivalent or even superior analytic sensitivity for detection of cultured organisms, the reactivity of two genomic DNA targets was often weak or absent altogether in the clinical specimens. This apparent overrepresentation of </w:t>
            </w:r>
            <w:r>
              <w:rPr>
                <w:i/>
                <w:sz w:val="20"/>
                <w:szCs w:val="20"/>
              </w:rPr>
              <w:t>B. burgdorferi</w:t>
            </w:r>
            <w:r>
              <w:rPr>
                <w:sz w:val="20"/>
                <w:szCs w:val="20"/>
              </w:rPr>
              <w:t xml:space="preserve"> plasmid sequences was found exclusively in clinical specimens and not in cultured organisms.</w:t>
            </w:r>
          </w:p>
          <w:p w14:paraId="088093FF" w14:textId="77777777" w:rsidR="002D58E4" w:rsidRDefault="002D58E4">
            <w:pPr>
              <w:spacing w:after="0"/>
              <w:rPr>
                <w:sz w:val="20"/>
                <w:szCs w:val="20"/>
              </w:rPr>
            </w:pPr>
          </w:p>
          <w:p w14:paraId="47BA5CBA" w14:textId="77777777" w:rsidR="002D58E4" w:rsidRDefault="00F721D4">
            <w:pPr>
              <w:spacing w:after="0"/>
              <w:rPr>
                <w:sz w:val="20"/>
                <w:szCs w:val="20"/>
              </w:rPr>
            </w:pPr>
            <w:r>
              <w:rPr>
                <w:sz w:val="20"/>
                <w:szCs w:val="20"/>
              </w:rPr>
              <w:t xml:space="preserve">Based on the target imbalance observed, the authors suggest that the most sensitive and reliable targets for PCR detection of </w:t>
            </w:r>
            <w:r>
              <w:rPr>
                <w:i/>
                <w:sz w:val="20"/>
                <w:szCs w:val="20"/>
              </w:rPr>
              <w:t xml:space="preserve">B. burgdorferi </w:t>
            </w:r>
            <w:r>
              <w:rPr>
                <w:sz w:val="20"/>
                <w:szCs w:val="20"/>
              </w:rPr>
              <w:t>may lie on extra-chromosomal elements and not on the genome itself.</w:t>
            </w:r>
          </w:p>
        </w:tc>
      </w:tr>
      <w:tr w:rsidR="002D58E4" w14:paraId="4175F5EB" w14:textId="77777777" w:rsidTr="008A6D79">
        <w:trPr>
          <w:trHeight w:val="1264"/>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0F45C2B3" w14:textId="77777777" w:rsidR="002D58E4" w:rsidRDefault="00F721D4">
            <w:pPr>
              <w:spacing w:after="0"/>
              <w:rPr>
                <w:sz w:val="20"/>
                <w:szCs w:val="20"/>
              </w:rPr>
            </w:pPr>
            <w:r>
              <w:rPr>
                <w:sz w:val="20"/>
                <w:szCs w:val="20"/>
              </w:rPr>
              <w:t>Jaulhac, et al., 1996</w:t>
            </w:r>
          </w:p>
          <w:p w14:paraId="024B0899" w14:textId="77777777" w:rsidR="002D58E4" w:rsidRDefault="002D58E4">
            <w:pPr>
              <w:spacing w:after="0"/>
              <w:rPr>
                <w:sz w:val="20"/>
                <w:szCs w:val="20"/>
              </w:rPr>
            </w:pPr>
          </w:p>
          <w:p w14:paraId="13959892" w14:textId="77777777" w:rsidR="002D58E4" w:rsidRDefault="00F721D4">
            <w:pPr>
              <w:spacing w:after="0"/>
              <w:rPr>
                <w:sz w:val="20"/>
                <w:szCs w:val="20"/>
              </w:rPr>
            </w:pPr>
            <w:r>
              <w:rPr>
                <w:sz w:val="20"/>
                <w:szCs w:val="20"/>
              </w:rPr>
              <w:t>Northeastern France</w:t>
            </w:r>
          </w:p>
        </w:tc>
        <w:tc>
          <w:tcPr>
            <w:tcW w:w="990" w:type="dxa"/>
            <w:vAlign w:val="center"/>
          </w:tcPr>
          <w:p w14:paraId="6D0ADB5A" w14:textId="77777777" w:rsidR="002D58E4" w:rsidRDefault="00F721D4">
            <w:pPr>
              <w:spacing w:after="0"/>
              <w:rPr>
                <w:sz w:val="20"/>
                <w:szCs w:val="20"/>
              </w:rPr>
            </w:pPr>
            <w:r>
              <w:rPr>
                <w:sz w:val="20"/>
                <w:szCs w:val="20"/>
              </w:rPr>
              <w:t>Cross-sectional study</w:t>
            </w:r>
          </w:p>
        </w:tc>
        <w:tc>
          <w:tcPr>
            <w:tcW w:w="3960" w:type="dxa"/>
            <w:vAlign w:val="center"/>
          </w:tcPr>
          <w:p w14:paraId="548DF305" w14:textId="77777777" w:rsidR="002D58E4" w:rsidRDefault="00F721D4">
            <w:pPr>
              <w:spacing w:after="0"/>
              <w:rPr>
                <w:sz w:val="20"/>
                <w:szCs w:val="20"/>
              </w:rPr>
            </w:pPr>
            <w:r>
              <w:rPr>
                <w:sz w:val="20"/>
                <w:szCs w:val="20"/>
              </w:rPr>
              <w:t xml:space="preserve">12 consecutive patients with clinically evident Lyme arthritis from whom synovial fluid or synovial tissue samples could be obtained were evaluated. A case of Lyme arthritis was defined as one that either strictly fulfilled the criteria of the CDC for Lyme arthritis or as a case of objective joint swelling in ≥1 large joint following a recent and well-documented erythema migrans. All patients had been bitten by ticks before the onset of arthritis and had brief episodes of objective joint swelling in a few joints of the lower limbs, including at least 1 knee in all patients. All patients had a previous history of erythema migrans. </w:t>
            </w:r>
          </w:p>
          <w:p w14:paraId="64B0F33C" w14:textId="77777777" w:rsidR="002D58E4" w:rsidRDefault="002D58E4">
            <w:pPr>
              <w:spacing w:after="0"/>
              <w:rPr>
                <w:sz w:val="20"/>
                <w:szCs w:val="20"/>
              </w:rPr>
            </w:pPr>
          </w:p>
          <w:p w14:paraId="73703EA1" w14:textId="77777777" w:rsidR="002D58E4" w:rsidRDefault="00F721D4">
            <w:pPr>
              <w:spacing w:after="0"/>
              <w:rPr>
                <w:sz w:val="20"/>
                <w:szCs w:val="20"/>
              </w:rPr>
            </w:pPr>
            <w:r>
              <w:rPr>
                <w:sz w:val="20"/>
                <w:szCs w:val="20"/>
              </w:rPr>
              <w:t>Control synovial fluid/tissue samples were also taken from 11 patients with rheumatoid arthritis, 11 patients with osteoarthritis, 3 patients with septic arthritis, 3 patients with psoriatic arthritis, and 1 patient with Sjogren’s syndrome.</w:t>
            </w:r>
          </w:p>
          <w:p w14:paraId="341F8DAA" w14:textId="77777777" w:rsidR="002D58E4" w:rsidRDefault="002D58E4">
            <w:pPr>
              <w:spacing w:after="0"/>
              <w:rPr>
                <w:sz w:val="20"/>
                <w:szCs w:val="20"/>
              </w:rPr>
            </w:pPr>
          </w:p>
        </w:tc>
        <w:tc>
          <w:tcPr>
            <w:tcW w:w="4170" w:type="dxa"/>
            <w:shd w:val="clear" w:color="auto" w:fill="auto"/>
            <w:tcMar>
              <w:top w:w="15" w:type="dxa"/>
              <w:left w:w="30" w:type="dxa"/>
              <w:bottom w:w="0" w:type="dxa"/>
              <w:right w:w="30" w:type="dxa"/>
            </w:tcMar>
            <w:vAlign w:val="center"/>
          </w:tcPr>
          <w:p w14:paraId="398A913E" w14:textId="77777777" w:rsidR="002D58E4" w:rsidRDefault="00F721D4">
            <w:pPr>
              <w:spacing w:after="0"/>
              <w:rPr>
                <w:sz w:val="20"/>
                <w:szCs w:val="20"/>
              </w:rPr>
            </w:pPr>
            <w:r>
              <w:rPr>
                <w:sz w:val="20"/>
                <w:szCs w:val="20"/>
              </w:rPr>
              <w:t xml:space="preserve">Synovial tissue and fluid samples were tested by PCR for a </w:t>
            </w:r>
            <w:r>
              <w:rPr>
                <w:i/>
                <w:sz w:val="20"/>
                <w:szCs w:val="20"/>
              </w:rPr>
              <w:t xml:space="preserve">B. burgdorferi </w:t>
            </w:r>
            <w:r>
              <w:rPr>
                <w:sz w:val="20"/>
                <w:szCs w:val="20"/>
              </w:rPr>
              <w:t>target from the flagellin (</w:t>
            </w:r>
            <w:r>
              <w:rPr>
                <w:i/>
                <w:sz w:val="20"/>
                <w:szCs w:val="20"/>
              </w:rPr>
              <w:t>fla</w:t>
            </w:r>
            <w:r>
              <w:rPr>
                <w:sz w:val="20"/>
                <w:szCs w:val="20"/>
              </w:rPr>
              <w:t xml:space="preserve">) gene. </w:t>
            </w:r>
          </w:p>
          <w:p w14:paraId="13F2D33D" w14:textId="77777777" w:rsidR="002D58E4" w:rsidRDefault="00F721D4">
            <w:pPr>
              <w:spacing w:after="0"/>
              <w:rPr>
                <w:sz w:val="20"/>
                <w:szCs w:val="20"/>
              </w:rPr>
            </w:pPr>
            <w:r>
              <w:rPr>
                <w:sz w:val="20"/>
                <w:szCs w:val="20"/>
              </w:rPr>
              <w:t xml:space="preserve">Blood samples were tested by EIA, confirmed by Western Blot. </w:t>
            </w:r>
          </w:p>
          <w:p w14:paraId="659E8B39" w14:textId="77777777" w:rsidR="002D58E4" w:rsidRDefault="002D58E4">
            <w:pPr>
              <w:spacing w:after="0"/>
              <w:rPr>
                <w:sz w:val="20"/>
                <w:szCs w:val="20"/>
              </w:rPr>
            </w:pPr>
          </w:p>
          <w:p w14:paraId="0E4FEF2A" w14:textId="77777777" w:rsidR="002D58E4" w:rsidRDefault="00F721D4">
            <w:pPr>
              <w:spacing w:after="0"/>
              <w:rPr>
                <w:sz w:val="20"/>
                <w:szCs w:val="20"/>
              </w:rPr>
            </w:pPr>
            <w:r>
              <w:rPr>
                <w:sz w:val="20"/>
                <w:szCs w:val="20"/>
              </w:rPr>
              <w:t xml:space="preserve">5 of 12 patients were positive by PCR for </w:t>
            </w:r>
            <w:r>
              <w:rPr>
                <w:i/>
                <w:sz w:val="20"/>
                <w:szCs w:val="20"/>
              </w:rPr>
              <w:t>B. burgdorferi</w:t>
            </w:r>
            <w:r>
              <w:rPr>
                <w:sz w:val="20"/>
                <w:szCs w:val="20"/>
              </w:rPr>
              <w:t xml:space="preserve"> DNA in the synovial fluid (42% sensitivity).</w:t>
            </w:r>
          </w:p>
          <w:p w14:paraId="2B96CF7D" w14:textId="77777777" w:rsidR="002D58E4" w:rsidRDefault="002D58E4">
            <w:pPr>
              <w:spacing w:after="0"/>
              <w:rPr>
                <w:sz w:val="20"/>
                <w:szCs w:val="20"/>
              </w:rPr>
            </w:pPr>
          </w:p>
          <w:p w14:paraId="53A2AED9" w14:textId="77777777" w:rsidR="002D58E4" w:rsidRDefault="00F721D4">
            <w:pPr>
              <w:spacing w:after="0"/>
              <w:rPr>
                <w:sz w:val="20"/>
                <w:szCs w:val="20"/>
              </w:rPr>
            </w:pPr>
            <w:r>
              <w:rPr>
                <w:sz w:val="20"/>
                <w:szCs w:val="20"/>
              </w:rPr>
              <w:t xml:space="preserve">10 of the 11 remaining patients were positive by PCR for </w:t>
            </w:r>
            <w:r>
              <w:rPr>
                <w:i/>
                <w:sz w:val="20"/>
                <w:szCs w:val="20"/>
              </w:rPr>
              <w:t xml:space="preserve">B. burgdorferi </w:t>
            </w:r>
            <w:r>
              <w:rPr>
                <w:sz w:val="20"/>
                <w:szCs w:val="20"/>
              </w:rPr>
              <w:t>DNA in the synovial tissue (91% sensitivity).</w:t>
            </w:r>
          </w:p>
          <w:p w14:paraId="231A9CC4" w14:textId="77777777" w:rsidR="002D58E4" w:rsidRDefault="002D58E4">
            <w:pPr>
              <w:spacing w:after="0"/>
              <w:rPr>
                <w:sz w:val="20"/>
                <w:szCs w:val="20"/>
              </w:rPr>
            </w:pPr>
          </w:p>
          <w:p w14:paraId="4EFCCE30" w14:textId="77777777" w:rsidR="002D58E4" w:rsidRDefault="00F721D4">
            <w:pPr>
              <w:spacing w:after="0"/>
              <w:rPr>
                <w:sz w:val="20"/>
                <w:szCs w:val="20"/>
              </w:rPr>
            </w:pPr>
            <w:r>
              <w:rPr>
                <w:sz w:val="20"/>
                <w:szCs w:val="20"/>
              </w:rPr>
              <w:t>The PCR results for synovial fluid tissue samples, taken together, showed that all 12 Lyme arthritis patients were positive (100% sensitivity).</w:t>
            </w:r>
          </w:p>
          <w:p w14:paraId="537EF01D" w14:textId="77777777" w:rsidR="002D58E4" w:rsidRDefault="002D58E4">
            <w:pPr>
              <w:spacing w:after="0"/>
              <w:rPr>
                <w:sz w:val="20"/>
                <w:szCs w:val="20"/>
              </w:rPr>
            </w:pPr>
          </w:p>
          <w:p w14:paraId="47CE58DC" w14:textId="77777777" w:rsidR="002D58E4" w:rsidRDefault="00F721D4">
            <w:pPr>
              <w:spacing w:after="0"/>
              <w:rPr>
                <w:sz w:val="20"/>
                <w:szCs w:val="20"/>
              </w:rPr>
            </w:pPr>
            <w:r>
              <w:rPr>
                <w:sz w:val="20"/>
                <w:szCs w:val="20"/>
              </w:rPr>
              <w:t>EIA findings were positive for 10 of the 12 patients with clinically evident Lyme arthritis. All sera which tested positive by EIA were confirmed as true-positives by Western blot analysis. None of the results in 29 control patients were significant by EIA and by Western blot.</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5233BEF8" w14:textId="77777777" w:rsidR="002D58E4" w:rsidRDefault="00F721D4">
            <w:pPr>
              <w:spacing w:after="0"/>
              <w:rPr>
                <w:sz w:val="20"/>
                <w:szCs w:val="20"/>
              </w:rPr>
            </w:pPr>
            <w:r>
              <w:rPr>
                <w:sz w:val="20"/>
                <w:szCs w:val="20"/>
              </w:rPr>
              <w:t xml:space="preserve">Among the 11 patients for whom both synovial fluid and synovial tissue samples were available and interpretable after PCR, </w:t>
            </w:r>
            <w:r>
              <w:rPr>
                <w:i/>
                <w:sz w:val="20"/>
                <w:szCs w:val="20"/>
              </w:rPr>
              <w:t>fla</w:t>
            </w:r>
            <w:r>
              <w:rPr>
                <w:sz w:val="20"/>
                <w:szCs w:val="20"/>
              </w:rPr>
              <w:t xml:space="preserve"> sequences were statistically more often encountered in synovial tissue than in synovial fluid (p&lt;0.05).</w:t>
            </w:r>
          </w:p>
          <w:p w14:paraId="26322223" w14:textId="77777777" w:rsidR="002D58E4" w:rsidRDefault="002D58E4">
            <w:pPr>
              <w:spacing w:after="0"/>
              <w:rPr>
                <w:sz w:val="20"/>
                <w:szCs w:val="20"/>
              </w:rPr>
            </w:pPr>
          </w:p>
          <w:p w14:paraId="6C545DB9" w14:textId="77777777" w:rsidR="002D58E4" w:rsidRDefault="00F721D4">
            <w:pPr>
              <w:spacing w:after="0"/>
              <w:rPr>
                <w:sz w:val="20"/>
                <w:szCs w:val="20"/>
              </w:rPr>
            </w:pPr>
            <w:r>
              <w:rPr>
                <w:sz w:val="20"/>
                <w:szCs w:val="20"/>
              </w:rPr>
              <w:t>3 patients had Lyme arthritis despite antibiotic therapy: two had been previously treated with short courses of oral antibiotic therapy (doxycycline 100 mg BID for 3 weeks) and one had been previously treated with IV ceftriaxone (2 g/day for 3 weeks). All 3 patients’ synovial tissue was PCR positive. The 2 patients previously treated with doxycycline were found to be PCR negative when testing synovial fluid, whereas the patient previously treated with IV ceftriaxone was found to be PCR positive in both synovial fluid and tissue.</w:t>
            </w:r>
          </w:p>
          <w:p w14:paraId="7B9C6735" w14:textId="77777777" w:rsidR="002D58E4" w:rsidRDefault="002D58E4">
            <w:pPr>
              <w:spacing w:after="0"/>
              <w:rPr>
                <w:sz w:val="20"/>
                <w:szCs w:val="20"/>
              </w:rPr>
            </w:pPr>
          </w:p>
          <w:p w14:paraId="6B7D5014" w14:textId="6DB9E039" w:rsidR="002D58E4" w:rsidRDefault="00F721D4">
            <w:pPr>
              <w:spacing w:after="0"/>
              <w:rPr>
                <w:sz w:val="20"/>
                <w:szCs w:val="20"/>
              </w:rPr>
            </w:pPr>
            <w:r>
              <w:rPr>
                <w:sz w:val="20"/>
                <w:szCs w:val="20"/>
              </w:rPr>
              <w:t xml:space="preserve">The authors suggested that negative PCR results with synovial fluid samples cannot exclude the presence of </w:t>
            </w:r>
            <w:r>
              <w:rPr>
                <w:i/>
                <w:sz w:val="20"/>
                <w:szCs w:val="20"/>
              </w:rPr>
              <w:t>B. burgdorferi</w:t>
            </w:r>
            <w:r>
              <w:rPr>
                <w:sz w:val="20"/>
                <w:szCs w:val="20"/>
              </w:rPr>
              <w:t xml:space="preserve"> in the joint. </w:t>
            </w:r>
          </w:p>
        </w:tc>
      </w:tr>
      <w:tr w:rsidR="002D58E4" w14:paraId="45C36B70"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65680C83" w14:textId="77777777" w:rsidR="002D58E4" w:rsidRDefault="00F721D4">
            <w:pPr>
              <w:spacing w:after="0"/>
              <w:rPr>
                <w:sz w:val="20"/>
                <w:szCs w:val="20"/>
              </w:rPr>
            </w:pPr>
            <w:r>
              <w:rPr>
                <w:sz w:val="20"/>
                <w:szCs w:val="20"/>
              </w:rPr>
              <w:t>Priem, et al., 1997</w:t>
            </w:r>
          </w:p>
          <w:p w14:paraId="63B4FD1E" w14:textId="77777777" w:rsidR="002D58E4" w:rsidRDefault="002D58E4">
            <w:pPr>
              <w:spacing w:after="0"/>
              <w:rPr>
                <w:sz w:val="20"/>
                <w:szCs w:val="20"/>
              </w:rPr>
            </w:pPr>
          </w:p>
          <w:p w14:paraId="315F4795" w14:textId="77777777" w:rsidR="002D58E4" w:rsidRDefault="00F721D4">
            <w:pPr>
              <w:spacing w:after="0"/>
              <w:rPr>
                <w:sz w:val="20"/>
                <w:szCs w:val="20"/>
              </w:rPr>
            </w:pPr>
            <w:r>
              <w:rPr>
                <w:sz w:val="20"/>
                <w:szCs w:val="20"/>
              </w:rPr>
              <w:t>Berlin, Germany</w:t>
            </w:r>
          </w:p>
        </w:tc>
        <w:tc>
          <w:tcPr>
            <w:tcW w:w="990" w:type="dxa"/>
            <w:vAlign w:val="center"/>
          </w:tcPr>
          <w:p w14:paraId="2F49F73F" w14:textId="77777777" w:rsidR="002D58E4" w:rsidRDefault="00F721D4">
            <w:pPr>
              <w:spacing w:after="0"/>
              <w:rPr>
                <w:sz w:val="20"/>
                <w:szCs w:val="20"/>
              </w:rPr>
            </w:pPr>
            <w:r>
              <w:rPr>
                <w:sz w:val="20"/>
                <w:szCs w:val="20"/>
              </w:rPr>
              <w:t>Case control study</w:t>
            </w:r>
          </w:p>
        </w:tc>
        <w:tc>
          <w:tcPr>
            <w:tcW w:w="3960" w:type="dxa"/>
            <w:vAlign w:val="center"/>
          </w:tcPr>
          <w:p w14:paraId="439EF6BD" w14:textId="77777777" w:rsidR="002D58E4" w:rsidRDefault="00F721D4">
            <w:pPr>
              <w:spacing w:after="0"/>
              <w:rPr>
                <w:sz w:val="20"/>
                <w:szCs w:val="20"/>
              </w:rPr>
            </w:pPr>
            <w:r>
              <w:rPr>
                <w:sz w:val="20"/>
                <w:szCs w:val="20"/>
              </w:rPr>
              <w:t>Urine, cerebrospinal fluid, and synovial fluid specimens from 57 patients with</w:t>
            </w:r>
            <w:r>
              <w:t xml:space="preserve"> </w:t>
            </w:r>
            <w:r>
              <w:rPr>
                <w:sz w:val="20"/>
                <w:szCs w:val="20"/>
              </w:rPr>
              <w:t xml:space="preserve">different manifestations of Lyme disease were examined.  Thirty-five patients with oligoarthritis, and in whom other rheumatic diseases (e.g.reactive arthritis, seronegative spondyloarthropathy, and rheumatoid arthritis) had been excluded, were diagnosed with Lyme arthritis, and 22 patients were diagnosed with neuroborreliosis. Seventeen patients had been treated with oral antibiotics prior to study onset. </w:t>
            </w:r>
          </w:p>
          <w:p w14:paraId="446C9C1B" w14:textId="77777777" w:rsidR="002D58E4" w:rsidRDefault="002D58E4">
            <w:pPr>
              <w:spacing w:after="0"/>
              <w:rPr>
                <w:sz w:val="20"/>
                <w:szCs w:val="20"/>
              </w:rPr>
            </w:pPr>
          </w:p>
          <w:p w14:paraId="15ADA3C8" w14:textId="77777777" w:rsidR="002D58E4" w:rsidRDefault="00F721D4">
            <w:pPr>
              <w:spacing w:after="0"/>
              <w:rPr>
                <w:sz w:val="20"/>
                <w:szCs w:val="20"/>
              </w:rPr>
            </w:pPr>
            <w:r>
              <w:rPr>
                <w:sz w:val="20"/>
                <w:szCs w:val="20"/>
              </w:rPr>
              <w:t>An additional group of 11 patients with histories and serologic results suggestive of Lyme disease who presented with nonspecific symptoms such as headache, subtle neurologic impairment, myalgias, or constitutional symptoms also underwent testing. All patients from both groups were from highly endemic regions and recalled a tick bite and/or erythema migrans rash. Lyme serology was performed by using full-antigen ELISA confirmed with Western Blot.</w:t>
            </w:r>
          </w:p>
          <w:p w14:paraId="4170FFAE" w14:textId="77777777" w:rsidR="002D58E4" w:rsidRDefault="002D58E4">
            <w:pPr>
              <w:spacing w:after="0"/>
              <w:rPr>
                <w:sz w:val="20"/>
                <w:szCs w:val="20"/>
              </w:rPr>
            </w:pPr>
          </w:p>
          <w:p w14:paraId="270D8FC1" w14:textId="77777777" w:rsidR="002D58E4" w:rsidRDefault="00F721D4">
            <w:pPr>
              <w:spacing w:after="0"/>
              <w:rPr>
                <w:sz w:val="20"/>
                <w:szCs w:val="20"/>
              </w:rPr>
            </w:pPr>
            <w:r>
              <w:rPr>
                <w:sz w:val="20"/>
                <w:szCs w:val="20"/>
              </w:rPr>
              <w:t>The group of control subjects consisted of 37 patients with various rheumatic diseases including rheumatoid arthritis, reactive arthritis, systemic lupus erythematosus, and osteoarthritis and 21 patients with different inflammatory and non-inflammatory central nervous system diseases, including multiple sclerosis, myelitis, and meningitis. All control subjects were seronegative.</w:t>
            </w:r>
          </w:p>
        </w:tc>
        <w:tc>
          <w:tcPr>
            <w:tcW w:w="4170" w:type="dxa"/>
            <w:shd w:val="clear" w:color="auto" w:fill="auto"/>
            <w:tcMar>
              <w:top w:w="15" w:type="dxa"/>
              <w:left w:w="30" w:type="dxa"/>
              <w:bottom w:w="0" w:type="dxa"/>
              <w:right w:w="30" w:type="dxa"/>
            </w:tcMar>
            <w:vAlign w:val="center"/>
          </w:tcPr>
          <w:p w14:paraId="4E5094E9" w14:textId="77777777" w:rsidR="002D58E4" w:rsidRDefault="00F721D4">
            <w:pPr>
              <w:spacing w:after="0"/>
              <w:rPr>
                <w:sz w:val="20"/>
                <w:szCs w:val="20"/>
              </w:rPr>
            </w:pPr>
            <w:r>
              <w:rPr>
                <w:sz w:val="20"/>
                <w:szCs w:val="20"/>
              </w:rPr>
              <w:t xml:space="preserve">Nested PCR was performed with primer sets targeting the </w:t>
            </w:r>
            <w:r>
              <w:rPr>
                <w:i/>
                <w:sz w:val="20"/>
                <w:szCs w:val="20"/>
              </w:rPr>
              <w:t>ospA</w:t>
            </w:r>
            <w:r>
              <w:rPr>
                <w:sz w:val="20"/>
                <w:szCs w:val="20"/>
              </w:rPr>
              <w:t xml:space="preserve"> gene and a chromosomal gene segment encoding a 66-kDa protein (</w:t>
            </w:r>
            <w:r>
              <w:rPr>
                <w:i/>
                <w:sz w:val="20"/>
                <w:szCs w:val="20"/>
              </w:rPr>
              <w:t>p66</w:t>
            </w:r>
            <w:r>
              <w:rPr>
                <w:sz w:val="20"/>
                <w:szCs w:val="20"/>
              </w:rPr>
              <w:t>).</w:t>
            </w:r>
          </w:p>
          <w:p w14:paraId="046D9886" w14:textId="77777777" w:rsidR="002D58E4" w:rsidRDefault="002D58E4">
            <w:pPr>
              <w:spacing w:after="0"/>
              <w:rPr>
                <w:sz w:val="20"/>
                <w:szCs w:val="20"/>
              </w:rPr>
            </w:pPr>
          </w:p>
          <w:p w14:paraId="7B80F30A" w14:textId="77777777" w:rsidR="002D58E4" w:rsidRDefault="00F721D4">
            <w:pPr>
              <w:spacing w:after="0"/>
              <w:rPr>
                <w:sz w:val="20"/>
                <w:szCs w:val="20"/>
              </w:rPr>
            </w:pPr>
            <w:r>
              <w:rPr>
                <w:sz w:val="20"/>
                <w:szCs w:val="20"/>
              </w:rPr>
              <w:t xml:space="preserve">Diagnostic sensitivity of PCR testing in synovial fluid samples was 85%. </w:t>
            </w:r>
          </w:p>
          <w:p w14:paraId="1CF8C6D6" w14:textId="77777777" w:rsidR="002D58E4" w:rsidRDefault="002D58E4">
            <w:pPr>
              <w:spacing w:after="0"/>
              <w:rPr>
                <w:sz w:val="20"/>
                <w:szCs w:val="20"/>
              </w:rPr>
            </w:pPr>
          </w:p>
          <w:p w14:paraId="0EF0D17E" w14:textId="77777777" w:rsidR="002D58E4" w:rsidRDefault="00F721D4">
            <w:pPr>
              <w:spacing w:after="0"/>
              <w:rPr>
                <w:sz w:val="20"/>
                <w:szCs w:val="20"/>
              </w:rPr>
            </w:pPr>
            <w:r>
              <w:rPr>
                <w:sz w:val="20"/>
                <w:szCs w:val="20"/>
              </w:rPr>
              <w:t xml:space="preserve">Diagnostic sensitivity of PCR testing in urine samples was 79%.  </w:t>
            </w:r>
            <w:r>
              <w:rPr>
                <w:sz w:val="20"/>
                <w:szCs w:val="20"/>
              </w:rPr>
              <w:br/>
            </w:r>
          </w:p>
          <w:p w14:paraId="47A188C5" w14:textId="77777777" w:rsidR="002D58E4" w:rsidRDefault="00F721D4">
            <w:pPr>
              <w:spacing w:after="0"/>
              <w:rPr>
                <w:sz w:val="20"/>
                <w:szCs w:val="20"/>
              </w:rPr>
            </w:pPr>
            <w:r>
              <w:rPr>
                <w:sz w:val="20"/>
                <w:szCs w:val="20"/>
              </w:rPr>
              <w:t xml:space="preserve">Diagnostic sensitivity of PCR testing in those with paired synovial fluid and urine samples was 91% in patients with Lyme arthritis. </w:t>
            </w:r>
          </w:p>
          <w:p w14:paraId="1B08B7AC" w14:textId="77777777" w:rsidR="002D58E4" w:rsidRDefault="002D58E4">
            <w:pPr>
              <w:spacing w:after="0"/>
              <w:rPr>
                <w:sz w:val="20"/>
                <w:szCs w:val="20"/>
              </w:rPr>
            </w:pPr>
          </w:p>
          <w:p w14:paraId="387B0D9D" w14:textId="77777777" w:rsidR="002D58E4" w:rsidRDefault="00F721D4">
            <w:pPr>
              <w:spacing w:after="0"/>
              <w:rPr>
                <w:sz w:val="20"/>
                <w:szCs w:val="20"/>
              </w:rPr>
            </w:pPr>
            <w:r>
              <w:rPr>
                <w:sz w:val="20"/>
                <w:szCs w:val="20"/>
              </w:rPr>
              <w:t>One patient each with neuroborreliosis and with Lyme arthritis had PCR positive urine samples only.</w:t>
            </w:r>
          </w:p>
          <w:p w14:paraId="63C6087D" w14:textId="77777777" w:rsidR="002D58E4" w:rsidRDefault="002D58E4">
            <w:pPr>
              <w:spacing w:after="0"/>
              <w:rPr>
                <w:sz w:val="20"/>
                <w:szCs w:val="20"/>
              </w:rPr>
            </w:pPr>
          </w:p>
          <w:p w14:paraId="3F40960D" w14:textId="77777777" w:rsidR="002D58E4" w:rsidRDefault="00F721D4">
            <w:pPr>
              <w:spacing w:after="0"/>
              <w:rPr>
                <w:sz w:val="20"/>
                <w:szCs w:val="20"/>
              </w:rPr>
            </w:pPr>
            <w:r>
              <w:rPr>
                <w:sz w:val="20"/>
                <w:szCs w:val="20"/>
              </w:rPr>
              <w:t xml:space="preserve">None of the control specimens was positive by nested PCR. </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BC9471E" w14:textId="77777777" w:rsidR="002D58E4" w:rsidRDefault="00F721D4">
            <w:pPr>
              <w:spacing w:after="0"/>
              <w:rPr>
                <w:sz w:val="20"/>
                <w:szCs w:val="20"/>
              </w:rPr>
            </w:pPr>
            <w:r>
              <w:rPr>
                <w:sz w:val="20"/>
                <w:szCs w:val="20"/>
              </w:rPr>
              <w:t xml:space="preserve">In 17% of all PCR-positive cases, both primer sets yielded positive results, while the other patients were positive with only one primer set. Among these, more positive results were obtained with the </w:t>
            </w:r>
            <w:r>
              <w:rPr>
                <w:i/>
                <w:sz w:val="20"/>
                <w:szCs w:val="20"/>
              </w:rPr>
              <w:t>p66</w:t>
            </w:r>
            <w:r>
              <w:rPr>
                <w:sz w:val="20"/>
                <w:szCs w:val="20"/>
              </w:rPr>
              <w:t xml:space="preserve"> gene primer than with the </w:t>
            </w:r>
            <w:r>
              <w:rPr>
                <w:i/>
                <w:sz w:val="20"/>
                <w:szCs w:val="20"/>
              </w:rPr>
              <w:t>ospA</w:t>
            </w:r>
            <w:r>
              <w:rPr>
                <w:sz w:val="20"/>
                <w:szCs w:val="20"/>
              </w:rPr>
              <w:t xml:space="preserve"> primer. The specificity of the optimized PCR protocol exceeded 99%. </w:t>
            </w:r>
          </w:p>
          <w:p w14:paraId="63BA0DEE" w14:textId="77777777" w:rsidR="002D58E4" w:rsidRDefault="002D58E4">
            <w:pPr>
              <w:spacing w:after="0"/>
              <w:rPr>
                <w:sz w:val="20"/>
                <w:szCs w:val="20"/>
              </w:rPr>
            </w:pPr>
          </w:p>
          <w:p w14:paraId="73B560F7" w14:textId="77777777" w:rsidR="002D58E4" w:rsidRDefault="00F721D4">
            <w:pPr>
              <w:spacing w:after="0"/>
              <w:rPr>
                <w:sz w:val="20"/>
                <w:szCs w:val="20"/>
              </w:rPr>
            </w:pPr>
            <w:r>
              <w:rPr>
                <w:sz w:val="20"/>
                <w:szCs w:val="20"/>
              </w:rPr>
              <w:t xml:space="preserve">The authors concluded that DNA from </w:t>
            </w:r>
            <w:r>
              <w:rPr>
                <w:i/>
                <w:sz w:val="20"/>
                <w:szCs w:val="20"/>
              </w:rPr>
              <w:t xml:space="preserve">B. burgdorferi </w:t>
            </w:r>
            <w:r>
              <w:rPr>
                <w:sz w:val="20"/>
                <w:szCs w:val="20"/>
              </w:rPr>
              <w:t xml:space="preserve">can sensitively and specifically be detected with the optimized PCR method described. They recommend use of at least two different primer sets, and whenever possible, recommend that urine and cerebrospinal fluid or synovial fluid should be analyzed in parallel to achieve maximum sensitivity of the test.  However, it should be noted that nested PCR is prone to carryover contamination of amplicons. </w:t>
            </w:r>
          </w:p>
          <w:p w14:paraId="1055C717" w14:textId="77777777" w:rsidR="002D58E4" w:rsidRDefault="002D58E4">
            <w:pPr>
              <w:spacing w:after="0"/>
              <w:rPr>
                <w:sz w:val="20"/>
                <w:szCs w:val="20"/>
              </w:rPr>
            </w:pPr>
          </w:p>
        </w:tc>
      </w:tr>
      <w:tr w:rsidR="002D58E4" w14:paraId="544D7506"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74FD765C" w14:textId="77777777" w:rsidR="002D58E4" w:rsidRDefault="00F721D4">
            <w:pPr>
              <w:spacing w:after="0"/>
              <w:rPr>
                <w:sz w:val="20"/>
                <w:szCs w:val="20"/>
              </w:rPr>
            </w:pPr>
            <w:r>
              <w:rPr>
                <w:sz w:val="20"/>
                <w:szCs w:val="20"/>
              </w:rPr>
              <w:t>Priem, et al., 1998</w:t>
            </w:r>
          </w:p>
          <w:p w14:paraId="3AB29CFC" w14:textId="77777777" w:rsidR="002D58E4" w:rsidRDefault="002D58E4">
            <w:pPr>
              <w:spacing w:after="0"/>
              <w:rPr>
                <w:sz w:val="20"/>
                <w:szCs w:val="20"/>
              </w:rPr>
            </w:pPr>
          </w:p>
          <w:p w14:paraId="713D493C" w14:textId="77777777" w:rsidR="002D58E4" w:rsidRDefault="00F721D4">
            <w:pPr>
              <w:spacing w:after="0"/>
              <w:rPr>
                <w:sz w:val="20"/>
                <w:szCs w:val="20"/>
              </w:rPr>
            </w:pPr>
            <w:r>
              <w:rPr>
                <w:sz w:val="20"/>
                <w:szCs w:val="20"/>
              </w:rPr>
              <w:t>Berlin, Germany</w:t>
            </w:r>
          </w:p>
        </w:tc>
        <w:tc>
          <w:tcPr>
            <w:tcW w:w="990" w:type="dxa"/>
            <w:vAlign w:val="center"/>
          </w:tcPr>
          <w:p w14:paraId="572F6CE5" w14:textId="77777777" w:rsidR="002D58E4" w:rsidRDefault="00F721D4">
            <w:pPr>
              <w:spacing w:after="0"/>
              <w:rPr>
                <w:sz w:val="20"/>
                <w:szCs w:val="20"/>
              </w:rPr>
            </w:pPr>
            <w:r>
              <w:rPr>
                <w:sz w:val="20"/>
                <w:szCs w:val="20"/>
              </w:rPr>
              <w:t>Case series</w:t>
            </w:r>
          </w:p>
        </w:tc>
        <w:tc>
          <w:tcPr>
            <w:tcW w:w="3960" w:type="dxa"/>
            <w:vAlign w:val="center"/>
          </w:tcPr>
          <w:p w14:paraId="51716ED2" w14:textId="77777777" w:rsidR="002D58E4" w:rsidRDefault="00F721D4">
            <w:pPr>
              <w:spacing w:after="0"/>
              <w:rPr>
                <w:sz w:val="20"/>
                <w:szCs w:val="20"/>
              </w:rPr>
            </w:pPr>
            <w:r>
              <w:rPr>
                <w:sz w:val="20"/>
                <w:szCs w:val="20"/>
              </w:rPr>
              <w:t xml:space="preserve">Paired synovial fluid and synovial tissue specimens and urine samples from four patients with ongoing or recurring Lyme arthritis despite previous antibiotic therapy were tested. Patients were evaluated 8 to 10 weeks after antibiotic treatment had been completed. </w:t>
            </w:r>
          </w:p>
          <w:p w14:paraId="07B56222" w14:textId="77777777" w:rsidR="002D58E4" w:rsidRDefault="002D58E4">
            <w:pPr>
              <w:spacing w:after="0"/>
              <w:rPr>
                <w:sz w:val="20"/>
                <w:szCs w:val="20"/>
              </w:rPr>
            </w:pPr>
          </w:p>
          <w:p w14:paraId="54825EC8" w14:textId="77777777" w:rsidR="002D58E4" w:rsidRDefault="00F721D4">
            <w:pPr>
              <w:spacing w:after="0"/>
              <w:rPr>
                <w:sz w:val="20"/>
                <w:szCs w:val="20"/>
              </w:rPr>
            </w:pPr>
            <w:r>
              <w:rPr>
                <w:sz w:val="20"/>
                <w:szCs w:val="20"/>
              </w:rPr>
              <w:t>At the time of investigation, all four patients were still seropositive and had active arthritis despite previous antibiotic therapies. Arthritis completely resolved in all patients after additional antibiotic treatment.</w:t>
            </w:r>
          </w:p>
        </w:tc>
        <w:tc>
          <w:tcPr>
            <w:tcW w:w="4170" w:type="dxa"/>
            <w:shd w:val="clear" w:color="auto" w:fill="auto"/>
            <w:tcMar>
              <w:top w:w="15" w:type="dxa"/>
              <w:left w:w="30" w:type="dxa"/>
              <w:bottom w:w="0" w:type="dxa"/>
              <w:right w:w="30" w:type="dxa"/>
            </w:tcMar>
            <w:vAlign w:val="center"/>
          </w:tcPr>
          <w:p w14:paraId="287B13D9" w14:textId="77777777" w:rsidR="002D58E4" w:rsidRDefault="00F721D4">
            <w:pPr>
              <w:spacing w:after="0"/>
              <w:rPr>
                <w:sz w:val="20"/>
                <w:szCs w:val="20"/>
              </w:rPr>
            </w:pPr>
            <w:r>
              <w:rPr>
                <w:sz w:val="20"/>
                <w:szCs w:val="20"/>
              </w:rPr>
              <w:t xml:space="preserve">PCR for the detection of </w:t>
            </w:r>
            <w:r>
              <w:rPr>
                <w:i/>
                <w:sz w:val="20"/>
                <w:szCs w:val="20"/>
              </w:rPr>
              <w:t>B. burgdorferi</w:t>
            </w:r>
            <w:r>
              <w:rPr>
                <w:sz w:val="20"/>
                <w:szCs w:val="20"/>
              </w:rPr>
              <w:t xml:space="preserve"> DNA was carried out using primer sets specific for the </w:t>
            </w:r>
            <w:r>
              <w:rPr>
                <w:i/>
                <w:sz w:val="20"/>
                <w:szCs w:val="20"/>
              </w:rPr>
              <w:t>ospA</w:t>
            </w:r>
            <w:r>
              <w:rPr>
                <w:sz w:val="20"/>
                <w:szCs w:val="20"/>
              </w:rPr>
              <w:t xml:space="preserve"> gene and a </w:t>
            </w:r>
            <w:r>
              <w:rPr>
                <w:i/>
                <w:sz w:val="20"/>
                <w:szCs w:val="20"/>
              </w:rPr>
              <w:t>p66</w:t>
            </w:r>
            <w:r>
              <w:rPr>
                <w:sz w:val="20"/>
                <w:szCs w:val="20"/>
              </w:rPr>
              <w:t xml:space="preserve"> gene of </w:t>
            </w:r>
            <w:r>
              <w:rPr>
                <w:i/>
                <w:sz w:val="20"/>
                <w:szCs w:val="20"/>
              </w:rPr>
              <w:t>B. burgdorferi</w:t>
            </w:r>
            <w:r>
              <w:rPr>
                <w:sz w:val="20"/>
                <w:szCs w:val="20"/>
              </w:rPr>
              <w:t>.</w:t>
            </w:r>
          </w:p>
          <w:p w14:paraId="14B5229C" w14:textId="77777777" w:rsidR="002D58E4" w:rsidRDefault="002D58E4">
            <w:pPr>
              <w:spacing w:after="0"/>
              <w:rPr>
                <w:sz w:val="20"/>
                <w:szCs w:val="20"/>
              </w:rPr>
            </w:pPr>
          </w:p>
          <w:p w14:paraId="03FD65AF" w14:textId="77777777" w:rsidR="002D58E4" w:rsidRDefault="00F721D4">
            <w:pPr>
              <w:spacing w:after="0"/>
              <w:rPr>
                <w:sz w:val="20"/>
                <w:szCs w:val="20"/>
              </w:rPr>
            </w:pPr>
            <w:r>
              <w:rPr>
                <w:sz w:val="20"/>
                <w:szCs w:val="20"/>
              </w:rPr>
              <w:t>PCR with either primer set was negative in synovial fluid and urine, but was positive with at least one primer pair in the synovial tissue specimens.</w:t>
            </w:r>
          </w:p>
          <w:p w14:paraId="2B32A818" w14:textId="77777777" w:rsidR="002D58E4" w:rsidRDefault="002D58E4">
            <w:pPr>
              <w:spacing w:after="0"/>
              <w:rPr>
                <w:sz w:val="20"/>
                <w:szCs w:val="20"/>
              </w:rPr>
            </w:pPr>
          </w:p>
          <w:p w14:paraId="51675910" w14:textId="77777777" w:rsidR="002D58E4" w:rsidRDefault="00F721D4">
            <w:pPr>
              <w:spacing w:after="0"/>
              <w:rPr>
                <w:sz w:val="20"/>
                <w:szCs w:val="20"/>
              </w:rPr>
            </w:pPr>
            <w:r>
              <w:rPr>
                <w:sz w:val="20"/>
                <w:szCs w:val="20"/>
              </w:rPr>
              <w:t xml:space="preserve">Synovial tissue samples of patient 1 and 2 showed positive PCR results with the </w:t>
            </w:r>
            <w:r>
              <w:rPr>
                <w:i/>
                <w:sz w:val="20"/>
                <w:szCs w:val="20"/>
              </w:rPr>
              <w:t>ospA</w:t>
            </w:r>
            <w:r>
              <w:rPr>
                <w:sz w:val="20"/>
                <w:szCs w:val="20"/>
              </w:rPr>
              <w:t xml:space="preserve"> primer while the synovial tissue specimen of patient 3 was PCR positive with the </w:t>
            </w:r>
            <w:r>
              <w:rPr>
                <w:i/>
                <w:sz w:val="20"/>
                <w:szCs w:val="20"/>
              </w:rPr>
              <w:t>p66</w:t>
            </w:r>
            <w:r>
              <w:rPr>
                <w:sz w:val="20"/>
                <w:szCs w:val="20"/>
              </w:rPr>
              <w:t xml:space="preserve"> primer only. Synovial tissue samples from patient 4 were PCR positive with both primer sets.</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4D0AB6F" w14:textId="3DAA3E5E" w:rsidR="002D58E4" w:rsidRDefault="00F721D4">
            <w:pPr>
              <w:spacing w:after="0"/>
              <w:rPr>
                <w:sz w:val="20"/>
                <w:szCs w:val="20"/>
              </w:rPr>
            </w:pPr>
            <w:r>
              <w:rPr>
                <w:sz w:val="20"/>
                <w:szCs w:val="20"/>
              </w:rPr>
              <w:t xml:space="preserve">The authors concluded that in patients with treatment-resistant (now called post-antibiotic) Lyme arthritis, negative PCR results in synovial fluid or urine after antibiotic therapy do not rule out the intra-articular persistence of </w:t>
            </w:r>
            <w:r>
              <w:rPr>
                <w:i/>
                <w:sz w:val="20"/>
                <w:szCs w:val="20"/>
              </w:rPr>
              <w:t xml:space="preserve">B. burgdorferi </w:t>
            </w:r>
            <w:r>
              <w:rPr>
                <w:sz w:val="20"/>
                <w:szCs w:val="20"/>
              </w:rPr>
              <w:t>DNA. They recommend PCR analysis of both synovial tissue and synovial fluid for borrelial DNA, because positive results in synovial tissue are strongly suggestive of ongoing infection.</w:t>
            </w:r>
            <w:r w:rsidR="00154D17">
              <w:rPr>
                <w:sz w:val="20"/>
                <w:szCs w:val="20"/>
              </w:rPr>
              <w:t xml:space="preserve"> However, it should be noted that nested PCR is prone to carryover contamination of amplicons.</w:t>
            </w:r>
          </w:p>
        </w:tc>
      </w:tr>
      <w:tr w:rsidR="002D58E4" w14:paraId="234CEF55" w14:textId="77777777">
        <w:trPr>
          <w:trHeight w:val="100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3A8F4DC2" w14:textId="77777777" w:rsidR="002D58E4" w:rsidRDefault="00F721D4">
            <w:pPr>
              <w:spacing w:after="0"/>
              <w:rPr>
                <w:sz w:val="20"/>
                <w:szCs w:val="20"/>
              </w:rPr>
            </w:pPr>
            <w:r>
              <w:rPr>
                <w:sz w:val="20"/>
                <w:szCs w:val="20"/>
              </w:rPr>
              <w:t>Carlson, et al., 1999</w:t>
            </w:r>
          </w:p>
          <w:p w14:paraId="26A6D881" w14:textId="77777777" w:rsidR="002D58E4" w:rsidRDefault="002D58E4">
            <w:pPr>
              <w:spacing w:after="0"/>
              <w:rPr>
                <w:sz w:val="20"/>
                <w:szCs w:val="20"/>
              </w:rPr>
            </w:pPr>
          </w:p>
          <w:p w14:paraId="69CC9C36" w14:textId="77777777" w:rsidR="002D58E4" w:rsidRDefault="00F721D4">
            <w:pPr>
              <w:spacing w:after="0"/>
              <w:rPr>
                <w:sz w:val="20"/>
                <w:szCs w:val="20"/>
              </w:rPr>
            </w:pPr>
            <w:r>
              <w:rPr>
                <w:sz w:val="20"/>
                <w:szCs w:val="20"/>
              </w:rPr>
              <w:t>New Haven, CT</w:t>
            </w:r>
          </w:p>
        </w:tc>
        <w:tc>
          <w:tcPr>
            <w:tcW w:w="990" w:type="dxa"/>
            <w:vAlign w:val="center"/>
          </w:tcPr>
          <w:p w14:paraId="6991AB2A" w14:textId="77777777" w:rsidR="002D58E4" w:rsidRDefault="00F721D4">
            <w:pPr>
              <w:spacing w:after="0"/>
              <w:rPr>
                <w:sz w:val="20"/>
                <w:szCs w:val="20"/>
              </w:rPr>
            </w:pPr>
            <w:r>
              <w:rPr>
                <w:sz w:val="20"/>
                <w:szCs w:val="20"/>
              </w:rPr>
              <w:t>Retrospective study</w:t>
            </w:r>
          </w:p>
        </w:tc>
        <w:tc>
          <w:tcPr>
            <w:tcW w:w="3960" w:type="dxa"/>
            <w:vAlign w:val="center"/>
          </w:tcPr>
          <w:p w14:paraId="14606B83" w14:textId="77777777" w:rsidR="002D58E4" w:rsidRDefault="00F721D4">
            <w:pPr>
              <w:spacing w:after="0"/>
              <w:rPr>
                <w:sz w:val="20"/>
                <w:szCs w:val="20"/>
              </w:rPr>
            </w:pPr>
            <w:r>
              <w:rPr>
                <w:sz w:val="20"/>
                <w:szCs w:val="20"/>
              </w:rPr>
              <w:t xml:space="preserve">Synovial tissue samples were obtained from 26 patients (50%male; mean age 33 years (range 12–60 years) with antibiotic treatment-resistant now called post-antibiotic) Lyme arthritis who underwent arthroscopic synovectomies. The mean disease duration from onset to beginning of arthritis symptoms was 12 months (range 3-25 months). Thirteen patients had early manifestations of the infection. The remaining 13 patients presented with knee swelling. In all 26 patients, 1 or both knees were chronically affected. All patients met the CDC criteria for Lyme disease and had brief, intermittent attacks of oligoarthritis followed by chronic arthritis in a knee, exposure in an area endemic for the disease, and a positive antibody response to </w:t>
            </w:r>
            <w:r>
              <w:rPr>
                <w:i/>
                <w:sz w:val="20"/>
                <w:szCs w:val="20"/>
              </w:rPr>
              <w:t>B burgdorferi</w:t>
            </w:r>
            <w:r>
              <w:rPr>
                <w:sz w:val="20"/>
                <w:szCs w:val="20"/>
              </w:rPr>
              <w:t xml:space="preserve"> by ELISA and Western blot.</w:t>
            </w:r>
          </w:p>
          <w:p w14:paraId="520940BA" w14:textId="77777777" w:rsidR="002D58E4" w:rsidRDefault="002D58E4">
            <w:pPr>
              <w:spacing w:after="0"/>
              <w:rPr>
                <w:sz w:val="20"/>
                <w:szCs w:val="20"/>
              </w:rPr>
            </w:pPr>
          </w:p>
          <w:p w14:paraId="48050BFE" w14:textId="77777777" w:rsidR="002D58E4" w:rsidRDefault="00F721D4">
            <w:pPr>
              <w:spacing w:after="0"/>
              <w:rPr>
                <w:sz w:val="20"/>
                <w:szCs w:val="20"/>
              </w:rPr>
            </w:pPr>
            <w:r>
              <w:rPr>
                <w:sz w:val="20"/>
                <w:szCs w:val="20"/>
              </w:rPr>
              <w:t xml:space="preserve">Synovial tissue specimens were also obtained from 10 control subjects (osteoarthritis, N=3; rheumatoid arthritis, N=2; juvenile rheumatoid arthritis, N=1; reactive arthritis, N=2; sarcoid arthritis, N=1; undifferentiated arthritis, N=1). </w:t>
            </w:r>
          </w:p>
        </w:tc>
        <w:tc>
          <w:tcPr>
            <w:tcW w:w="4170" w:type="dxa"/>
            <w:shd w:val="clear" w:color="auto" w:fill="auto"/>
            <w:tcMar>
              <w:top w:w="15" w:type="dxa"/>
              <w:left w:w="30" w:type="dxa"/>
              <w:bottom w:w="0" w:type="dxa"/>
              <w:right w:w="30" w:type="dxa"/>
            </w:tcMar>
            <w:vAlign w:val="center"/>
          </w:tcPr>
          <w:p w14:paraId="04A9E2BF" w14:textId="77777777" w:rsidR="002D58E4" w:rsidRDefault="00F721D4">
            <w:pPr>
              <w:spacing w:after="0"/>
              <w:rPr>
                <w:sz w:val="20"/>
                <w:szCs w:val="20"/>
              </w:rPr>
            </w:pPr>
            <w:r>
              <w:rPr>
                <w:sz w:val="20"/>
                <w:szCs w:val="20"/>
              </w:rPr>
              <w:t>Samples were tested by PCR using 3 different</w:t>
            </w:r>
          </w:p>
          <w:p w14:paraId="046C7A34" w14:textId="77777777" w:rsidR="002D58E4" w:rsidRDefault="00F721D4">
            <w:pPr>
              <w:spacing w:after="0"/>
              <w:rPr>
                <w:sz w:val="20"/>
                <w:szCs w:val="20"/>
              </w:rPr>
            </w:pPr>
            <w:r>
              <w:rPr>
                <w:sz w:val="20"/>
                <w:szCs w:val="20"/>
              </w:rPr>
              <w:t>primer-probe sets, which targeted plasmid DNA</w:t>
            </w:r>
          </w:p>
          <w:p w14:paraId="5098D4F0" w14:textId="77777777" w:rsidR="002D58E4" w:rsidRDefault="00F721D4">
            <w:pPr>
              <w:spacing w:after="0"/>
              <w:rPr>
                <w:sz w:val="20"/>
                <w:szCs w:val="20"/>
              </w:rPr>
            </w:pPr>
            <w:r>
              <w:rPr>
                <w:sz w:val="20"/>
                <w:szCs w:val="20"/>
              </w:rPr>
              <w:t xml:space="preserve">encoding </w:t>
            </w:r>
            <w:r>
              <w:rPr>
                <w:i/>
                <w:sz w:val="20"/>
                <w:szCs w:val="20"/>
              </w:rPr>
              <w:t>B. burgdorferi</w:t>
            </w:r>
            <w:r>
              <w:rPr>
                <w:sz w:val="20"/>
                <w:szCs w:val="20"/>
              </w:rPr>
              <w:t xml:space="preserve"> </w:t>
            </w:r>
            <w:r>
              <w:rPr>
                <w:i/>
                <w:sz w:val="20"/>
                <w:szCs w:val="20"/>
              </w:rPr>
              <w:t>ospA</w:t>
            </w:r>
            <w:r>
              <w:rPr>
                <w:sz w:val="20"/>
                <w:szCs w:val="20"/>
              </w:rPr>
              <w:t xml:space="preserve"> or </w:t>
            </w:r>
            <w:r>
              <w:rPr>
                <w:i/>
                <w:sz w:val="20"/>
                <w:szCs w:val="20"/>
              </w:rPr>
              <w:t>ospB</w:t>
            </w:r>
            <w:r>
              <w:rPr>
                <w:sz w:val="20"/>
                <w:szCs w:val="20"/>
              </w:rPr>
              <w:t xml:space="preserve"> or a chromosomal encoded flagellin protein, </w:t>
            </w:r>
            <w:r>
              <w:rPr>
                <w:i/>
                <w:sz w:val="20"/>
                <w:szCs w:val="20"/>
              </w:rPr>
              <w:t>P41</w:t>
            </w:r>
          </w:p>
          <w:p w14:paraId="122DCFEF" w14:textId="77777777" w:rsidR="002D58E4" w:rsidRDefault="002D58E4">
            <w:pPr>
              <w:spacing w:after="0"/>
              <w:rPr>
                <w:sz w:val="20"/>
                <w:szCs w:val="20"/>
              </w:rPr>
            </w:pPr>
          </w:p>
          <w:p w14:paraId="028EC803" w14:textId="77777777" w:rsidR="002D58E4" w:rsidRDefault="00F721D4">
            <w:pPr>
              <w:spacing w:after="0"/>
              <w:rPr>
                <w:sz w:val="20"/>
                <w:szCs w:val="20"/>
              </w:rPr>
            </w:pPr>
            <w:r>
              <w:rPr>
                <w:i/>
                <w:sz w:val="20"/>
                <w:szCs w:val="20"/>
              </w:rPr>
              <w:t>B. burgdorferi</w:t>
            </w:r>
            <w:r>
              <w:rPr>
                <w:sz w:val="20"/>
                <w:szCs w:val="20"/>
              </w:rPr>
              <w:t xml:space="preserve"> DNA was not detected with the 3 primer-probe sets in any of the synovial samples from the 26 patients with Lyme arthritis or from the 10 control subjects. </w:t>
            </w:r>
          </w:p>
          <w:p w14:paraId="3A9BD9CE" w14:textId="77777777" w:rsidR="002D58E4" w:rsidRDefault="002D58E4">
            <w:pPr>
              <w:spacing w:after="0"/>
              <w:rPr>
                <w:sz w:val="20"/>
                <w:szCs w:val="20"/>
              </w:rPr>
            </w:pP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7FF8EF4" w14:textId="77777777" w:rsidR="002D58E4" w:rsidRDefault="00F721D4">
            <w:pPr>
              <w:spacing w:after="0"/>
              <w:rPr>
                <w:sz w:val="20"/>
                <w:szCs w:val="20"/>
              </w:rPr>
            </w:pPr>
            <w:r>
              <w:rPr>
                <w:sz w:val="20"/>
                <w:szCs w:val="20"/>
              </w:rPr>
              <w:t xml:space="preserve">All 26 Lyme arthritis patients had been treated for arthritis with antibiotic therapy prior to testing. Three patients received only intravenous ceftriaxone or penicillin for 10–21 days, and 2 patients were given only oral doxycycline or amoxicillin for 6 or 9 weeks. The remaining 21 patients received both oral and intravenous therapy, usually oral doxycycline and intravenous ceftriaxone. Overall, the mean duration of antibiotic therapy in the 26 patients was 8 weeks (range 1.5–14 weeks). The mean duration from the completion of therapy to synovectomy was 7 months (range 0.1–35 months). </w:t>
            </w:r>
          </w:p>
          <w:p w14:paraId="721BEC52" w14:textId="77777777" w:rsidR="002D58E4" w:rsidRDefault="002D58E4">
            <w:pPr>
              <w:spacing w:after="0"/>
              <w:rPr>
                <w:sz w:val="20"/>
                <w:szCs w:val="20"/>
              </w:rPr>
            </w:pPr>
          </w:p>
          <w:p w14:paraId="34460325" w14:textId="77777777" w:rsidR="002D58E4" w:rsidRDefault="00F721D4">
            <w:pPr>
              <w:spacing w:after="0"/>
              <w:rPr>
                <w:sz w:val="20"/>
                <w:szCs w:val="20"/>
              </w:rPr>
            </w:pPr>
            <w:r>
              <w:rPr>
                <w:sz w:val="20"/>
                <w:szCs w:val="20"/>
              </w:rPr>
              <w:t xml:space="preserve">In this study, </w:t>
            </w:r>
            <w:r>
              <w:rPr>
                <w:i/>
                <w:sz w:val="20"/>
                <w:szCs w:val="20"/>
              </w:rPr>
              <w:t>B. burgdorferi</w:t>
            </w:r>
            <w:r>
              <w:rPr>
                <w:sz w:val="20"/>
                <w:szCs w:val="20"/>
              </w:rPr>
              <w:t xml:space="preserve"> DNA was not detected</w:t>
            </w:r>
          </w:p>
          <w:p w14:paraId="7CF377EE" w14:textId="77777777" w:rsidR="002D58E4" w:rsidRDefault="00F721D4">
            <w:pPr>
              <w:spacing w:after="0"/>
              <w:rPr>
                <w:sz w:val="20"/>
                <w:szCs w:val="20"/>
              </w:rPr>
            </w:pPr>
            <w:r>
              <w:rPr>
                <w:sz w:val="20"/>
                <w:szCs w:val="20"/>
              </w:rPr>
              <w:t>In the synovial tissue of any of the 26 Lyme arthritis patients who underwent arthroscopic synovectomies following prolonged courses of antibiotic treatment. The authors state that their results indicate that synovial inflammation may persist in some patients with Lyme arthritis even after the eradication of the spirochete from the joint with antibiotic therapy.</w:t>
            </w:r>
          </w:p>
        </w:tc>
      </w:tr>
      <w:tr w:rsidR="002D58E4" w14:paraId="065B7A83"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59864BBF" w14:textId="77777777" w:rsidR="002D58E4" w:rsidRDefault="00F721D4">
            <w:pPr>
              <w:spacing w:after="0"/>
              <w:rPr>
                <w:sz w:val="20"/>
                <w:szCs w:val="20"/>
              </w:rPr>
            </w:pPr>
            <w:r>
              <w:rPr>
                <w:sz w:val="20"/>
                <w:szCs w:val="20"/>
              </w:rPr>
              <w:t>Schnarr, et al., 2001</w:t>
            </w:r>
          </w:p>
          <w:p w14:paraId="1014BD40" w14:textId="77777777" w:rsidR="002D58E4" w:rsidRDefault="002D58E4">
            <w:pPr>
              <w:spacing w:after="0"/>
              <w:rPr>
                <w:sz w:val="20"/>
                <w:szCs w:val="20"/>
              </w:rPr>
            </w:pPr>
          </w:p>
          <w:p w14:paraId="06ACF215" w14:textId="77777777" w:rsidR="002D58E4" w:rsidRDefault="00F721D4">
            <w:pPr>
              <w:spacing w:after="0"/>
              <w:rPr>
                <w:sz w:val="20"/>
                <w:szCs w:val="20"/>
              </w:rPr>
            </w:pPr>
            <w:r>
              <w:rPr>
                <w:sz w:val="20"/>
                <w:szCs w:val="20"/>
              </w:rPr>
              <w:t>Hannover, Germany</w:t>
            </w:r>
          </w:p>
        </w:tc>
        <w:tc>
          <w:tcPr>
            <w:tcW w:w="990" w:type="dxa"/>
            <w:vAlign w:val="center"/>
          </w:tcPr>
          <w:p w14:paraId="33CFBB17" w14:textId="77777777" w:rsidR="002D58E4" w:rsidRDefault="00F721D4">
            <w:pPr>
              <w:spacing w:after="0"/>
              <w:rPr>
                <w:sz w:val="20"/>
                <w:szCs w:val="20"/>
              </w:rPr>
            </w:pPr>
            <w:r>
              <w:rPr>
                <w:sz w:val="20"/>
                <w:szCs w:val="20"/>
              </w:rPr>
              <w:t>Prospective cohort study</w:t>
            </w:r>
          </w:p>
        </w:tc>
        <w:tc>
          <w:tcPr>
            <w:tcW w:w="3960" w:type="dxa"/>
            <w:vAlign w:val="center"/>
          </w:tcPr>
          <w:p w14:paraId="43492252" w14:textId="77777777" w:rsidR="002D58E4" w:rsidRDefault="00F721D4">
            <w:pPr>
              <w:spacing w:after="0"/>
              <w:rPr>
                <w:sz w:val="20"/>
                <w:szCs w:val="20"/>
              </w:rPr>
            </w:pPr>
            <w:r>
              <w:rPr>
                <w:sz w:val="20"/>
                <w:szCs w:val="20"/>
              </w:rPr>
              <w:t xml:space="preserve">52 patients who were residents of a region highly endemic for Lyme disease who had been diagnosed with undifferentiated oligoarthritis for &lt;1 year and were experiencing joint effusion were enrolled. </w:t>
            </w:r>
          </w:p>
          <w:p w14:paraId="67B669C5" w14:textId="77777777" w:rsidR="002D58E4" w:rsidRDefault="002D58E4">
            <w:pPr>
              <w:spacing w:after="0"/>
              <w:rPr>
                <w:sz w:val="20"/>
                <w:szCs w:val="20"/>
              </w:rPr>
            </w:pPr>
          </w:p>
          <w:p w14:paraId="5C049D6E" w14:textId="77777777" w:rsidR="002D58E4" w:rsidRDefault="00F721D4">
            <w:pPr>
              <w:spacing w:after="0"/>
              <w:rPr>
                <w:sz w:val="20"/>
                <w:szCs w:val="20"/>
              </w:rPr>
            </w:pPr>
            <w:r>
              <w:rPr>
                <w:sz w:val="20"/>
                <w:szCs w:val="20"/>
              </w:rPr>
              <w:t xml:space="preserve">Undifferentiated oligoarthritis (UOA) was defined as the presence of synovitis in 1-4 joints, without psoriatic skin lesions, in patients whose symptoms did not meet the criteria for any other defined rheumatic disease. </w:t>
            </w:r>
          </w:p>
          <w:p w14:paraId="38187042" w14:textId="77777777" w:rsidR="002D58E4" w:rsidRDefault="002D58E4">
            <w:pPr>
              <w:spacing w:after="0"/>
              <w:rPr>
                <w:sz w:val="20"/>
                <w:szCs w:val="20"/>
              </w:rPr>
            </w:pPr>
          </w:p>
          <w:p w14:paraId="1C977204" w14:textId="77777777" w:rsidR="002D58E4" w:rsidRDefault="00F721D4">
            <w:pPr>
              <w:spacing w:after="0"/>
              <w:rPr>
                <w:sz w:val="20"/>
                <w:szCs w:val="20"/>
              </w:rPr>
            </w:pPr>
            <w:r>
              <w:rPr>
                <w:sz w:val="20"/>
                <w:szCs w:val="20"/>
              </w:rPr>
              <w:t>For comparison of the obtained PCR data among</w:t>
            </w:r>
          </w:p>
          <w:p w14:paraId="78FDB55A" w14:textId="77777777" w:rsidR="002D58E4" w:rsidRDefault="00F721D4">
            <w:pPr>
              <w:spacing w:after="0"/>
              <w:rPr>
                <w:sz w:val="20"/>
                <w:szCs w:val="20"/>
              </w:rPr>
            </w:pPr>
            <w:r>
              <w:rPr>
                <w:sz w:val="20"/>
                <w:szCs w:val="20"/>
              </w:rPr>
              <w:t xml:space="preserve">UOA patients and patients with other definite arthritides, samples were obtained from cohorts of patients with rheumatoid arthritis (N=31), patients with Lyme arthritis (N=16), and patients with </w:t>
            </w:r>
            <w:r>
              <w:rPr>
                <w:i/>
                <w:sz w:val="20"/>
                <w:szCs w:val="20"/>
              </w:rPr>
              <w:t>Chlamydia</w:t>
            </w:r>
            <w:r>
              <w:rPr>
                <w:sz w:val="20"/>
                <w:szCs w:val="20"/>
              </w:rPr>
              <w:t>-induced arthritis (N=14).</w:t>
            </w:r>
          </w:p>
        </w:tc>
        <w:tc>
          <w:tcPr>
            <w:tcW w:w="4170" w:type="dxa"/>
            <w:shd w:val="clear" w:color="auto" w:fill="auto"/>
            <w:tcMar>
              <w:top w:w="15" w:type="dxa"/>
              <w:left w:w="30" w:type="dxa"/>
              <w:bottom w:w="0" w:type="dxa"/>
              <w:right w:w="30" w:type="dxa"/>
            </w:tcMar>
            <w:vAlign w:val="center"/>
          </w:tcPr>
          <w:p w14:paraId="38233CD9" w14:textId="77777777" w:rsidR="002D58E4" w:rsidRDefault="00F721D4">
            <w:pPr>
              <w:spacing w:after="0"/>
              <w:rPr>
                <w:sz w:val="20"/>
                <w:szCs w:val="20"/>
              </w:rPr>
            </w:pPr>
            <w:r>
              <w:rPr>
                <w:sz w:val="20"/>
                <w:szCs w:val="20"/>
              </w:rPr>
              <w:t xml:space="preserve">Synovial fluid samples were tested by nested PCR for presence of </w:t>
            </w:r>
            <w:r>
              <w:rPr>
                <w:i/>
                <w:sz w:val="20"/>
                <w:szCs w:val="20"/>
              </w:rPr>
              <w:t xml:space="preserve">Chlamydia trachomatis </w:t>
            </w:r>
            <w:r>
              <w:rPr>
                <w:sz w:val="20"/>
                <w:szCs w:val="20"/>
              </w:rPr>
              <w:t xml:space="preserve">and </w:t>
            </w:r>
            <w:r>
              <w:rPr>
                <w:i/>
                <w:sz w:val="20"/>
                <w:szCs w:val="20"/>
              </w:rPr>
              <w:t xml:space="preserve">Borrelia burgdorferi </w:t>
            </w:r>
            <w:r>
              <w:rPr>
                <w:sz w:val="20"/>
                <w:szCs w:val="20"/>
              </w:rPr>
              <w:t xml:space="preserve">DNA. </w:t>
            </w:r>
          </w:p>
          <w:p w14:paraId="3AE2341D" w14:textId="77777777" w:rsidR="002D58E4" w:rsidRDefault="002D58E4">
            <w:pPr>
              <w:spacing w:after="0"/>
              <w:rPr>
                <w:sz w:val="20"/>
                <w:szCs w:val="20"/>
              </w:rPr>
            </w:pPr>
          </w:p>
          <w:p w14:paraId="12F609DD" w14:textId="77777777" w:rsidR="002D58E4" w:rsidRDefault="00F721D4">
            <w:pPr>
              <w:spacing w:after="0"/>
              <w:rPr>
                <w:sz w:val="20"/>
                <w:szCs w:val="20"/>
              </w:rPr>
            </w:pPr>
            <w:r>
              <w:rPr>
                <w:sz w:val="20"/>
                <w:szCs w:val="20"/>
              </w:rPr>
              <w:t xml:space="preserve">Fifteen of 52 UOA patients (29%) had a positive PCR result for either pathogen. </w:t>
            </w:r>
          </w:p>
          <w:p w14:paraId="03E52826" w14:textId="77777777" w:rsidR="002D58E4" w:rsidRDefault="002D58E4">
            <w:pPr>
              <w:spacing w:after="0"/>
              <w:rPr>
                <w:sz w:val="20"/>
                <w:szCs w:val="20"/>
              </w:rPr>
            </w:pPr>
          </w:p>
          <w:p w14:paraId="0941EA83" w14:textId="77777777" w:rsidR="002D58E4" w:rsidRDefault="00F721D4">
            <w:pPr>
              <w:spacing w:after="0"/>
              <w:rPr>
                <w:sz w:val="20"/>
                <w:szCs w:val="20"/>
              </w:rPr>
            </w:pPr>
            <w:r>
              <w:rPr>
                <w:sz w:val="20"/>
                <w:szCs w:val="20"/>
              </w:rPr>
              <w:t xml:space="preserve">Synovial fluid specimens of 9 patients (17%) were positive for </w:t>
            </w:r>
            <w:r>
              <w:rPr>
                <w:i/>
                <w:sz w:val="20"/>
                <w:szCs w:val="20"/>
              </w:rPr>
              <w:t>Chlamydia trachomatis</w:t>
            </w:r>
            <w:r>
              <w:rPr>
                <w:sz w:val="20"/>
                <w:szCs w:val="20"/>
              </w:rPr>
              <w:t xml:space="preserve"> DNA. </w:t>
            </w:r>
          </w:p>
          <w:p w14:paraId="40CE599D" w14:textId="77777777" w:rsidR="002D58E4" w:rsidRDefault="002D58E4">
            <w:pPr>
              <w:spacing w:after="0"/>
              <w:rPr>
                <w:sz w:val="20"/>
                <w:szCs w:val="20"/>
              </w:rPr>
            </w:pPr>
          </w:p>
          <w:p w14:paraId="4750B473" w14:textId="77777777" w:rsidR="002D58E4" w:rsidRDefault="00F721D4">
            <w:pPr>
              <w:spacing w:after="0"/>
              <w:rPr>
                <w:sz w:val="20"/>
                <w:szCs w:val="20"/>
              </w:rPr>
            </w:pPr>
            <w:r>
              <w:rPr>
                <w:sz w:val="20"/>
                <w:szCs w:val="20"/>
              </w:rPr>
              <w:t xml:space="preserve">Synovial fluid specimens of 6 patients (12%) had </w:t>
            </w:r>
            <w:r>
              <w:rPr>
                <w:i/>
                <w:sz w:val="20"/>
                <w:szCs w:val="20"/>
              </w:rPr>
              <w:t>B. burgdorferi</w:t>
            </w:r>
            <w:r>
              <w:rPr>
                <w:sz w:val="20"/>
                <w:szCs w:val="20"/>
              </w:rPr>
              <w:t xml:space="preserve"> DNA. </w:t>
            </w:r>
          </w:p>
          <w:p w14:paraId="7E278680" w14:textId="77777777" w:rsidR="002D58E4" w:rsidRDefault="002D58E4">
            <w:pPr>
              <w:spacing w:after="0"/>
              <w:rPr>
                <w:sz w:val="20"/>
                <w:szCs w:val="20"/>
              </w:rPr>
            </w:pPr>
          </w:p>
          <w:p w14:paraId="4D5FDDD3" w14:textId="77777777" w:rsidR="002D58E4" w:rsidRDefault="00F721D4">
            <w:pPr>
              <w:spacing w:after="0"/>
              <w:rPr>
                <w:sz w:val="20"/>
                <w:szCs w:val="20"/>
              </w:rPr>
            </w:pPr>
            <w:r>
              <w:rPr>
                <w:sz w:val="20"/>
                <w:szCs w:val="20"/>
              </w:rPr>
              <w:t xml:space="preserve">DNA from neither pathogen was found in the synovial fluid from any of the 31 rheumatoid arthritis patients. </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1CDD545" w14:textId="77777777" w:rsidR="002D58E4" w:rsidRDefault="00F721D4">
            <w:pPr>
              <w:spacing w:after="0"/>
              <w:rPr>
                <w:sz w:val="20"/>
                <w:szCs w:val="20"/>
              </w:rPr>
            </w:pPr>
            <w:r>
              <w:rPr>
                <w:sz w:val="20"/>
                <w:szCs w:val="20"/>
              </w:rPr>
              <w:t>The authors identified 6 individuals without significant anti-</w:t>
            </w:r>
            <w:r>
              <w:rPr>
                <w:i/>
                <w:sz w:val="20"/>
                <w:szCs w:val="20"/>
              </w:rPr>
              <w:t>Borrelia</w:t>
            </w:r>
            <w:r>
              <w:rPr>
                <w:sz w:val="20"/>
                <w:szCs w:val="20"/>
              </w:rPr>
              <w:t xml:space="preserve"> antibodies according to the CDC criteria, but with intra-articular </w:t>
            </w:r>
            <w:r>
              <w:rPr>
                <w:i/>
                <w:sz w:val="20"/>
                <w:szCs w:val="20"/>
              </w:rPr>
              <w:t>B. burgdorferi</w:t>
            </w:r>
            <w:r>
              <w:rPr>
                <w:sz w:val="20"/>
                <w:szCs w:val="20"/>
              </w:rPr>
              <w:t xml:space="preserve"> DNA detection. Among these 6 patients, 1 had a history of tick bite and erythema migrans. This patient did not fulfill the CDC criteria for Lyme disease because he had a </w:t>
            </w:r>
            <w:r>
              <w:rPr>
                <w:i/>
                <w:sz w:val="20"/>
                <w:szCs w:val="20"/>
              </w:rPr>
              <w:t>B. burgdorferi</w:t>
            </w:r>
            <w:r>
              <w:rPr>
                <w:sz w:val="20"/>
                <w:szCs w:val="20"/>
              </w:rPr>
              <w:t xml:space="preserve"> titer of 1:160 but only a single, very weak </w:t>
            </w:r>
            <w:r>
              <w:rPr>
                <w:i/>
                <w:sz w:val="20"/>
                <w:szCs w:val="20"/>
              </w:rPr>
              <w:t>ospC</w:t>
            </w:r>
            <w:r>
              <w:rPr>
                <w:sz w:val="20"/>
                <w:szCs w:val="20"/>
              </w:rPr>
              <w:t xml:space="preserve"> band in IgG Western blot. Another patient with a </w:t>
            </w:r>
            <w:r>
              <w:rPr>
                <w:i/>
                <w:sz w:val="20"/>
                <w:szCs w:val="20"/>
              </w:rPr>
              <w:t>B. burgdorferi</w:t>
            </w:r>
            <w:r>
              <w:rPr>
                <w:sz w:val="20"/>
                <w:szCs w:val="20"/>
              </w:rPr>
              <w:t xml:space="preserve"> titer of 1:160 had no visible bands in IgG and IgM Western blot. Prior episodes of tick bite and erythema migrans were not valuable predictors of the presence of </w:t>
            </w:r>
            <w:r>
              <w:rPr>
                <w:i/>
                <w:sz w:val="20"/>
                <w:szCs w:val="20"/>
              </w:rPr>
              <w:t>B. burgdorferi</w:t>
            </w:r>
            <w:r>
              <w:rPr>
                <w:sz w:val="20"/>
                <w:szCs w:val="20"/>
              </w:rPr>
              <w:t xml:space="preserve"> DNA in synovial fluid (p=0.79 and p=0.09, respectively).</w:t>
            </w:r>
          </w:p>
          <w:p w14:paraId="007BAE4F" w14:textId="77777777" w:rsidR="002D58E4" w:rsidRDefault="002D58E4">
            <w:pPr>
              <w:spacing w:after="0"/>
              <w:rPr>
                <w:sz w:val="20"/>
                <w:szCs w:val="20"/>
              </w:rPr>
            </w:pPr>
          </w:p>
          <w:p w14:paraId="23DAB217" w14:textId="77777777" w:rsidR="002D58E4" w:rsidRDefault="00F721D4">
            <w:pPr>
              <w:spacing w:after="0"/>
              <w:rPr>
                <w:sz w:val="20"/>
                <w:szCs w:val="20"/>
              </w:rPr>
            </w:pPr>
            <w:r>
              <w:rPr>
                <w:sz w:val="20"/>
                <w:szCs w:val="20"/>
              </w:rPr>
              <w:t>The authors suggest that a possible explanation for the striking seronegativity in this cohort is that the serologic test performed may be insufficient in some</w:t>
            </w:r>
          </w:p>
          <w:p w14:paraId="4353F143" w14:textId="13E0E8E7" w:rsidR="002D58E4" w:rsidRDefault="00F721D4">
            <w:pPr>
              <w:spacing w:after="0"/>
              <w:rPr>
                <w:sz w:val="20"/>
                <w:szCs w:val="20"/>
              </w:rPr>
            </w:pPr>
            <w:r>
              <w:rPr>
                <w:sz w:val="20"/>
                <w:szCs w:val="20"/>
              </w:rPr>
              <w:t xml:space="preserve">European regions highly endemic for other genospecies such as </w:t>
            </w:r>
            <w:r>
              <w:rPr>
                <w:i/>
                <w:sz w:val="20"/>
                <w:szCs w:val="20"/>
              </w:rPr>
              <w:t>B. afzelii</w:t>
            </w:r>
            <w:r>
              <w:rPr>
                <w:sz w:val="20"/>
                <w:szCs w:val="20"/>
              </w:rPr>
              <w:t xml:space="preserve">. The authors concluded that optimized PCR protocols can lead to the identification of a considerable frequency of </w:t>
            </w:r>
            <w:r>
              <w:rPr>
                <w:i/>
                <w:sz w:val="20"/>
                <w:szCs w:val="20"/>
              </w:rPr>
              <w:t>Borrelia</w:t>
            </w:r>
            <w:r>
              <w:rPr>
                <w:sz w:val="20"/>
                <w:szCs w:val="20"/>
              </w:rPr>
              <w:t xml:space="preserve">- and </w:t>
            </w:r>
            <w:r>
              <w:rPr>
                <w:i/>
                <w:sz w:val="20"/>
                <w:szCs w:val="20"/>
              </w:rPr>
              <w:t>Chlamydia</w:t>
            </w:r>
            <w:r>
              <w:rPr>
                <w:sz w:val="20"/>
                <w:szCs w:val="20"/>
              </w:rPr>
              <w:t>-specific DNA in the synovial fluid of patients with UOA.  However, it should be noted that nested PCR is prone to carryover contamination of amplicons.</w:t>
            </w:r>
          </w:p>
        </w:tc>
      </w:tr>
      <w:tr w:rsidR="002D58E4" w14:paraId="57645F06"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7E77A33E" w14:textId="77777777" w:rsidR="002D58E4" w:rsidRDefault="00F721D4">
            <w:pPr>
              <w:spacing w:after="0"/>
              <w:rPr>
                <w:sz w:val="20"/>
                <w:szCs w:val="20"/>
              </w:rPr>
            </w:pPr>
            <w:r>
              <w:rPr>
                <w:sz w:val="20"/>
                <w:szCs w:val="20"/>
              </w:rPr>
              <w:t>Lipowsky, et al., 2003</w:t>
            </w:r>
          </w:p>
          <w:p w14:paraId="4EBE6F71" w14:textId="77777777" w:rsidR="002D58E4" w:rsidRDefault="002D58E4">
            <w:pPr>
              <w:spacing w:after="0"/>
              <w:rPr>
                <w:sz w:val="20"/>
                <w:szCs w:val="20"/>
              </w:rPr>
            </w:pPr>
          </w:p>
          <w:p w14:paraId="7AC62DDF" w14:textId="77777777" w:rsidR="002D58E4" w:rsidRDefault="00F721D4">
            <w:pPr>
              <w:spacing w:after="0"/>
              <w:rPr>
                <w:sz w:val="20"/>
                <w:szCs w:val="20"/>
              </w:rPr>
            </w:pPr>
            <w:r>
              <w:rPr>
                <w:sz w:val="20"/>
                <w:szCs w:val="20"/>
              </w:rPr>
              <w:t>Zurich, Switzerland</w:t>
            </w:r>
          </w:p>
        </w:tc>
        <w:tc>
          <w:tcPr>
            <w:tcW w:w="990" w:type="dxa"/>
            <w:vAlign w:val="center"/>
          </w:tcPr>
          <w:p w14:paraId="1FDAAC77" w14:textId="77777777" w:rsidR="002D58E4" w:rsidRDefault="00F721D4">
            <w:pPr>
              <w:spacing w:after="0"/>
              <w:rPr>
                <w:sz w:val="20"/>
                <w:szCs w:val="20"/>
              </w:rPr>
            </w:pPr>
            <w:r>
              <w:rPr>
                <w:sz w:val="20"/>
                <w:szCs w:val="20"/>
              </w:rPr>
              <w:t>Case control study</w:t>
            </w:r>
          </w:p>
        </w:tc>
        <w:tc>
          <w:tcPr>
            <w:tcW w:w="3960" w:type="dxa"/>
            <w:vAlign w:val="center"/>
          </w:tcPr>
          <w:p w14:paraId="23170CCD" w14:textId="77777777" w:rsidR="002D58E4" w:rsidRDefault="00F721D4">
            <w:pPr>
              <w:spacing w:after="0"/>
              <w:rPr>
                <w:sz w:val="20"/>
                <w:szCs w:val="20"/>
              </w:rPr>
            </w:pPr>
            <w:r>
              <w:rPr>
                <w:sz w:val="20"/>
                <w:szCs w:val="20"/>
              </w:rPr>
              <w:t>Synovial fluid and tissue samples were obtained from 11 Lyme arthritis patients and from 15 controls with diagnosis of rheumatoid arthritis (N=10) or calcium pyrophosphate dehydrate deposition disease (n=5)</w:t>
            </w:r>
          </w:p>
          <w:p w14:paraId="4652D775" w14:textId="77777777" w:rsidR="002D58E4" w:rsidRDefault="002D58E4">
            <w:pPr>
              <w:spacing w:after="0"/>
              <w:rPr>
                <w:sz w:val="20"/>
                <w:szCs w:val="20"/>
              </w:rPr>
            </w:pPr>
          </w:p>
          <w:p w14:paraId="73208C2D" w14:textId="77777777" w:rsidR="002D58E4" w:rsidRDefault="00F721D4">
            <w:pPr>
              <w:spacing w:after="0"/>
              <w:rPr>
                <w:sz w:val="20"/>
                <w:szCs w:val="20"/>
              </w:rPr>
            </w:pPr>
            <w:r>
              <w:rPr>
                <w:sz w:val="20"/>
                <w:szCs w:val="20"/>
              </w:rPr>
              <w:t xml:space="preserve">9 patients had clinical symptoms of knee arthritis, 2 had oligoarthritis involving the knee. All patients tested positive for </w:t>
            </w:r>
            <w:r>
              <w:rPr>
                <w:i/>
                <w:sz w:val="20"/>
                <w:szCs w:val="20"/>
              </w:rPr>
              <w:t xml:space="preserve">B. burgdorferi </w:t>
            </w:r>
            <w:r>
              <w:rPr>
                <w:sz w:val="20"/>
                <w:szCs w:val="20"/>
              </w:rPr>
              <w:t xml:space="preserve">by ELISA, confirmed by Western Blot. </w:t>
            </w:r>
          </w:p>
        </w:tc>
        <w:tc>
          <w:tcPr>
            <w:tcW w:w="4170" w:type="dxa"/>
            <w:shd w:val="clear" w:color="auto" w:fill="auto"/>
            <w:tcMar>
              <w:top w:w="15" w:type="dxa"/>
              <w:left w:w="30" w:type="dxa"/>
              <w:bottom w:w="0" w:type="dxa"/>
              <w:right w:w="30" w:type="dxa"/>
            </w:tcMar>
            <w:vAlign w:val="center"/>
          </w:tcPr>
          <w:p w14:paraId="42AE9109" w14:textId="77777777" w:rsidR="002D58E4" w:rsidRDefault="00F721D4">
            <w:pPr>
              <w:spacing w:after="0"/>
              <w:rPr>
                <w:sz w:val="20"/>
                <w:szCs w:val="20"/>
              </w:rPr>
            </w:pPr>
            <w:r>
              <w:rPr>
                <w:sz w:val="20"/>
                <w:szCs w:val="20"/>
              </w:rPr>
              <w:t xml:space="preserve">Synovial fluid and synovial tissue samples were analyzed by species-specific and broad-range PCRs sequencing of </w:t>
            </w:r>
            <w:r>
              <w:rPr>
                <w:i/>
                <w:sz w:val="20"/>
                <w:szCs w:val="20"/>
              </w:rPr>
              <w:t>16s</w:t>
            </w:r>
            <w:r>
              <w:rPr>
                <w:sz w:val="20"/>
                <w:szCs w:val="20"/>
              </w:rPr>
              <w:t xml:space="preserve"> rRNA gene and </w:t>
            </w:r>
            <w:r>
              <w:rPr>
                <w:i/>
                <w:sz w:val="20"/>
                <w:szCs w:val="20"/>
              </w:rPr>
              <w:t xml:space="preserve">B. burgdorferi </w:t>
            </w:r>
            <w:r>
              <w:rPr>
                <w:sz w:val="20"/>
                <w:szCs w:val="20"/>
              </w:rPr>
              <w:t>flagellin (</w:t>
            </w:r>
            <w:r>
              <w:rPr>
                <w:i/>
                <w:sz w:val="20"/>
                <w:szCs w:val="20"/>
              </w:rPr>
              <w:t>fla</w:t>
            </w:r>
            <w:r>
              <w:rPr>
                <w:sz w:val="20"/>
                <w:szCs w:val="20"/>
              </w:rPr>
              <w:t xml:space="preserve">) gene. </w:t>
            </w:r>
          </w:p>
          <w:p w14:paraId="3DFED552" w14:textId="77777777" w:rsidR="002D58E4" w:rsidRDefault="002D58E4">
            <w:pPr>
              <w:spacing w:after="0"/>
              <w:rPr>
                <w:sz w:val="20"/>
                <w:szCs w:val="20"/>
              </w:rPr>
            </w:pPr>
          </w:p>
          <w:p w14:paraId="744A7677" w14:textId="77777777" w:rsidR="002D58E4" w:rsidRDefault="00F721D4">
            <w:pPr>
              <w:spacing w:after="0"/>
              <w:rPr>
                <w:sz w:val="20"/>
                <w:szCs w:val="20"/>
              </w:rPr>
            </w:pPr>
            <w:r>
              <w:rPr>
                <w:i/>
                <w:sz w:val="20"/>
                <w:szCs w:val="20"/>
              </w:rPr>
              <w:t>B. burgdorferi</w:t>
            </w:r>
            <w:r>
              <w:rPr>
                <w:sz w:val="20"/>
                <w:szCs w:val="20"/>
              </w:rPr>
              <w:t xml:space="preserve"> DNA was detected in 9 of 11 patients (82% synovial fluid, 18% synovial tissue) by species-specific PCR. Only one patient tested positive by broad-range PCR. </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7AF9E9A" w14:textId="5AA350B5" w:rsidR="002D58E4" w:rsidRDefault="00F721D4">
            <w:pPr>
              <w:spacing w:after="0"/>
              <w:rPr>
                <w:sz w:val="20"/>
                <w:szCs w:val="20"/>
              </w:rPr>
            </w:pPr>
            <w:r>
              <w:rPr>
                <w:sz w:val="20"/>
                <w:szCs w:val="20"/>
              </w:rPr>
              <w:t xml:space="preserve">The authors did not observe the persistence of </w:t>
            </w:r>
            <w:r>
              <w:rPr>
                <w:i/>
                <w:sz w:val="20"/>
                <w:szCs w:val="20"/>
              </w:rPr>
              <w:t xml:space="preserve">B. burgdorferi </w:t>
            </w:r>
            <w:r>
              <w:rPr>
                <w:sz w:val="20"/>
                <w:szCs w:val="20"/>
              </w:rPr>
              <w:t xml:space="preserve">DNA after antibiotic treatment. They concluded that synovial fluid was the preferable specimen to detect DNA by PCR. They noted that antibiotic treatment with ceftriaxone or doxycycline usually resulted in complete cure of Lyme arthritis and that species-specific PCR was a useful tool in monitoring treatment success. </w:t>
            </w:r>
          </w:p>
        </w:tc>
      </w:tr>
      <w:tr w:rsidR="002D58E4" w14:paraId="4D68B9BA"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409E444B" w14:textId="77777777" w:rsidR="002D58E4" w:rsidRPr="002914A2" w:rsidRDefault="00F721D4">
            <w:pPr>
              <w:spacing w:after="0"/>
              <w:rPr>
                <w:sz w:val="20"/>
                <w:szCs w:val="20"/>
                <w:lang w:val="fr-CA"/>
              </w:rPr>
            </w:pPr>
            <w:r w:rsidRPr="002914A2">
              <w:rPr>
                <w:sz w:val="20"/>
                <w:szCs w:val="20"/>
                <w:lang w:val="fr-CA"/>
              </w:rPr>
              <w:t>Kannian, et al., 2007</w:t>
            </w:r>
          </w:p>
          <w:p w14:paraId="12AEC64B" w14:textId="77777777" w:rsidR="002D58E4" w:rsidRPr="002914A2" w:rsidRDefault="002D58E4">
            <w:pPr>
              <w:spacing w:after="0"/>
              <w:rPr>
                <w:sz w:val="20"/>
                <w:szCs w:val="20"/>
                <w:lang w:val="fr-CA"/>
              </w:rPr>
            </w:pPr>
          </w:p>
          <w:p w14:paraId="55F9E4F1" w14:textId="77777777" w:rsidR="002D58E4" w:rsidRPr="002914A2" w:rsidRDefault="00F721D4">
            <w:pPr>
              <w:spacing w:after="0"/>
              <w:rPr>
                <w:sz w:val="20"/>
                <w:szCs w:val="20"/>
                <w:lang w:val="fr-CA"/>
              </w:rPr>
            </w:pPr>
            <w:r w:rsidRPr="002914A2">
              <w:rPr>
                <w:sz w:val="20"/>
                <w:szCs w:val="20"/>
                <w:lang w:val="fr-CA"/>
              </w:rPr>
              <w:t>Boston, MA</w:t>
            </w:r>
          </w:p>
        </w:tc>
        <w:tc>
          <w:tcPr>
            <w:tcW w:w="990" w:type="dxa"/>
            <w:vAlign w:val="center"/>
          </w:tcPr>
          <w:p w14:paraId="6ED0C624" w14:textId="77777777" w:rsidR="002D58E4" w:rsidRDefault="00F721D4">
            <w:pPr>
              <w:spacing w:after="0"/>
              <w:rPr>
                <w:sz w:val="20"/>
                <w:szCs w:val="20"/>
              </w:rPr>
            </w:pPr>
            <w:r>
              <w:rPr>
                <w:sz w:val="20"/>
                <w:szCs w:val="20"/>
              </w:rPr>
              <w:t>Prospective cohort study</w:t>
            </w:r>
          </w:p>
        </w:tc>
        <w:tc>
          <w:tcPr>
            <w:tcW w:w="3960" w:type="dxa"/>
            <w:vAlign w:val="center"/>
          </w:tcPr>
          <w:p w14:paraId="5A4E560D" w14:textId="77777777" w:rsidR="002D58E4" w:rsidRDefault="00F721D4">
            <w:pPr>
              <w:spacing w:after="0"/>
            </w:pPr>
            <w:r>
              <w:rPr>
                <w:sz w:val="20"/>
                <w:szCs w:val="20"/>
              </w:rPr>
              <w:t>At least 3 serial serum samples from 41 patients with antibiotic-refractory arthritis (65.9% male; median age 41, range 13-64 years) and 23 patients with antibiotic-responsive arthritis (65.2% male; median age 38, range 13-67 years), and samples from 10 non–antibiotic-treated, historical control patients were tested. Median disease duration from the start of the first course of antibiotics to the first sample date was 1 month in antibiotic-responsive patients (range, 0-2 months) and 2.5 months in antibiotic-refractory patients (range 0-7 months).</w:t>
            </w:r>
            <w:r>
              <w:t xml:space="preserve"> </w:t>
            </w:r>
          </w:p>
          <w:p w14:paraId="0A481E0C" w14:textId="77777777" w:rsidR="002D58E4" w:rsidRDefault="002D58E4">
            <w:pPr>
              <w:spacing w:after="0"/>
            </w:pPr>
          </w:p>
          <w:p w14:paraId="0BB5665D" w14:textId="77777777" w:rsidR="002D58E4" w:rsidRDefault="00F721D4">
            <w:pPr>
              <w:spacing w:after="0"/>
              <w:rPr>
                <w:sz w:val="20"/>
                <w:szCs w:val="20"/>
              </w:rPr>
            </w:pPr>
            <w:r>
              <w:rPr>
                <w:sz w:val="20"/>
                <w:szCs w:val="20"/>
              </w:rPr>
              <w:t>The 23 patients with antibiotic-responsive arthritis were usually treated with oral doxycycline for 1 month, and arthritis often resolved during that time. In contrast, the 41 patients with antibiotic refractory arthritis frequently received oral doxycycline for 2 months or IV ceftriaxone for 1 month or in many circumstances, received both medications, but their arthritis persisted for a median duration of 10 months after starting therapy.</w:t>
            </w:r>
          </w:p>
        </w:tc>
        <w:tc>
          <w:tcPr>
            <w:tcW w:w="4170" w:type="dxa"/>
            <w:shd w:val="clear" w:color="auto" w:fill="auto"/>
            <w:tcMar>
              <w:top w:w="15" w:type="dxa"/>
              <w:left w:w="30" w:type="dxa"/>
              <w:bottom w:w="0" w:type="dxa"/>
              <w:right w:w="30" w:type="dxa"/>
            </w:tcMar>
            <w:vAlign w:val="center"/>
          </w:tcPr>
          <w:p w14:paraId="4924B382" w14:textId="77777777" w:rsidR="002D58E4" w:rsidRDefault="00F721D4">
            <w:pPr>
              <w:spacing w:after="0"/>
              <w:rPr>
                <w:sz w:val="20"/>
                <w:szCs w:val="20"/>
              </w:rPr>
            </w:pPr>
            <w:r>
              <w:rPr>
                <w:sz w:val="20"/>
                <w:szCs w:val="20"/>
              </w:rPr>
              <w:t xml:space="preserve">IgG antibody responses to </w:t>
            </w:r>
            <w:r>
              <w:rPr>
                <w:i/>
                <w:sz w:val="20"/>
                <w:szCs w:val="20"/>
              </w:rPr>
              <w:t>B. burgdorferi</w:t>
            </w:r>
            <w:r>
              <w:rPr>
                <w:sz w:val="20"/>
                <w:szCs w:val="20"/>
              </w:rPr>
              <w:t xml:space="preserve"> sonicate, rDbpA, MaBP-OspA, GST-Arp, or the VlsE C6 peptide were determined by ELISA.</w:t>
            </w:r>
          </w:p>
          <w:p w14:paraId="20076522" w14:textId="77777777" w:rsidR="002D58E4" w:rsidRDefault="002D58E4">
            <w:pPr>
              <w:spacing w:after="0"/>
              <w:rPr>
                <w:sz w:val="20"/>
                <w:szCs w:val="20"/>
              </w:rPr>
            </w:pPr>
          </w:p>
          <w:p w14:paraId="56BF9A33" w14:textId="77777777" w:rsidR="002D58E4" w:rsidRDefault="00F721D4">
            <w:pPr>
              <w:spacing w:after="0"/>
              <w:rPr>
                <w:sz w:val="20"/>
                <w:szCs w:val="20"/>
                <w:u w:val="single"/>
              </w:rPr>
            </w:pPr>
            <w:r>
              <w:rPr>
                <w:sz w:val="20"/>
                <w:szCs w:val="20"/>
                <w:u w:val="single"/>
              </w:rPr>
              <w:t>Sonicate ELISA:</w:t>
            </w:r>
          </w:p>
          <w:p w14:paraId="0F8B6FFF" w14:textId="77777777" w:rsidR="002D58E4" w:rsidRDefault="00F721D4">
            <w:pPr>
              <w:numPr>
                <w:ilvl w:val="0"/>
                <w:numId w:val="46"/>
              </w:numPr>
              <w:pBdr>
                <w:top w:val="nil"/>
                <w:left w:val="nil"/>
                <w:bottom w:val="nil"/>
                <w:right w:val="nil"/>
                <w:between w:val="nil"/>
              </w:pBdr>
              <w:spacing w:after="0"/>
              <w:rPr>
                <w:color w:val="000000"/>
                <w:sz w:val="20"/>
                <w:szCs w:val="20"/>
              </w:rPr>
            </w:pPr>
            <w:r>
              <w:rPr>
                <w:color w:val="000000"/>
                <w:sz w:val="20"/>
                <w:szCs w:val="20"/>
              </w:rPr>
              <w:t xml:space="preserve">Antibiotic-responsive: % positive= 100 </w:t>
            </w:r>
          </w:p>
          <w:p w14:paraId="73543877" w14:textId="77777777" w:rsidR="002D58E4" w:rsidRDefault="00F721D4">
            <w:pPr>
              <w:numPr>
                <w:ilvl w:val="0"/>
                <w:numId w:val="46"/>
              </w:numPr>
              <w:pBdr>
                <w:top w:val="nil"/>
                <w:left w:val="nil"/>
                <w:bottom w:val="nil"/>
                <w:right w:val="nil"/>
                <w:between w:val="nil"/>
              </w:pBdr>
              <w:spacing w:after="0"/>
              <w:rPr>
                <w:color w:val="000000"/>
                <w:sz w:val="20"/>
                <w:szCs w:val="20"/>
              </w:rPr>
            </w:pPr>
            <w:r>
              <w:rPr>
                <w:color w:val="000000"/>
                <w:sz w:val="20"/>
                <w:szCs w:val="20"/>
              </w:rPr>
              <w:t xml:space="preserve">Antibiotic-refractory: % positive= 100 </w:t>
            </w:r>
          </w:p>
          <w:p w14:paraId="01071B3B" w14:textId="77777777" w:rsidR="002D58E4" w:rsidRDefault="002D58E4">
            <w:pPr>
              <w:spacing w:after="0"/>
              <w:rPr>
                <w:sz w:val="20"/>
                <w:szCs w:val="20"/>
              </w:rPr>
            </w:pPr>
          </w:p>
          <w:p w14:paraId="08AC4C6D" w14:textId="77777777" w:rsidR="002D58E4" w:rsidRDefault="00F721D4">
            <w:pPr>
              <w:spacing w:after="0"/>
              <w:rPr>
                <w:sz w:val="20"/>
                <w:szCs w:val="20"/>
                <w:u w:val="single"/>
              </w:rPr>
            </w:pPr>
            <w:r>
              <w:rPr>
                <w:sz w:val="20"/>
                <w:szCs w:val="20"/>
                <w:u w:val="single"/>
              </w:rPr>
              <w:t xml:space="preserve">DbpA ELISA: </w:t>
            </w:r>
          </w:p>
          <w:p w14:paraId="54FCA898" w14:textId="77777777" w:rsidR="002D58E4" w:rsidRDefault="00F721D4">
            <w:pPr>
              <w:numPr>
                <w:ilvl w:val="0"/>
                <w:numId w:val="47"/>
              </w:numPr>
              <w:pBdr>
                <w:top w:val="nil"/>
                <w:left w:val="nil"/>
                <w:bottom w:val="nil"/>
                <w:right w:val="nil"/>
                <w:between w:val="nil"/>
              </w:pBdr>
              <w:spacing w:after="0"/>
              <w:rPr>
                <w:color w:val="000000"/>
                <w:sz w:val="20"/>
                <w:szCs w:val="20"/>
              </w:rPr>
            </w:pPr>
            <w:r>
              <w:rPr>
                <w:color w:val="000000"/>
                <w:sz w:val="20"/>
                <w:szCs w:val="20"/>
              </w:rPr>
              <w:t xml:space="preserve">Antibiotic-responsive: % positive= 96 </w:t>
            </w:r>
          </w:p>
          <w:p w14:paraId="7BDCC0FE" w14:textId="77777777" w:rsidR="002D58E4" w:rsidRDefault="00F721D4">
            <w:pPr>
              <w:numPr>
                <w:ilvl w:val="0"/>
                <w:numId w:val="47"/>
              </w:numPr>
              <w:pBdr>
                <w:top w:val="nil"/>
                <w:left w:val="nil"/>
                <w:bottom w:val="nil"/>
                <w:right w:val="nil"/>
                <w:between w:val="nil"/>
              </w:pBdr>
              <w:spacing w:after="0"/>
              <w:rPr>
                <w:color w:val="000000"/>
                <w:sz w:val="20"/>
                <w:szCs w:val="20"/>
              </w:rPr>
            </w:pPr>
            <w:r>
              <w:rPr>
                <w:color w:val="000000"/>
                <w:sz w:val="20"/>
                <w:szCs w:val="20"/>
              </w:rPr>
              <w:t xml:space="preserve">Antibiotic-refractory: % positive= 83 </w:t>
            </w:r>
          </w:p>
          <w:p w14:paraId="5EE4DCD6" w14:textId="77777777" w:rsidR="002D58E4" w:rsidRDefault="002D58E4">
            <w:pPr>
              <w:spacing w:after="0"/>
              <w:rPr>
                <w:sz w:val="20"/>
                <w:szCs w:val="20"/>
                <w:u w:val="single"/>
              </w:rPr>
            </w:pPr>
          </w:p>
          <w:p w14:paraId="0CF8F4A8" w14:textId="77777777" w:rsidR="002D58E4" w:rsidRDefault="00F721D4">
            <w:pPr>
              <w:spacing w:after="0"/>
              <w:rPr>
                <w:sz w:val="20"/>
                <w:szCs w:val="20"/>
                <w:u w:val="single"/>
              </w:rPr>
            </w:pPr>
            <w:r>
              <w:rPr>
                <w:sz w:val="20"/>
                <w:szCs w:val="20"/>
                <w:u w:val="single"/>
              </w:rPr>
              <w:t>VlsE C6 peptide ELISA:</w:t>
            </w:r>
          </w:p>
          <w:p w14:paraId="45CE8E9F" w14:textId="77777777" w:rsidR="002D58E4" w:rsidRDefault="00F721D4">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Antibiotic-responsive: % positive= 100 </w:t>
            </w:r>
          </w:p>
          <w:p w14:paraId="20424F71" w14:textId="77777777" w:rsidR="002D58E4" w:rsidRDefault="00F721D4">
            <w:pPr>
              <w:numPr>
                <w:ilvl w:val="0"/>
                <w:numId w:val="5"/>
              </w:numPr>
              <w:pBdr>
                <w:top w:val="nil"/>
                <w:left w:val="nil"/>
                <w:bottom w:val="nil"/>
                <w:right w:val="nil"/>
                <w:between w:val="nil"/>
              </w:pBdr>
              <w:spacing w:after="0"/>
              <w:rPr>
                <w:color w:val="000000"/>
                <w:sz w:val="20"/>
                <w:szCs w:val="20"/>
              </w:rPr>
            </w:pPr>
            <w:r>
              <w:rPr>
                <w:color w:val="000000"/>
                <w:sz w:val="20"/>
                <w:szCs w:val="20"/>
              </w:rPr>
              <w:t>Antibiotic-refractory: % positive= 90</w:t>
            </w:r>
          </w:p>
          <w:p w14:paraId="2AEE682F" w14:textId="77777777" w:rsidR="002D58E4" w:rsidRDefault="002D58E4">
            <w:pPr>
              <w:pBdr>
                <w:top w:val="nil"/>
                <w:left w:val="nil"/>
                <w:bottom w:val="nil"/>
                <w:right w:val="nil"/>
                <w:between w:val="nil"/>
              </w:pBdr>
              <w:spacing w:after="0"/>
              <w:ind w:left="720" w:hanging="720"/>
              <w:rPr>
                <w:color w:val="000000"/>
                <w:sz w:val="20"/>
                <w:szCs w:val="20"/>
              </w:rPr>
            </w:pPr>
          </w:p>
          <w:p w14:paraId="171FAD84" w14:textId="77777777" w:rsidR="002D58E4" w:rsidRDefault="00F721D4">
            <w:pPr>
              <w:spacing w:after="0"/>
              <w:rPr>
                <w:sz w:val="20"/>
                <w:szCs w:val="20"/>
                <w:u w:val="single"/>
              </w:rPr>
            </w:pPr>
            <w:r>
              <w:rPr>
                <w:sz w:val="20"/>
                <w:szCs w:val="20"/>
                <w:u w:val="single"/>
              </w:rPr>
              <w:t>OspA ELISA:</w:t>
            </w:r>
          </w:p>
          <w:p w14:paraId="35505DA5" w14:textId="77777777" w:rsidR="002D58E4" w:rsidRDefault="00F721D4">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Antibiotic-responsive: % positive= 74 </w:t>
            </w:r>
          </w:p>
          <w:p w14:paraId="672561B9" w14:textId="77777777" w:rsidR="002D58E4" w:rsidRDefault="00F721D4">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Antibiotic-refractory: % positive= 71 </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022EDCB" w14:textId="77777777" w:rsidR="002D58E4" w:rsidRDefault="00F721D4">
            <w:pPr>
              <w:spacing w:after="0"/>
              <w:rPr>
                <w:sz w:val="20"/>
                <w:szCs w:val="20"/>
              </w:rPr>
            </w:pPr>
            <w:r>
              <w:rPr>
                <w:sz w:val="20"/>
                <w:szCs w:val="20"/>
              </w:rPr>
              <w:t>With the exception of 2 patients with antibiotic-refractory arthritis in whom antibody titers increased long after antibiotic therapy, the similar decline in antibody titers after the initiation of therapy in both antibiotic-treated groups suggested that synovial inflammation persists after the period of infection in most patients with antibiotic-refractory arthritis.</w:t>
            </w:r>
          </w:p>
          <w:p w14:paraId="77095AB0" w14:textId="77777777" w:rsidR="002D58E4" w:rsidRDefault="002D58E4">
            <w:pPr>
              <w:spacing w:after="0"/>
              <w:rPr>
                <w:sz w:val="20"/>
                <w:szCs w:val="20"/>
              </w:rPr>
            </w:pPr>
          </w:p>
          <w:p w14:paraId="3CE8F8E4" w14:textId="77777777" w:rsidR="002D58E4" w:rsidRDefault="00F721D4">
            <w:pPr>
              <w:spacing w:after="0"/>
              <w:rPr>
                <w:sz w:val="20"/>
                <w:szCs w:val="20"/>
              </w:rPr>
            </w:pPr>
            <w:r>
              <w:rPr>
                <w:sz w:val="20"/>
                <w:szCs w:val="20"/>
              </w:rPr>
              <w:t>The authors note that in this study, antibody titers with the VlsE peptide ELISA declined earlier and the change in titer was greater than those of the other</w:t>
            </w:r>
          </w:p>
          <w:p w14:paraId="50A10C7B" w14:textId="77777777" w:rsidR="002D58E4" w:rsidRDefault="00F721D4">
            <w:pPr>
              <w:spacing w:after="0"/>
              <w:rPr>
                <w:sz w:val="20"/>
                <w:szCs w:val="20"/>
              </w:rPr>
            </w:pPr>
            <w:r>
              <w:rPr>
                <w:sz w:val="20"/>
                <w:szCs w:val="20"/>
              </w:rPr>
              <w:t>spirochetal proteins tested, which supports the suggestion that this test may be valuable for monitoring treatment progress. However, by 4–6 months, patients usually had only a 1–2-fold change in titer, and a longer period was required to observe a 4-fold change in titer. The authors concluded that the rate of decline of antibodies to the VlsE peptide or other spirochetal proteins is usually too slow to be useful when decisions about further antibiotic therapy need to be made in patients with Lyme arthritis. The authors suggest that patients with Lyme arthritis who have a sustained, gradual decline in antibody reactivity most likely have nearly complete or total eradication of spirochetes from the joint as a result of antibiotic therapy, even if joint inflammation persists after the period of infection.</w:t>
            </w:r>
          </w:p>
        </w:tc>
      </w:tr>
      <w:tr w:rsidR="002D58E4" w14:paraId="13504D4A"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45A9F5C1" w14:textId="77777777" w:rsidR="002D58E4" w:rsidRDefault="00F721D4">
            <w:pPr>
              <w:spacing w:after="0"/>
              <w:rPr>
                <w:sz w:val="20"/>
                <w:szCs w:val="20"/>
              </w:rPr>
            </w:pPr>
            <w:r>
              <w:rPr>
                <w:sz w:val="20"/>
                <w:szCs w:val="20"/>
              </w:rPr>
              <w:t>Babady, et al., 2008</w:t>
            </w:r>
          </w:p>
          <w:p w14:paraId="2445B725" w14:textId="77777777" w:rsidR="002D58E4" w:rsidRDefault="002D58E4">
            <w:pPr>
              <w:spacing w:after="0"/>
              <w:rPr>
                <w:sz w:val="20"/>
                <w:szCs w:val="20"/>
              </w:rPr>
            </w:pPr>
          </w:p>
          <w:p w14:paraId="218FCB9A" w14:textId="77777777" w:rsidR="002D58E4" w:rsidRDefault="00F721D4">
            <w:pPr>
              <w:spacing w:after="0"/>
              <w:rPr>
                <w:sz w:val="20"/>
                <w:szCs w:val="20"/>
              </w:rPr>
            </w:pPr>
            <w:r>
              <w:rPr>
                <w:sz w:val="20"/>
                <w:szCs w:val="20"/>
              </w:rPr>
              <w:t>Rochester, MN</w:t>
            </w:r>
          </w:p>
        </w:tc>
        <w:tc>
          <w:tcPr>
            <w:tcW w:w="990" w:type="dxa"/>
            <w:vAlign w:val="center"/>
          </w:tcPr>
          <w:p w14:paraId="24829F86" w14:textId="77777777" w:rsidR="002D58E4" w:rsidRDefault="00F721D4">
            <w:pPr>
              <w:spacing w:after="0"/>
              <w:rPr>
                <w:sz w:val="20"/>
                <w:szCs w:val="20"/>
              </w:rPr>
            </w:pPr>
            <w:r>
              <w:rPr>
                <w:sz w:val="20"/>
                <w:szCs w:val="20"/>
              </w:rPr>
              <w:t>Retrospective study</w:t>
            </w:r>
          </w:p>
        </w:tc>
        <w:tc>
          <w:tcPr>
            <w:tcW w:w="3960" w:type="dxa"/>
            <w:vAlign w:val="center"/>
          </w:tcPr>
          <w:p w14:paraId="422EA395" w14:textId="77777777" w:rsidR="002D58E4" w:rsidRDefault="00F721D4">
            <w:pPr>
              <w:spacing w:after="0"/>
              <w:rPr>
                <w:sz w:val="20"/>
                <w:szCs w:val="20"/>
              </w:rPr>
            </w:pPr>
            <w:r>
              <w:rPr>
                <w:sz w:val="20"/>
                <w:szCs w:val="20"/>
              </w:rPr>
              <w:t xml:space="preserve">23,777 cerebrospinal fluid (N=15,939), blood (N=5,703), synovial fluid (N=1,976), tissue (N=92), and other sample sources (N=67) were tested by a reference laboratory. </w:t>
            </w:r>
          </w:p>
          <w:p w14:paraId="1246650C" w14:textId="77777777" w:rsidR="002D58E4" w:rsidRDefault="002D58E4">
            <w:pPr>
              <w:spacing w:after="0"/>
              <w:rPr>
                <w:sz w:val="20"/>
                <w:szCs w:val="20"/>
              </w:rPr>
            </w:pPr>
          </w:p>
          <w:p w14:paraId="319F2FA3" w14:textId="77777777" w:rsidR="002D58E4" w:rsidRDefault="00F721D4">
            <w:pPr>
              <w:spacing w:after="0"/>
              <w:rPr>
                <w:sz w:val="20"/>
                <w:szCs w:val="20"/>
              </w:rPr>
            </w:pPr>
            <w:r>
              <w:rPr>
                <w:sz w:val="20"/>
                <w:szCs w:val="20"/>
              </w:rPr>
              <w:t>For assay validation, results of the real-time PCR assay were compared with those obtained by conventional PCR using blood, cerebrospinal fluid, synovial fluid, and tissue.</w:t>
            </w:r>
          </w:p>
        </w:tc>
        <w:tc>
          <w:tcPr>
            <w:tcW w:w="4170" w:type="dxa"/>
            <w:shd w:val="clear" w:color="auto" w:fill="auto"/>
            <w:tcMar>
              <w:top w:w="15" w:type="dxa"/>
              <w:left w:w="30" w:type="dxa"/>
              <w:bottom w:w="0" w:type="dxa"/>
              <w:right w:w="30" w:type="dxa"/>
            </w:tcMar>
            <w:vAlign w:val="center"/>
          </w:tcPr>
          <w:p w14:paraId="42F3557C" w14:textId="77777777" w:rsidR="002D58E4" w:rsidRDefault="00F721D4">
            <w:pPr>
              <w:spacing w:after="0"/>
              <w:rPr>
                <w:sz w:val="20"/>
                <w:szCs w:val="20"/>
              </w:rPr>
            </w:pPr>
            <w:r>
              <w:rPr>
                <w:sz w:val="20"/>
                <w:szCs w:val="20"/>
              </w:rPr>
              <w:t>Samples were tested by a real-time PCR</w:t>
            </w:r>
            <w:r>
              <w:t xml:space="preserve"> </w:t>
            </w:r>
            <w:r>
              <w:rPr>
                <w:sz w:val="20"/>
                <w:szCs w:val="20"/>
              </w:rPr>
              <w:t xml:space="preserve">encoding for the borrelial plasminogen binding protein. </w:t>
            </w:r>
          </w:p>
          <w:p w14:paraId="0C2344A6" w14:textId="77777777" w:rsidR="002D58E4" w:rsidRDefault="002D58E4">
            <w:pPr>
              <w:spacing w:after="0"/>
              <w:rPr>
                <w:sz w:val="20"/>
                <w:szCs w:val="20"/>
              </w:rPr>
            </w:pPr>
          </w:p>
          <w:p w14:paraId="400D5C89" w14:textId="77777777" w:rsidR="002D58E4" w:rsidRDefault="00F721D4">
            <w:pPr>
              <w:spacing w:after="0"/>
              <w:rPr>
                <w:sz w:val="20"/>
                <w:szCs w:val="20"/>
              </w:rPr>
            </w:pPr>
            <w:r>
              <w:rPr>
                <w:sz w:val="20"/>
                <w:szCs w:val="20"/>
              </w:rPr>
              <w:t xml:space="preserve">Synovial fluid: 6.4% positive (127 of 1,976) </w:t>
            </w:r>
          </w:p>
          <w:p w14:paraId="5BA3D181" w14:textId="77777777" w:rsidR="002D58E4" w:rsidRDefault="002D58E4">
            <w:pPr>
              <w:spacing w:after="0"/>
              <w:rPr>
                <w:sz w:val="20"/>
                <w:szCs w:val="20"/>
              </w:rPr>
            </w:pPr>
          </w:p>
          <w:p w14:paraId="36A9249F" w14:textId="77777777" w:rsidR="002D58E4" w:rsidRDefault="00F721D4">
            <w:pPr>
              <w:spacing w:after="0"/>
              <w:rPr>
                <w:sz w:val="20"/>
                <w:szCs w:val="20"/>
              </w:rPr>
            </w:pPr>
            <w:r>
              <w:rPr>
                <w:sz w:val="20"/>
                <w:szCs w:val="20"/>
              </w:rPr>
              <w:t xml:space="preserve">Tissue: 6.5% positive (6 of 92) </w:t>
            </w:r>
          </w:p>
          <w:p w14:paraId="11EEAAAD" w14:textId="77777777" w:rsidR="002D58E4" w:rsidRDefault="002D58E4">
            <w:pPr>
              <w:spacing w:after="0"/>
              <w:rPr>
                <w:sz w:val="20"/>
                <w:szCs w:val="20"/>
              </w:rPr>
            </w:pPr>
          </w:p>
          <w:p w14:paraId="0C166A32" w14:textId="77777777" w:rsidR="002D58E4" w:rsidRDefault="00F721D4">
            <w:pPr>
              <w:spacing w:after="0"/>
              <w:rPr>
                <w:sz w:val="20"/>
                <w:szCs w:val="20"/>
              </w:rPr>
            </w:pPr>
            <w:r>
              <w:rPr>
                <w:sz w:val="20"/>
                <w:szCs w:val="20"/>
              </w:rPr>
              <w:t xml:space="preserve">Blood: 0.1% positive (6 of 5,703) </w:t>
            </w:r>
          </w:p>
          <w:p w14:paraId="52F4AE3E" w14:textId="77777777" w:rsidR="002D58E4" w:rsidRDefault="002D58E4">
            <w:pPr>
              <w:spacing w:after="0"/>
              <w:rPr>
                <w:sz w:val="20"/>
                <w:szCs w:val="20"/>
              </w:rPr>
            </w:pPr>
          </w:p>
          <w:p w14:paraId="0FCD7591" w14:textId="77777777" w:rsidR="002D58E4" w:rsidRDefault="00F721D4">
            <w:pPr>
              <w:spacing w:after="0"/>
              <w:rPr>
                <w:sz w:val="20"/>
                <w:szCs w:val="20"/>
              </w:rPr>
            </w:pPr>
            <w:r>
              <w:rPr>
                <w:sz w:val="20"/>
                <w:szCs w:val="20"/>
              </w:rPr>
              <w:t>Cerebrospinal fluid: 0.09% (14 of 15,939)</w:t>
            </w:r>
          </w:p>
          <w:p w14:paraId="5823E483" w14:textId="77777777" w:rsidR="002D58E4" w:rsidRDefault="002D58E4">
            <w:pPr>
              <w:spacing w:after="0"/>
              <w:rPr>
                <w:sz w:val="20"/>
                <w:szCs w:val="20"/>
              </w:rPr>
            </w:pPr>
          </w:p>
          <w:p w14:paraId="74024F34" w14:textId="77777777" w:rsidR="002D58E4" w:rsidRDefault="00F721D4">
            <w:pPr>
              <w:spacing w:after="0"/>
              <w:rPr>
                <w:sz w:val="20"/>
                <w:szCs w:val="20"/>
              </w:rPr>
            </w:pPr>
            <w:r>
              <w:rPr>
                <w:sz w:val="20"/>
                <w:szCs w:val="20"/>
              </w:rPr>
              <w:t>Among patients with a positive PCR in synovial fluid or tissue, 8 also had blood or CSF submitted for testing by PCR with negative results.</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7A56106" w14:textId="77777777" w:rsidR="002D58E4" w:rsidRDefault="00F721D4">
            <w:pPr>
              <w:spacing w:after="0"/>
              <w:rPr>
                <w:sz w:val="20"/>
                <w:szCs w:val="20"/>
              </w:rPr>
            </w:pPr>
            <w:r>
              <w:rPr>
                <w:sz w:val="20"/>
                <w:szCs w:val="20"/>
              </w:rPr>
              <w:t xml:space="preserve">Though cerebrospinal fluid and blood are most frequently submitted for Lyme PCR, they demonstrate the lowest positivity rates. Detection of </w:t>
            </w:r>
            <w:r>
              <w:rPr>
                <w:i/>
                <w:sz w:val="20"/>
                <w:szCs w:val="20"/>
              </w:rPr>
              <w:t>B. burgdorferi</w:t>
            </w:r>
            <w:r>
              <w:rPr>
                <w:sz w:val="20"/>
                <w:szCs w:val="20"/>
              </w:rPr>
              <w:t xml:space="preserve"> was highest in synovial fluid (6.4%) and tissue (6.5%), even though these specimen types making up a small percentage (8.3% and 0.4%, respectively) of the total number of specimens submitted for testing by PCR. </w:t>
            </w:r>
          </w:p>
          <w:p w14:paraId="3E87E2A5" w14:textId="77777777" w:rsidR="002D58E4" w:rsidRDefault="002D58E4">
            <w:pPr>
              <w:spacing w:after="0"/>
              <w:rPr>
                <w:sz w:val="20"/>
                <w:szCs w:val="20"/>
              </w:rPr>
            </w:pPr>
          </w:p>
          <w:p w14:paraId="7E0EA802" w14:textId="77777777" w:rsidR="002D58E4" w:rsidRDefault="00F721D4">
            <w:pPr>
              <w:spacing w:after="0"/>
              <w:rPr>
                <w:sz w:val="20"/>
                <w:szCs w:val="20"/>
              </w:rPr>
            </w:pPr>
            <w:r>
              <w:rPr>
                <w:sz w:val="20"/>
                <w:szCs w:val="20"/>
              </w:rPr>
              <w:t>The authors note that their data are in agreement with results reported in previous studies using either real-time or conventional PCR, which have shown a low positivity rate for blood and cerebrospinal fluid, even in patients with known Lyme disease. The authors state that blood submitted for Lyme PCR is rarely useful and recommend synovial fluid PCR in the context of a positive serologic test.</w:t>
            </w:r>
          </w:p>
        </w:tc>
      </w:tr>
      <w:tr w:rsidR="002D58E4" w14:paraId="6B539524"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0AB1CD67" w14:textId="77777777" w:rsidR="002D58E4" w:rsidRPr="002914A2" w:rsidRDefault="00F721D4">
            <w:pPr>
              <w:spacing w:after="0"/>
              <w:rPr>
                <w:sz w:val="20"/>
                <w:szCs w:val="20"/>
                <w:lang w:val="fr-CA"/>
              </w:rPr>
            </w:pPr>
            <w:r w:rsidRPr="002914A2">
              <w:rPr>
                <w:sz w:val="20"/>
                <w:szCs w:val="20"/>
                <w:lang w:val="fr-CA"/>
              </w:rPr>
              <w:t>Li, et al., 2011</w:t>
            </w:r>
          </w:p>
          <w:p w14:paraId="6221A0C3" w14:textId="77777777" w:rsidR="002D58E4" w:rsidRPr="002914A2" w:rsidRDefault="002D58E4">
            <w:pPr>
              <w:spacing w:after="0"/>
              <w:rPr>
                <w:sz w:val="20"/>
                <w:szCs w:val="20"/>
                <w:lang w:val="fr-CA"/>
              </w:rPr>
            </w:pPr>
          </w:p>
          <w:p w14:paraId="3F214975" w14:textId="77777777" w:rsidR="002D58E4" w:rsidRPr="002914A2" w:rsidRDefault="00F721D4">
            <w:pPr>
              <w:spacing w:after="0"/>
              <w:rPr>
                <w:sz w:val="20"/>
                <w:szCs w:val="20"/>
                <w:lang w:val="fr-CA"/>
              </w:rPr>
            </w:pPr>
            <w:r w:rsidRPr="002914A2">
              <w:rPr>
                <w:sz w:val="20"/>
                <w:szCs w:val="20"/>
                <w:lang w:val="fr-CA"/>
              </w:rPr>
              <w:t>Boston, MA</w:t>
            </w:r>
          </w:p>
        </w:tc>
        <w:tc>
          <w:tcPr>
            <w:tcW w:w="990" w:type="dxa"/>
            <w:vAlign w:val="center"/>
          </w:tcPr>
          <w:p w14:paraId="7B0BE790" w14:textId="77777777" w:rsidR="002D58E4" w:rsidRDefault="00F721D4">
            <w:pPr>
              <w:spacing w:after="0"/>
              <w:rPr>
                <w:sz w:val="20"/>
                <w:szCs w:val="20"/>
              </w:rPr>
            </w:pPr>
            <w:r>
              <w:rPr>
                <w:sz w:val="20"/>
                <w:szCs w:val="20"/>
              </w:rPr>
              <w:t>Case control study</w:t>
            </w:r>
          </w:p>
        </w:tc>
        <w:tc>
          <w:tcPr>
            <w:tcW w:w="3960" w:type="dxa"/>
            <w:vAlign w:val="center"/>
          </w:tcPr>
          <w:p w14:paraId="12BF8C41" w14:textId="77777777" w:rsidR="002D58E4" w:rsidRDefault="00F721D4">
            <w:pPr>
              <w:spacing w:after="0"/>
              <w:rPr>
                <w:sz w:val="20"/>
                <w:szCs w:val="20"/>
              </w:rPr>
            </w:pPr>
            <w:r>
              <w:rPr>
                <w:sz w:val="20"/>
                <w:szCs w:val="20"/>
              </w:rPr>
              <w:t xml:space="preserve">115 joint fluid samples were collected from 63 patients with Lyme arthritis. All patients had strong IgG antibody responses to </w:t>
            </w:r>
            <w:r>
              <w:rPr>
                <w:i/>
                <w:sz w:val="20"/>
                <w:szCs w:val="20"/>
              </w:rPr>
              <w:t>B. burgdorferi</w:t>
            </w:r>
            <w:r>
              <w:rPr>
                <w:sz w:val="20"/>
                <w:szCs w:val="20"/>
              </w:rPr>
              <w:t xml:space="preserve">. Antibiotic-responsive arthritis was defined as arthritis that resolved within 3 months after the start of a 4-week course of IV antibiotics or an 8-week course of oral antibiotics. Antibiotic-refractory (now called post-antibiotic) arthritis was defined by persistent joint swelling for 3 months after the start of 4 weeks of IV antibiotics or 8 weeks of oral antibiotics, or both. </w:t>
            </w:r>
          </w:p>
          <w:p w14:paraId="597466B7" w14:textId="77777777" w:rsidR="002D58E4" w:rsidRDefault="00F721D4">
            <w:pPr>
              <w:spacing w:after="0"/>
              <w:rPr>
                <w:sz w:val="20"/>
                <w:szCs w:val="20"/>
              </w:rPr>
            </w:pPr>
            <w:r>
              <w:rPr>
                <w:sz w:val="20"/>
                <w:szCs w:val="20"/>
              </w:rPr>
              <w:t>For comparison, control synovial fluid or synovial tissue samples from patients with rheumatoid arthritis or undifferentiated mono-arthritis were tested.</w:t>
            </w:r>
          </w:p>
          <w:p w14:paraId="619550CC" w14:textId="77777777" w:rsidR="002D58E4" w:rsidRDefault="002D58E4">
            <w:pPr>
              <w:spacing w:after="0"/>
              <w:rPr>
                <w:sz w:val="20"/>
                <w:szCs w:val="20"/>
              </w:rPr>
            </w:pPr>
          </w:p>
          <w:p w14:paraId="3849858A" w14:textId="77777777" w:rsidR="002D58E4" w:rsidRDefault="00F721D4">
            <w:pPr>
              <w:spacing w:after="0"/>
              <w:rPr>
                <w:sz w:val="20"/>
                <w:szCs w:val="20"/>
              </w:rPr>
            </w:pPr>
            <w:r>
              <w:rPr>
                <w:sz w:val="20"/>
                <w:szCs w:val="20"/>
              </w:rPr>
              <w:t xml:space="preserve">115 joint fluid samples were analyzed by standard PCR targeting the </w:t>
            </w:r>
            <w:r>
              <w:rPr>
                <w:i/>
                <w:sz w:val="20"/>
                <w:szCs w:val="20"/>
              </w:rPr>
              <w:t xml:space="preserve">recA </w:t>
            </w:r>
            <w:r>
              <w:rPr>
                <w:sz w:val="20"/>
                <w:szCs w:val="20"/>
              </w:rPr>
              <w:t>gene and quantitative PCR</w:t>
            </w:r>
            <w:r>
              <w:t xml:space="preserve"> </w:t>
            </w:r>
            <w:r>
              <w:rPr>
                <w:sz w:val="20"/>
                <w:szCs w:val="20"/>
              </w:rPr>
              <w:t xml:space="preserve">targeting </w:t>
            </w:r>
            <w:r>
              <w:rPr>
                <w:i/>
                <w:sz w:val="20"/>
                <w:szCs w:val="20"/>
              </w:rPr>
              <w:t>B. burgdorferi flaB</w:t>
            </w:r>
            <w:r>
              <w:rPr>
                <w:sz w:val="20"/>
                <w:szCs w:val="20"/>
              </w:rPr>
              <w:t xml:space="preserve"> gene. For samples from which both RNA and DNA were extracted, the concomitant DNA and cDNA samples were analyzed by qPCR, targeting </w:t>
            </w:r>
            <w:r>
              <w:rPr>
                <w:i/>
                <w:sz w:val="20"/>
                <w:szCs w:val="20"/>
              </w:rPr>
              <w:t>B. burgdorferi flaB</w:t>
            </w:r>
            <w:r>
              <w:rPr>
                <w:sz w:val="20"/>
                <w:szCs w:val="20"/>
              </w:rPr>
              <w:t xml:space="preserve"> and 16S sequences as well as eukaryotic 18S sequence.  </w:t>
            </w:r>
          </w:p>
          <w:p w14:paraId="7794DA64" w14:textId="77777777" w:rsidR="002D58E4" w:rsidRDefault="002D58E4">
            <w:pPr>
              <w:spacing w:after="0"/>
              <w:rPr>
                <w:sz w:val="20"/>
                <w:szCs w:val="20"/>
              </w:rPr>
            </w:pPr>
          </w:p>
          <w:p w14:paraId="248B37AC" w14:textId="77777777" w:rsidR="002D58E4" w:rsidRDefault="00F721D4">
            <w:pPr>
              <w:spacing w:after="0"/>
              <w:rPr>
                <w:sz w:val="20"/>
                <w:szCs w:val="20"/>
              </w:rPr>
            </w:pPr>
            <w:r>
              <w:rPr>
                <w:sz w:val="20"/>
                <w:szCs w:val="20"/>
              </w:rPr>
              <w:t xml:space="preserve">Quantitative PCR determinations of </w:t>
            </w:r>
            <w:r>
              <w:rPr>
                <w:i/>
                <w:sz w:val="20"/>
                <w:szCs w:val="20"/>
              </w:rPr>
              <w:t>B. burgdorferi</w:t>
            </w:r>
            <w:r>
              <w:rPr>
                <w:sz w:val="20"/>
                <w:szCs w:val="20"/>
              </w:rPr>
              <w:t xml:space="preserve"> DNA, messenger RNA (mRNA), and ribosomal RNA (rRNA) were made in 10 skin samples from 11 synovial fluid samples from Lyme arthritis patients. </w:t>
            </w:r>
          </w:p>
        </w:tc>
        <w:tc>
          <w:tcPr>
            <w:tcW w:w="4170" w:type="dxa"/>
            <w:shd w:val="clear" w:color="auto" w:fill="auto"/>
            <w:tcMar>
              <w:top w:w="15" w:type="dxa"/>
              <w:left w:w="30" w:type="dxa"/>
              <w:bottom w:w="0" w:type="dxa"/>
              <w:right w:w="30" w:type="dxa"/>
            </w:tcMar>
            <w:vAlign w:val="center"/>
          </w:tcPr>
          <w:p w14:paraId="0BE39961" w14:textId="77777777" w:rsidR="002D58E4" w:rsidRDefault="00F721D4">
            <w:pPr>
              <w:spacing w:after="0"/>
              <w:rPr>
                <w:sz w:val="20"/>
                <w:szCs w:val="20"/>
              </w:rPr>
            </w:pPr>
            <w:r>
              <w:rPr>
                <w:sz w:val="20"/>
                <w:szCs w:val="20"/>
              </w:rPr>
              <w:t xml:space="preserve">Among 23 patients with antibiotic-responsive arthritis, 10 of the 14 (71%) samples collected prior to treatment were PCR-positive for </w:t>
            </w:r>
            <w:r>
              <w:rPr>
                <w:i/>
                <w:sz w:val="20"/>
                <w:szCs w:val="20"/>
              </w:rPr>
              <w:t>recA</w:t>
            </w:r>
            <w:r>
              <w:rPr>
                <w:sz w:val="20"/>
                <w:szCs w:val="20"/>
              </w:rPr>
              <w:t xml:space="preserve"> DNA. Only 2 of 14 (14%) samples obtained after the start of therapy had positive PCR results (p&lt;0.001). </w:t>
            </w:r>
          </w:p>
          <w:p w14:paraId="357FD430" w14:textId="77777777" w:rsidR="002D58E4" w:rsidRDefault="002D58E4">
            <w:pPr>
              <w:spacing w:after="0"/>
              <w:rPr>
                <w:sz w:val="20"/>
                <w:szCs w:val="20"/>
              </w:rPr>
            </w:pPr>
          </w:p>
          <w:p w14:paraId="03FC06E3" w14:textId="77777777" w:rsidR="002D58E4" w:rsidRDefault="00F721D4">
            <w:pPr>
              <w:spacing w:after="0"/>
              <w:rPr>
                <w:sz w:val="20"/>
                <w:szCs w:val="20"/>
              </w:rPr>
            </w:pPr>
            <w:r>
              <w:rPr>
                <w:sz w:val="20"/>
                <w:szCs w:val="20"/>
              </w:rPr>
              <w:t xml:space="preserve">Among the 40 patients with post-antibiotic Lyme arthritis, 2 of 5 pretreatment samples (40%) had positive PCR results for </w:t>
            </w:r>
            <w:r>
              <w:rPr>
                <w:i/>
                <w:sz w:val="20"/>
                <w:szCs w:val="20"/>
              </w:rPr>
              <w:t>recA</w:t>
            </w:r>
            <w:r>
              <w:rPr>
                <w:sz w:val="20"/>
                <w:szCs w:val="20"/>
              </w:rPr>
              <w:t xml:space="preserve"> DNA, and 16 of 24 samples (67%) obtained during the first 3 months after the start of antibiotics had positive PCR results, but the percentages were not significantly different. </w:t>
            </w:r>
          </w:p>
          <w:p w14:paraId="76A0F6F2" w14:textId="77777777" w:rsidR="002D58E4" w:rsidRDefault="002D58E4">
            <w:pPr>
              <w:spacing w:after="0"/>
              <w:rPr>
                <w:sz w:val="20"/>
                <w:szCs w:val="20"/>
              </w:rPr>
            </w:pPr>
          </w:p>
          <w:p w14:paraId="182EA2DE" w14:textId="77777777" w:rsidR="002D58E4" w:rsidRDefault="00F721D4">
            <w:pPr>
              <w:spacing w:after="0"/>
              <w:rPr>
                <w:sz w:val="20"/>
                <w:szCs w:val="20"/>
              </w:rPr>
            </w:pPr>
            <w:r>
              <w:rPr>
                <w:sz w:val="20"/>
                <w:szCs w:val="20"/>
              </w:rPr>
              <w:t>During the first 3 months of treatment, the antibiotic-responsive arthritis and post-antibiotic Lyme arthritis groups were significantly different with regard to the proportion of positive PCR results (14% versus 67%) (p=0.003).</w:t>
            </w:r>
          </w:p>
          <w:p w14:paraId="502AE95A" w14:textId="77777777" w:rsidR="002D58E4" w:rsidRDefault="002D58E4">
            <w:pPr>
              <w:spacing w:after="0"/>
              <w:rPr>
                <w:sz w:val="20"/>
                <w:szCs w:val="20"/>
              </w:rPr>
            </w:pPr>
          </w:p>
          <w:p w14:paraId="1946FF35" w14:textId="77777777" w:rsidR="002D58E4" w:rsidRDefault="00F721D4">
            <w:pPr>
              <w:spacing w:after="0"/>
              <w:rPr>
                <w:sz w:val="20"/>
                <w:szCs w:val="20"/>
              </w:rPr>
            </w:pPr>
            <w:r>
              <w:rPr>
                <w:sz w:val="20"/>
                <w:szCs w:val="20"/>
              </w:rPr>
              <w:t xml:space="preserve">Four to 6 months after the start of antibiotic therapy, when all but 2 patients with post-antibiotic arthritis were treated with DMARDs, 8 of 26 samples (31%) had positive </w:t>
            </w:r>
            <w:r>
              <w:rPr>
                <w:i/>
                <w:sz w:val="20"/>
                <w:szCs w:val="20"/>
              </w:rPr>
              <w:t>recA</w:t>
            </w:r>
            <w:r>
              <w:rPr>
                <w:sz w:val="20"/>
                <w:szCs w:val="20"/>
              </w:rPr>
              <w:t xml:space="preserve"> PCR results.</w:t>
            </w:r>
          </w:p>
          <w:p w14:paraId="53B9621B" w14:textId="77777777" w:rsidR="002D58E4" w:rsidRDefault="002D58E4">
            <w:pPr>
              <w:spacing w:after="0"/>
              <w:rPr>
                <w:sz w:val="20"/>
                <w:szCs w:val="20"/>
              </w:rPr>
            </w:pPr>
          </w:p>
          <w:p w14:paraId="09F57516" w14:textId="77777777" w:rsidR="002D58E4" w:rsidRDefault="00F721D4">
            <w:pPr>
              <w:spacing w:after="0"/>
              <w:rPr>
                <w:sz w:val="20"/>
                <w:szCs w:val="20"/>
              </w:rPr>
            </w:pPr>
            <w:r>
              <w:rPr>
                <w:sz w:val="20"/>
                <w:szCs w:val="20"/>
              </w:rPr>
              <w:t xml:space="preserve">The results of the </w:t>
            </w:r>
            <w:r>
              <w:rPr>
                <w:i/>
                <w:sz w:val="20"/>
                <w:szCs w:val="20"/>
              </w:rPr>
              <w:t>recA</w:t>
            </w:r>
            <w:r>
              <w:rPr>
                <w:sz w:val="20"/>
                <w:szCs w:val="20"/>
              </w:rPr>
              <w:t xml:space="preserve"> PCR and </w:t>
            </w:r>
            <w:r>
              <w:rPr>
                <w:i/>
                <w:sz w:val="20"/>
                <w:szCs w:val="20"/>
              </w:rPr>
              <w:t>flaB</w:t>
            </w:r>
            <w:r>
              <w:rPr>
                <w:sz w:val="20"/>
                <w:szCs w:val="20"/>
              </w:rPr>
              <w:t xml:space="preserve"> qPCR assays were highly concordant (p&lt;0.001), but the </w:t>
            </w:r>
            <w:r>
              <w:rPr>
                <w:i/>
                <w:sz w:val="20"/>
                <w:szCs w:val="20"/>
              </w:rPr>
              <w:t>flaB</w:t>
            </w:r>
            <w:r>
              <w:rPr>
                <w:sz w:val="20"/>
                <w:szCs w:val="20"/>
              </w:rPr>
              <w:t xml:space="preserve"> qPCR was slightly more sensitive than the </w:t>
            </w:r>
            <w:r>
              <w:rPr>
                <w:i/>
                <w:sz w:val="20"/>
                <w:szCs w:val="20"/>
              </w:rPr>
              <w:t>recA</w:t>
            </w:r>
            <w:r>
              <w:rPr>
                <w:sz w:val="20"/>
                <w:szCs w:val="20"/>
              </w:rPr>
              <w:t xml:space="preserve"> PCR.</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8998737" w14:textId="77777777" w:rsidR="002D58E4" w:rsidRDefault="00F721D4">
            <w:pPr>
              <w:spacing w:after="0"/>
            </w:pPr>
            <w:r>
              <w:rPr>
                <w:sz w:val="20"/>
                <w:szCs w:val="20"/>
              </w:rPr>
              <w:t>In the majority of patients with Lyme arthritis, PCR results in pretreatment synovial fluid samples were positive. In patients with post-antibiotic arthritis, positive PCR results persisted for as long as 11 months, but positive results in samples obtained during the post-antibiotic period did not correlate with relapse or with the subsequent duration of arthritis, and at the time of synovectomy, all results of PCR of synovial tissue were negative.</w:t>
            </w:r>
            <w:r>
              <w:t xml:space="preserve"> </w:t>
            </w:r>
          </w:p>
          <w:p w14:paraId="24E501A1" w14:textId="77777777" w:rsidR="002D58E4" w:rsidRDefault="002D58E4">
            <w:pPr>
              <w:spacing w:after="0"/>
            </w:pPr>
          </w:p>
          <w:p w14:paraId="007C3D42" w14:textId="77777777" w:rsidR="002D58E4" w:rsidRDefault="00F721D4">
            <w:pPr>
              <w:spacing w:after="0"/>
              <w:rPr>
                <w:sz w:val="20"/>
                <w:szCs w:val="20"/>
              </w:rPr>
            </w:pPr>
            <w:r>
              <w:rPr>
                <w:sz w:val="20"/>
                <w:szCs w:val="20"/>
              </w:rPr>
              <w:t xml:space="preserve">The authors make note that </w:t>
            </w:r>
            <w:r>
              <w:rPr>
                <w:i/>
                <w:sz w:val="20"/>
                <w:szCs w:val="20"/>
              </w:rPr>
              <w:t>B. burgdorferi</w:t>
            </w:r>
            <w:r>
              <w:rPr>
                <w:sz w:val="20"/>
                <w:szCs w:val="20"/>
              </w:rPr>
              <w:t xml:space="preserve"> mRNA, a marker of spirochetal viability, was not detected in any of the 11 synovial fluid samples from Lyme arthritis patients, even when obtained prior to antibiotic administration. The median ratio of spirochetal rRNA to DNA, which is a measure of ribosomal activity, was only 0.15 in the 3 Lyme arthritis samples with positive results, compared to 160 in 10 erythema migrans skin samples with positive results. Noting an 83% culture positive rate in erythema migrans skin biopsy samples and that they had never successfully cultured spirochetes from synovial fluid samples, the authors suggest that detection of </w:t>
            </w:r>
            <w:r>
              <w:rPr>
                <w:i/>
                <w:sz w:val="20"/>
                <w:szCs w:val="20"/>
              </w:rPr>
              <w:t xml:space="preserve">flaB </w:t>
            </w:r>
            <w:r>
              <w:rPr>
                <w:sz w:val="20"/>
                <w:szCs w:val="20"/>
              </w:rPr>
              <w:t>mRNA appears to correlate with culture results in Lyme disease.</w:t>
            </w:r>
          </w:p>
          <w:p w14:paraId="3946B032" w14:textId="77777777" w:rsidR="002D58E4" w:rsidRDefault="002D58E4">
            <w:pPr>
              <w:spacing w:after="0"/>
              <w:rPr>
                <w:sz w:val="20"/>
                <w:szCs w:val="20"/>
              </w:rPr>
            </w:pPr>
          </w:p>
          <w:p w14:paraId="67E22FE0" w14:textId="77777777" w:rsidR="002D58E4" w:rsidRDefault="00F721D4">
            <w:pPr>
              <w:spacing w:after="0"/>
              <w:rPr>
                <w:sz w:val="20"/>
                <w:szCs w:val="20"/>
              </w:rPr>
            </w:pPr>
            <w:r>
              <w:rPr>
                <w:sz w:val="20"/>
                <w:szCs w:val="20"/>
              </w:rPr>
              <w:t>The authors concluded that PCR testing of the synovial fluid may help to confirm a diagnosis of Lyme arthritis and may be beneficial in diagnosis if a patient has recurrent arthritis after a negative PCR result and a prolonged period of remission, but that this test is not a reliable indicator of active infection in patients with persistent arthritis after antibiotic therapy.</w:t>
            </w:r>
          </w:p>
        </w:tc>
      </w:tr>
      <w:tr w:rsidR="002D58E4" w14:paraId="2A6A3A57"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008D6E15" w14:textId="77777777" w:rsidR="002D58E4" w:rsidRPr="002914A2" w:rsidRDefault="00F721D4">
            <w:pPr>
              <w:spacing w:after="0"/>
              <w:rPr>
                <w:sz w:val="20"/>
                <w:szCs w:val="20"/>
                <w:lang w:val="fr-CA"/>
              </w:rPr>
            </w:pPr>
            <w:r w:rsidRPr="002914A2">
              <w:rPr>
                <w:sz w:val="20"/>
                <w:szCs w:val="20"/>
                <w:lang w:val="fr-CA"/>
              </w:rPr>
              <w:t>Maraspin, et al., 2011</w:t>
            </w:r>
          </w:p>
          <w:p w14:paraId="4CC4D39A" w14:textId="77777777" w:rsidR="002D58E4" w:rsidRPr="002914A2" w:rsidRDefault="002D58E4">
            <w:pPr>
              <w:spacing w:after="0"/>
              <w:rPr>
                <w:sz w:val="20"/>
                <w:szCs w:val="20"/>
                <w:lang w:val="fr-CA"/>
              </w:rPr>
            </w:pPr>
          </w:p>
          <w:p w14:paraId="35F688B9" w14:textId="77777777" w:rsidR="002D58E4" w:rsidRPr="002914A2" w:rsidRDefault="00F721D4">
            <w:pPr>
              <w:spacing w:after="0"/>
              <w:rPr>
                <w:sz w:val="20"/>
                <w:szCs w:val="20"/>
                <w:lang w:val="fr-CA"/>
              </w:rPr>
            </w:pPr>
            <w:r w:rsidRPr="002914A2">
              <w:rPr>
                <w:sz w:val="20"/>
                <w:szCs w:val="20"/>
                <w:lang w:val="fr-CA"/>
              </w:rPr>
              <w:t>Ljubljana, Slovenia</w:t>
            </w:r>
          </w:p>
        </w:tc>
        <w:tc>
          <w:tcPr>
            <w:tcW w:w="990" w:type="dxa"/>
            <w:vAlign w:val="center"/>
          </w:tcPr>
          <w:p w14:paraId="4DE7F4FA" w14:textId="77777777" w:rsidR="002D58E4" w:rsidRDefault="00F721D4">
            <w:pPr>
              <w:spacing w:after="0"/>
              <w:rPr>
                <w:sz w:val="20"/>
                <w:szCs w:val="20"/>
              </w:rPr>
            </w:pPr>
            <w:r>
              <w:rPr>
                <w:sz w:val="20"/>
                <w:szCs w:val="20"/>
              </w:rPr>
              <w:t>Retrospective study</w:t>
            </w:r>
          </w:p>
        </w:tc>
        <w:tc>
          <w:tcPr>
            <w:tcW w:w="3960" w:type="dxa"/>
            <w:vAlign w:val="center"/>
          </w:tcPr>
          <w:p w14:paraId="56ADF781" w14:textId="77777777" w:rsidR="002D58E4" w:rsidRDefault="00F721D4">
            <w:pPr>
              <w:spacing w:after="0"/>
            </w:pPr>
            <w:r>
              <w:rPr>
                <w:sz w:val="20"/>
                <w:szCs w:val="20"/>
              </w:rPr>
              <w:t>The medical files of patients</w:t>
            </w:r>
            <w:r>
              <w:t xml:space="preserve"> </w:t>
            </w:r>
            <w:r>
              <w:rPr>
                <w:sz w:val="20"/>
                <w:szCs w:val="20"/>
              </w:rPr>
              <w:t xml:space="preserve">&lt;15 years old who were diagnosed with borrelial lymphocytoma (N=53), Lyme neuroborreliosis (N=176), Lyme arthritis (N=13), or acrodermatitis chronica atrophicans (N=200) were retrospectively reviewed. </w:t>
            </w:r>
            <w:r>
              <w:t xml:space="preserve"> </w:t>
            </w:r>
          </w:p>
          <w:p w14:paraId="6AFD0426" w14:textId="77777777" w:rsidR="002D58E4" w:rsidRDefault="00F721D4">
            <w:pPr>
              <w:spacing w:after="0"/>
              <w:rPr>
                <w:sz w:val="20"/>
                <w:szCs w:val="20"/>
              </w:rPr>
            </w:pPr>
            <w:r>
              <w:rPr>
                <w:sz w:val="20"/>
                <w:szCs w:val="20"/>
              </w:rPr>
              <w:br/>
              <w:t xml:space="preserve">Lyme arthritis diagnosis required joint swelling in at least one large joint, presence of </w:t>
            </w:r>
            <w:r>
              <w:rPr>
                <w:i/>
                <w:sz w:val="20"/>
                <w:szCs w:val="20"/>
              </w:rPr>
              <w:t>B. burgdorferi</w:t>
            </w:r>
            <w:r>
              <w:rPr>
                <w:sz w:val="20"/>
                <w:szCs w:val="20"/>
              </w:rPr>
              <w:t>-specific IgG in serum, and the exclusion of alternative explanations for the arthritis.</w:t>
            </w:r>
          </w:p>
        </w:tc>
        <w:tc>
          <w:tcPr>
            <w:tcW w:w="4170" w:type="dxa"/>
            <w:shd w:val="clear" w:color="auto" w:fill="auto"/>
            <w:tcMar>
              <w:top w:w="15" w:type="dxa"/>
              <w:left w:w="30" w:type="dxa"/>
              <w:bottom w:w="0" w:type="dxa"/>
              <w:right w:w="30" w:type="dxa"/>
            </w:tcMar>
            <w:vAlign w:val="center"/>
          </w:tcPr>
          <w:p w14:paraId="0795226A" w14:textId="77777777" w:rsidR="002D58E4" w:rsidRDefault="00F721D4">
            <w:pPr>
              <w:spacing w:after="0"/>
              <w:rPr>
                <w:sz w:val="20"/>
                <w:szCs w:val="20"/>
              </w:rPr>
            </w:pPr>
            <w:r>
              <w:rPr>
                <w:sz w:val="20"/>
                <w:szCs w:val="20"/>
              </w:rPr>
              <w:t>All serum samples were cultured for presence of spirochetes using Kelly Pettenkofer medium. Samples were incubated at 33°C and examined weekly for up to 12 weeks by darkfield microscopy for the presence of spirochetes.</w:t>
            </w:r>
          </w:p>
          <w:p w14:paraId="7F55F2AD" w14:textId="77777777" w:rsidR="002D58E4" w:rsidRDefault="002D58E4">
            <w:pPr>
              <w:spacing w:after="0"/>
              <w:rPr>
                <w:sz w:val="20"/>
                <w:szCs w:val="20"/>
              </w:rPr>
            </w:pPr>
          </w:p>
          <w:p w14:paraId="1F4BE391" w14:textId="77777777" w:rsidR="002D58E4" w:rsidRDefault="00F721D4">
            <w:pPr>
              <w:spacing w:after="0"/>
              <w:rPr>
                <w:sz w:val="20"/>
                <w:szCs w:val="20"/>
              </w:rPr>
            </w:pPr>
            <w:r>
              <w:rPr>
                <w:i/>
                <w:sz w:val="20"/>
                <w:szCs w:val="20"/>
              </w:rPr>
              <w:t>Borrelia burgdorferi sensu lato</w:t>
            </w:r>
            <w:r>
              <w:rPr>
                <w:sz w:val="20"/>
                <w:szCs w:val="20"/>
              </w:rPr>
              <w:t xml:space="preserve"> was isolated from the blood in 1 of 13 (7.7%) patients with Lyme arthritis</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D65E9F3" w14:textId="77777777" w:rsidR="002D58E4" w:rsidRDefault="00F721D4">
            <w:pPr>
              <w:spacing w:after="0"/>
              <w:rPr>
                <w:sz w:val="20"/>
                <w:szCs w:val="20"/>
              </w:rPr>
            </w:pPr>
            <w:r>
              <w:rPr>
                <w:sz w:val="20"/>
                <w:szCs w:val="20"/>
              </w:rPr>
              <w:t xml:space="preserve">At the time of the blood culture, erythema migrans was present in 1 of 11 (36.4%) patients with positive blood cultures: in 1 patient with borrelial lymphocytoma, 1 patient with Lyme arthritis, and in 2 patients with Lyme neuroborreliosis. </w:t>
            </w:r>
          </w:p>
          <w:p w14:paraId="09CCD291" w14:textId="77777777" w:rsidR="002D58E4" w:rsidRDefault="002D58E4">
            <w:pPr>
              <w:spacing w:after="0"/>
              <w:rPr>
                <w:sz w:val="20"/>
                <w:szCs w:val="20"/>
              </w:rPr>
            </w:pPr>
          </w:p>
          <w:p w14:paraId="11B6BC80" w14:textId="77777777" w:rsidR="002D58E4" w:rsidRDefault="00F721D4">
            <w:pPr>
              <w:spacing w:after="0"/>
              <w:rPr>
                <w:sz w:val="20"/>
                <w:szCs w:val="20"/>
              </w:rPr>
            </w:pPr>
            <w:r>
              <w:rPr>
                <w:sz w:val="20"/>
                <w:szCs w:val="20"/>
              </w:rPr>
              <w:t xml:space="preserve">The authors note that in patients with manifestations of Lyme disease other than erythema migrans, the isolation rate of </w:t>
            </w:r>
            <w:r>
              <w:rPr>
                <w:i/>
                <w:sz w:val="20"/>
                <w:szCs w:val="20"/>
              </w:rPr>
              <w:t>B. burgdorferi</w:t>
            </w:r>
            <w:r>
              <w:rPr>
                <w:sz w:val="20"/>
                <w:szCs w:val="20"/>
              </w:rPr>
              <w:t xml:space="preserve"> from blood by culture is low (11 of 442 overall, 2.5%). Successful culture is nearly three times more likely when concomitant erythema migrans is present (36.4% vs.13.2%, p=0.0513), and it is associated with a relatively short duration of clinical manifestations.</w:t>
            </w:r>
          </w:p>
        </w:tc>
      </w:tr>
      <w:tr w:rsidR="002D58E4" w14:paraId="4A0C781F" w14:textId="77777777">
        <w:trPr>
          <w:trHeight w:val="380"/>
        </w:trPr>
        <w:tc>
          <w:tcPr>
            <w:tcW w:w="14790" w:type="dxa"/>
            <w:gridSpan w:val="5"/>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vAlign w:val="center"/>
          </w:tcPr>
          <w:p w14:paraId="484CEC27" w14:textId="77777777" w:rsidR="002D58E4" w:rsidRDefault="00F721D4">
            <w:pPr>
              <w:spacing w:after="0"/>
              <w:jc w:val="center"/>
              <w:rPr>
                <w:b/>
                <w:i/>
                <w:sz w:val="20"/>
                <w:szCs w:val="20"/>
              </w:rPr>
            </w:pPr>
            <w:r>
              <w:rPr>
                <w:b/>
                <w:i/>
                <w:sz w:val="20"/>
                <w:szCs w:val="20"/>
              </w:rPr>
              <w:t>Serologic Testing Data</w:t>
            </w:r>
          </w:p>
        </w:tc>
      </w:tr>
      <w:tr w:rsidR="002D58E4" w14:paraId="15B0050F" w14:textId="77777777">
        <w:trPr>
          <w:trHeight w:val="360"/>
        </w:trPr>
        <w:tc>
          <w:tcPr>
            <w:tcW w:w="1020" w:type="dxa"/>
            <w:tcBorders>
              <w:top w:val="single" w:sz="6" w:space="0" w:color="AEAEAE"/>
              <w:left w:val="single" w:sz="6" w:space="0" w:color="AEAEAE"/>
              <w:bottom w:val="single" w:sz="6" w:space="0" w:color="AEAEAE"/>
            </w:tcBorders>
            <w:shd w:val="clear" w:color="auto" w:fill="D9D9D9"/>
            <w:tcMar>
              <w:top w:w="15" w:type="dxa"/>
              <w:left w:w="30" w:type="dxa"/>
              <w:bottom w:w="0" w:type="dxa"/>
              <w:right w:w="30" w:type="dxa"/>
            </w:tcMar>
            <w:vAlign w:val="center"/>
          </w:tcPr>
          <w:p w14:paraId="5B6922F0" w14:textId="77777777" w:rsidR="002D58E4" w:rsidRDefault="00F721D4">
            <w:pPr>
              <w:spacing w:after="0"/>
              <w:jc w:val="center"/>
              <w:rPr>
                <w:sz w:val="20"/>
                <w:szCs w:val="20"/>
              </w:rPr>
            </w:pPr>
            <w:r>
              <w:rPr>
                <w:b/>
                <w:color w:val="000000"/>
                <w:sz w:val="20"/>
                <w:szCs w:val="20"/>
              </w:rPr>
              <w:t>Study and Location</w:t>
            </w:r>
          </w:p>
        </w:tc>
        <w:tc>
          <w:tcPr>
            <w:tcW w:w="990" w:type="dxa"/>
            <w:tcBorders>
              <w:top w:val="single" w:sz="6" w:space="0" w:color="AEAEAE"/>
            </w:tcBorders>
            <w:shd w:val="clear" w:color="auto" w:fill="D9D9D9"/>
            <w:vAlign w:val="center"/>
          </w:tcPr>
          <w:p w14:paraId="6B6E3DAE" w14:textId="77777777" w:rsidR="002D58E4" w:rsidRDefault="00F721D4">
            <w:pPr>
              <w:spacing w:after="0"/>
              <w:jc w:val="center"/>
              <w:rPr>
                <w:b/>
                <w:color w:val="000000"/>
                <w:sz w:val="20"/>
                <w:szCs w:val="20"/>
              </w:rPr>
            </w:pPr>
            <w:r>
              <w:rPr>
                <w:b/>
                <w:color w:val="000000"/>
                <w:sz w:val="20"/>
                <w:szCs w:val="20"/>
              </w:rPr>
              <w:t>Study Design</w:t>
            </w:r>
          </w:p>
        </w:tc>
        <w:tc>
          <w:tcPr>
            <w:tcW w:w="3960" w:type="dxa"/>
            <w:tcBorders>
              <w:top w:val="single" w:sz="6" w:space="0" w:color="AEAEAE"/>
            </w:tcBorders>
            <w:shd w:val="clear" w:color="auto" w:fill="D9D9D9"/>
            <w:vAlign w:val="center"/>
          </w:tcPr>
          <w:p w14:paraId="7F413D02" w14:textId="77777777" w:rsidR="002D58E4" w:rsidRDefault="00F721D4">
            <w:pPr>
              <w:spacing w:after="0"/>
              <w:jc w:val="center"/>
              <w:rPr>
                <w:b/>
                <w:sz w:val="20"/>
                <w:szCs w:val="20"/>
              </w:rPr>
            </w:pPr>
            <w:r>
              <w:rPr>
                <w:b/>
                <w:sz w:val="20"/>
                <w:szCs w:val="20"/>
              </w:rPr>
              <w:t>Population Characteristics</w:t>
            </w:r>
          </w:p>
        </w:tc>
        <w:tc>
          <w:tcPr>
            <w:tcW w:w="4170" w:type="dxa"/>
            <w:tcBorders>
              <w:top w:val="single" w:sz="6" w:space="0" w:color="AEAEAE"/>
            </w:tcBorders>
            <w:shd w:val="clear" w:color="auto" w:fill="D9D9D9"/>
            <w:tcMar>
              <w:top w:w="15" w:type="dxa"/>
              <w:left w:w="30" w:type="dxa"/>
              <w:bottom w:w="0" w:type="dxa"/>
              <w:right w:w="30" w:type="dxa"/>
            </w:tcMar>
            <w:vAlign w:val="center"/>
          </w:tcPr>
          <w:p w14:paraId="04CE7F39" w14:textId="77777777" w:rsidR="002D58E4" w:rsidRDefault="00F721D4">
            <w:pPr>
              <w:spacing w:after="0"/>
              <w:jc w:val="center"/>
              <w:rPr>
                <w:b/>
                <w:sz w:val="20"/>
                <w:szCs w:val="20"/>
              </w:rPr>
            </w:pPr>
            <w:r>
              <w:rPr>
                <w:b/>
                <w:sz w:val="20"/>
                <w:szCs w:val="20"/>
              </w:rPr>
              <w:t>Meta-analysis details</w:t>
            </w:r>
          </w:p>
        </w:tc>
        <w:tc>
          <w:tcPr>
            <w:tcW w:w="4650" w:type="dxa"/>
            <w:tcBorders>
              <w:top w:val="single" w:sz="6" w:space="0" w:color="AEAEAE"/>
              <w:bottom w:val="single" w:sz="6" w:space="0" w:color="AEAEAE"/>
              <w:right w:val="single" w:sz="6" w:space="0" w:color="AEAEAE"/>
            </w:tcBorders>
            <w:shd w:val="clear" w:color="auto" w:fill="D9D9D9"/>
            <w:tcMar>
              <w:top w:w="61" w:type="dxa"/>
              <w:left w:w="144" w:type="dxa"/>
              <w:bottom w:w="61" w:type="dxa"/>
              <w:right w:w="144" w:type="dxa"/>
            </w:tcMar>
            <w:vAlign w:val="center"/>
          </w:tcPr>
          <w:p w14:paraId="00F36D2D" w14:textId="77777777" w:rsidR="002D58E4" w:rsidRDefault="00F721D4">
            <w:pPr>
              <w:spacing w:after="0"/>
              <w:jc w:val="center"/>
              <w:rPr>
                <w:b/>
                <w:sz w:val="20"/>
                <w:szCs w:val="20"/>
              </w:rPr>
            </w:pPr>
            <w:r>
              <w:rPr>
                <w:b/>
                <w:sz w:val="20"/>
                <w:szCs w:val="20"/>
              </w:rPr>
              <w:t>Results and Study Conclusions</w:t>
            </w:r>
          </w:p>
        </w:tc>
      </w:tr>
      <w:tr w:rsidR="002D58E4" w14:paraId="17972431"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1CBEBC49" w14:textId="77777777" w:rsidR="002D58E4" w:rsidRDefault="00F721D4">
            <w:pPr>
              <w:spacing w:after="0"/>
              <w:rPr>
                <w:sz w:val="20"/>
                <w:szCs w:val="20"/>
              </w:rPr>
            </w:pPr>
            <w:r>
              <w:rPr>
                <w:sz w:val="20"/>
                <w:szCs w:val="20"/>
              </w:rPr>
              <w:t>Waddell, et al., 2016</w:t>
            </w:r>
          </w:p>
        </w:tc>
        <w:tc>
          <w:tcPr>
            <w:tcW w:w="990" w:type="dxa"/>
            <w:vAlign w:val="center"/>
          </w:tcPr>
          <w:p w14:paraId="5C4A0576" w14:textId="77777777" w:rsidR="002D58E4" w:rsidRDefault="00F721D4">
            <w:pPr>
              <w:spacing w:after="0"/>
              <w:rPr>
                <w:sz w:val="20"/>
                <w:szCs w:val="20"/>
              </w:rPr>
            </w:pPr>
            <w:r>
              <w:rPr>
                <w:sz w:val="20"/>
                <w:szCs w:val="20"/>
              </w:rPr>
              <w:t>Systematic Review and Meta-analysis</w:t>
            </w:r>
          </w:p>
        </w:tc>
        <w:tc>
          <w:tcPr>
            <w:tcW w:w="3960" w:type="dxa"/>
            <w:vAlign w:val="center"/>
          </w:tcPr>
          <w:p w14:paraId="1EC06642" w14:textId="77777777" w:rsidR="002D58E4" w:rsidRDefault="00F721D4">
            <w:pPr>
              <w:spacing w:after="0"/>
              <w:rPr>
                <w:sz w:val="20"/>
                <w:szCs w:val="20"/>
              </w:rPr>
            </w:pPr>
            <w:r>
              <w:rPr>
                <w:sz w:val="20"/>
                <w:szCs w:val="20"/>
              </w:rPr>
              <w:t>Searched from 1995 – Sep. 2013</w:t>
            </w:r>
          </w:p>
          <w:p w14:paraId="561FC0CD" w14:textId="77777777" w:rsidR="002D58E4" w:rsidRDefault="00F721D4">
            <w:pPr>
              <w:spacing w:after="0"/>
              <w:rPr>
                <w:sz w:val="20"/>
                <w:szCs w:val="20"/>
              </w:rPr>
            </w:pPr>
            <w:r>
              <w:rPr>
                <w:sz w:val="20"/>
                <w:szCs w:val="20"/>
              </w:rPr>
              <w:t>Included 48 North American diagnostic test studies that compared results of one test using a validated test panel, results of clinical diagnosis, or a gold standard test result or investigated inter-test agreement. No studies were excluded based on their quality assessment. Studies evaluating in-house tests were included; however, heterogeneity analyses on the impact of the non-commercial tests were performed, where applicable.</w:t>
            </w:r>
          </w:p>
          <w:p w14:paraId="1B34559C" w14:textId="77777777" w:rsidR="002D58E4" w:rsidRDefault="00F721D4">
            <w:pPr>
              <w:spacing w:after="0"/>
              <w:rPr>
                <w:sz w:val="20"/>
                <w:szCs w:val="20"/>
              </w:rPr>
            </w:pPr>
            <w:r>
              <w:rPr>
                <w:sz w:val="20"/>
                <w:szCs w:val="20"/>
              </w:rPr>
              <w:t>The following disease stages were addressed: Early/acute (</w:t>
            </w:r>
            <w:r>
              <w:rPr>
                <w:i/>
                <w:sz w:val="20"/>
                <w:szCs w:val="20"/>
              </w:rPr>
              <w:t>Stage 1</w:t>
            </w:r>
            <w:r>
              <w:rPr>
                <w:sz w:val="20"/>
                <w:szCs w:val="20"/>
              </w:rPr>
              <w:t>; &lt;30 days; includes EM); Early disseminated (</w:t>
            </w:r>
            <w:r>
              <w:rPr>
                <w:i/>
                <w:sz w:val="20"/>
                <w:szCs w:val="20"/>
              </w:rPr>
              <w:t>Stage 2</w:t>
            </w:r>
            <w:r>
              <w:rPr>
                <w:sz w:val="20"/>
                <w:szCs w:val="20"/>
              </w:rPr>
              <w:t>) (neurologic/cardiac/multiple EM); Late (</w:t>
            </w:r>
            <w:r>
              <w:rPr>
                <w:i/>
                <w:sz w:val="20"/>
                <w:szCs w:val="20"/>
              </w:rPr>
              <w:t>Stage 3</w:t>
            </w:r>
            <w:r>
              <w:rPr>
                <w:sz w:val="20"/>
                <w:szCs w:val="20"/>
              </w:rPr>
              <w:t>) (late neuroborreliosis/arthritis).</w:t>
            </w:r>
          </w:p>
        </w:tc>
        <w:tc>
          <w:tcPr>
            <w:tcW w:w="4170" w:type="dxa"/>
            <w:shd w:val="clear" w:color="auto" w:fill="auto"/>
            <w:tcMar>
              <w:top w:w="15" w:type="dxa"/>
              <w:left w:w="30" w:type="dxa"/>
              <w:bottom w:w="0" w:type="dxa"/>
              <w:right w:w="30" w:type="dxa"/>
            </w:tcMar>
            <w:vAlign w:val="center"/>
          </w:tcPr>
          <w:p w14:paraId="41C5130B" w14:textId="77777777" w:rsidR="002D58E4" w:rsidRDefault="00F721D4">
            <w:pPr>
              <w:spacing w:after="0"/>
              <w:rPr>
                <w:sz w:val="20"/>
                <w:szCs w:val="20"/>
              </w:rPr>
            </w:pPr>
            <w:r>
              <w:rPr>
                <w:sz w:val="20"/>
                <w:szCs w:val="20"/>
              </w:rPr>
              <w:t xml:space="preserve">The included tests were evaluated in the context of clinical diagnosis or compared with one another. No studies addressed serologic testing of cerebrospinal fluid (CSF). </w:t>
            </w:r>
          </w:p>
          <w:p w14:paraId="407870E0" w14:textId="77777777" w:rsidR="002D58E4" w:rsidRDefault="00F721D4">
            <w:pPr>
              <w:spacing w:after="0"/>
              <w:rPr>
                <w:sz w:val="20"/>
                <w:szCs w:val="20"/>
              </w:rPr>
            </w:pPr>
            <w:r>
              <w:rPr>
                <w:sz w:val="20"/>
                <w:szCs w:val="20"/>
              </w:rPr>
              <w:t>Meta-analysis was conducted using hierarchical logistic regression and bivariate models that account for the correlation between sensitivity and specificity.</w:t>
            </w:r>
          </w:p>
          <w:p w14:paraId="678F2015" w14:textId="77777777" w:rsidR="002D58E4" w:rsidRDefault="00F721D4">
            <w:pPr>
              <w:spacing w:after="0"/>
              <w:rPr>
                <w:sz w:val="20"/>
                <w:szCs w:val="20"/>
              </w:rPr>
            </w:pPr>
            <w:r>
              <w:rPr>
                <w:sz w:val="20"/>
                <w:szCs w:val="20"/>
              </w:rPr>
              <w:t>Due to broad inclusion criteria, many studies received downgraded risk of bias ratings in the selection, performance (inadequate blinding), reporting, and/or funding domains.</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78CEB63E" w14:textId="77777777" w:rsidR="002D58E4" w:rsidRDefault="00F721D4">
            <w:pPr>
              <w:numPr>
                <w:ilvl w:val="0"/>
                <w:numId w:val="55"/>
              </w:numPr>
              <w:pBdr>
                <w:top w:val="nil"/>
                <w:left w:val="nil"/>
                <w:bottom w:val="nil"/>
                <w:right w:val="nil"/>
                <w:between w:val="nil"/>
              </w:pBdr>
              <w:spacing w:after="0"/>
              <w:ind w:left="360"/>
              <w:rPr>
                <w:color w:val="000000"/>
                <w:sz w:val="20"/>
                <w:szCs w:val="20"/>
              </w:rPr>
            </w:pPr>
            <w:r>
              <w:rPr>
                <w:b/>
                <w:color w:val="000000"/>
                <w:sz w:val="20"/>
                <w:szCs w:val="20"/>
              </w:rPr>
              <w:t>Two-tier test vs. clinical diagnosis</w:t>
            </w:r>
            <w:r>
              <w:rPr>
                <w:color w:val="000000"/>
                <w:sz w:val="20"/>
                <w:szCs w:val="20"/>
              </w:rPr>
              <w:t xml:space="preserve"> </w:t>
            </w:r>
          </w:p>
          <w:p w14:paraId="2D3268F4" w14:textId="77777777" w:rsidR="002D58E4" w:rsidRDefault="00F721D4">
            <w:pPr>
              <w:spacing w:after="0"/>
              <w:ind w:left="360"/>
              <w:rPr>
                <w:i/>
                <w:sz w:val="20"/>
                <w:szCs w:val="20"/>
              </w:rPr>
            </w:pPr>
            <w:r>
              <w:rPr>
                <w:i/>
                <w:sz w:val="20"/>
                <w:szCs w:val="20"/>
              </w:rPr>
              <w:t xml:space="preserve">Stage 3 (Late neurologic or arthritis) (N=8 studies): </w:t>
            </w:r>
          </w:p>
          <w:p w14:paraId="01F11902" w14:textId="77777777" w:rsidR="002D58E4" w:rsidRDefault="00F721D4">
            <w:pPr>
              <w:numPr>
                <w:ilvl w:val="0"/>
                <w:numId w:val="10"/>
              </w:numPr>
              <w:pBdr>
                <w:top w:val="nil"/>
                <w:left w:val="nil"/>
                <w:bottom w:val="nil"/>
                <w:right w:val="nil"/>
                <w:between w:val="nil"/>
              </w:pBdr>
              <w:spacing w:after="0"/>
              <w:rPr>
                <w:i/>
                <w:color w:val="000000"/>
                <w:sz w:val="20"/>
                <w:szCs w:val="20"/>
              </w:rPr>
            </w:pPr>
            <w:r>
              <w:rPr>
                <w:color w:val="000000"/>
                <w:sz w:val="20"/>
                <w:szCs w:val="20"/>
              </w:rPr>
              <w:t xml:space="preserve">Sensitivity 99.4% (95% CI: 95.7%-99.9%) </w:t>
            </w:r>
          </w:p>
          <w:p w14:paraId="19591654" w14:textId="77777777" w:rsidR="002D58E4" w:rsidRDefault="00F721D4">
            <w:pPr>
              <w:numPr>
                <w:ilvl w:val="0"/>
                <w:numId w:val="10"/>
              </w:numPr>
              <w:pBdr>
                <w:top w:val="nil"/>
                <w:left w:val="nil"/>
                <w:bottom w:val="nil"/>
                <w:right w:val="nil"/>
                <w:between w:val="nil"/>
              </w:pBdr>
              <w:spacing w:after="0"/>
              <w:rPr>
                <w:i/>
                <w:color w:val="000000"/>
                <w:sz w:val="20"/>
                <w:szCs w:val="20"/>
              </w:rPr>
            </w:pPr>
            <w:r>
              <w:rPr>
                <w:color w:val="000000"/>
                <w:sz w:val="20"/>
                <w:szCs w:val="20"/>
              </w:rPr>
              <w:t>Specificity 99.3% (95% CI: 98.5%-99.7%)</w:t>
            </w:r>
          </w:p>
          <w:p w14:paraId="09BA5BA1" w14:textId="77777777" w:rsidR="002D58E4" w:rsidRDefault="00F721D4">
            <w:pPr>
              <w:spacing w:after="0"/>
              <w:ind w:left="360"/>
              <w:rPr>
                <w:i/>
                <w:sz w:val="20"/>
                <w:szCs w:val="20"/>
              </w:rPr>
            </w:pPr>
            <w:r>
              <w:rPr>
                <w:i/>
                <w:sz w:val="20"/>
                <w:szCs w:val="20"/>
              </w:rPr>
              <w:t>Convalescent Lyme (treated at stage 2 or 3) (N=7 studies):</w:t>
            </w:r>
          </w:p>
          <w:p w14:paraId="4D59E210" w14:textId="77777777" w:rsidR="002D58E4" w:rsidRDefault="00F721D4">
            <w:pPr>
              <w:numPr>
                <w:ilvl w:val="0"/>
                <w:numId w:val="56"/>
              </w:numPr>
              <w:pBdr>
                <w:top w:val="nil"/>
                <w:left w:val="nil"/>
                <w:bottom w:val="nil"/>
                <w:right w:val="nil"/>
                <w:between w:val="nil"/>
              </w:pBdr>
              <w:spacing w:after="0"/>
              <w:rPr>
                <w:color w:val="000000"/>
                <w:sz w:val="20"/>
                <w:szCs w:val="20"/>
              </w:rPr>
            </w:pPr>
            <w:r>
              <w:rPr>
                <w:color w:val="000000"/>
                <w:sz w:val="20"/>
                <w:szCs w:val="20"/>
              </w:rPr>
              <w:t xml:space="preserve">Sensitivity 80.0% (95% CI: 70.8%-86.8%) </w:t>
            </w:r>
          </w:p>
          <w:p w14:paraId="0C4270F5" w14:textId="77777777" w:rsidR="002D58E4" w:rsidRDefault="00F721D4">
            <w:pPr>
              <w:numPr>
                <w:ilvl w:val="0"/>
                <w:numId w:val="56"/>
              </w:numPr>
              <w:pBdr>
                <w:top w:val="nil"/>
                <w:left w:val="nil"/>
                <w:bottom w:val="nil"/>
                <w:right w:val="nil"/>
                <w:between w:val="nil"/>
              </w:pBdr>
              <w:spacing w:after="0"/>
              <w:rPr>
                <w:color w:val="000000"/>
                <w:sz w:val="20"/>
                <w:szCs w:val="20"/>
              </w:rPr>
            </w:pPr>
            <w:r>
              <w:rPr>
                <w:color w:val="000000"/>
                <w:sz w:val="20"/>
                <w:szCs w:val="20"/>
              </w:rPr>
              <w:t>Specificity 98.3% (95% CI: 96.6%- 99.2%)</w:t>
            </w:r>
          </w:p>
          <w:p w14:paraId="6BF4251E" w14:textId="77777777" w:rsidR="002D58E4" w:rsidRDefault="002D58E4">
            <w:pPr>
              <w:spacing w:after="0"/>
              <w:rPr>
                <w:i/>
                <w:sz w:val="20"/>
                <w:szCs w:val="20"/>
              </w:rPr>
            </w:pPr>
          </w:p>
          <w:p w14:paraId="1040DFFF" w14:textId="77777777" w:rsidR="002D58E4" w:rsidRDefault="00F721D4">
            <w:pPr>
              <w:numPr>
                <w:ilvl w:val="0"/>
                <w:numId w:val="55"/>
              </w:numPr>
              <w:pBdr>
                <w:top w:val="nil"/>
                <w:left w:val="nil"/>
                <w:bottom w:val="nil"/>
                <w:right w:val="nil"/>
                <w:between w:val="nil"/>
              </w:pBdr>
              <w:spacing w:after="0"/>
              <w:ind w:left="360"/>
              <w:rPr>
                <w:color w:val="000000"/>
                <w:sz w:val="20"/>
                <w:szCs w:val="20"/>
              </w:rPr>
            </w:pPr>
            <w:r>
              <w:rPr>
                <w:b/>
                <w:color w:val="000000"/>
                <w:sz w:val="20"/>
                <w:szCs w:val="20"/>
              </w:rPr>
              <w:t>EIA (1</w:t>
            </w:r>
            <w:r>
              <w:rPr>
                <w:b/>
                <w:color w:val="000000"/>
                <w:sz w:val="20"/>
                <w:szCs w:val="20"/>
                <w:vertAlign w:val="superscript"/>
              </w:rPr>
              <w:t>st</w:t>
            </w:r>
            <w:r>
              <w:rPr>
                <w:b/>
                <w:color w:val="000000"/>
                <w:sz w:val="20"/>
                <w:szCs w:val="20"/>
              </w:rPr>
              <w:t xml:space="preserve"> tier tests, including ELISA) vs. clinical diagnosis</w:t>
            </w:r>
            <w:r>
              <w:rPr>
                <w:color w:val="000000"/>
                <w:sz w:val="20"/>
                <w:szCs w:val="20"/>
              </w:rPr>
              <w:t xml:space="preserve"> </w:t>
            </w:r>
          </w:p>
          <w:p w14:paraId="23DDE2ED" w14:textId="77777777" w:rsidR="002D58E4" w:rsidRDefault="00F721D4">
            <w:pPr>
              <w:spacing w:after="0"/>
              <w:ind w:left="360"/>
              <w:rPr>
                <w:i/>
                <w:sz w:val="20"/>
                <w:szCs w:val="20"/>
              </w:rPr>
            </w:pPr>
            <w:r>
              <w:rPr>
                <w:i/>
                <w:sz w:val="20"/>
                <w:szCs w:val="20"/>
              </w:rPr>
              <w:t xml:space="preserve">Stage 3 (Late neurologic or arthritis) (N=8 studies): </w:t>
            </w:r>
          </w:p>
          <w:p w14:paraId="125754CC" w14:textId="77777777" w:rsidR="002D58E4" w:rsidRDefault="00F721D4">
            <w:pPr>
              <w:numPr>
                <w:ilvl w:val="0"/>
                <w:numId w:val="26"/>
              </w:numPr>
              <w:pBdr>
                <w:top w:val="nil"/>
                <w:left w:val="nil"/>
                <w:bottom w:val="nil"/>
                <w:right w:val="nil"/>
                <w:between w:val="nil"/>
              </w:pBdr>
              <w:spacing w:after="0"/>
              <w:rPr>
                <w:color w:val="000000"/>
                <w:sz w:val="20"/>
                <w:szCs w:val="20"/>
              </w:rPr>
            </w:pPr>
            <w:r>
              <w:rPr>
                <w:color w:val="000000"/>
                <w:sz w:val="20"/>
                <w:szCs w:val="20"/>
              </w:rPr>
              <w:t xml:space="preserve">Sensitivity 94.7% (95%CI: 86.0%-98.2%) </w:t>
            </w:r>
          </w:p>
          <w:p w14:paraId="3B5CE084" w14:textId="77777777" w:rsidR="002D58E4" w:rsidRDefault="00F721D4">
            <w:pPr>
              <w:numPr>
                <w:ilvl w:val="0"/>
                <w:numId w:val="26"/>
              </w:numPr>
              <w:pBdr>
                <w:top w:val="nil"/>
                <w:left w:val="nil"/>
                <w:bottom w:val="nil"/>
                <w:right w:val="nil"/>
                <w:between w:val="nil"/>
              </w:pBdr>
              <w:spacing w:after="0"/>
              <w:rPr>
                <w:color w:val="000000"/>
                <w:sz w:val="20"/>
                <w:szCs w:val="20"/>
              </w:rPr>
            </w:pPr>
            <w:r>
              <w:rPr>
                <w:color w:val="000000"/>
                <w:sz w:val="20"/>
                <w:szCs w:val="20"/>
              </w:rPr>
              <w:t>Specificity 96.1% (95% CI: 94.2%-97.4%)</w:t>
            </w:r>
          </w:p>
          <w:p w14:paraId="751DE996" w14:textId="77777777" w:rsidR="002D58E4" w:rsidRDefault="00F721D4">
            <w:pPr>
              <w:spacing w:after="0"/>
              <w:rPr>
                <w:sz w:val="20"/>
                <w:szCs w:val="20"/>
              </w:rPr>
            </w:pPr>
            <w:r>
              <w:rPr>
                <w:sz w:val="20"/>
                <w:szCs w:val="20"/>
              </w:rPr>
              <w:t>Across all studies, the sensitivity for C6 ELISA was highest, with the lowest variability over other tests and test protocols.</w:t>
            </w:r>
          </w:p>
        </w:tc>
      </w:tr>
      <w:tr w:rsidR="002D58E4" w14:paraId="5ED3831A"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1C5439A7" w14:textId="77777777" w:rsidR="002D58E4" w:rsidRDefault="00F721D4">
            <w:pPr>
              <w:spacing w:after="0"/>
              <w:rPr>
                <w:sz w:val="20"/>
                <w:szCs w:val="20"/>
              </w:rPr>
            </w:pPr>
            <w:r>
              <w:rPr>
                <w:sz w:val="20"/>
                <w:szCs w:val="20"/>
              </w:rPr>
              <w:t>Cook and Puri, 2016</w:t>
            </w:r>
          </w:p>
        </w:tc>
        <w:tc>
          <w:tcPr>
            <w:tcW w:w="990" w:type="dxa"/>
            <w:vAlign w:val="center"/>
          </w:tcPr>
          <w:p w14:paraId="66348AF1" w14:textId="77777777" w:rsidR="002D58E4" w:rsidRDefault="00F721D4">
            <w:pPr>
              <w:spacing w:after="0"/>
              <w:rPr>
                <w:sz w:val="20"/>
                <w:szCs w:val="20"/>
              </w:rPr>
            </w:pPr>
            <w:r>
              <w:rPr>
                <w:sz w:val="20"/>
                <w:szCs w:val="20"/>
              </w:rPr>
              <w:t>Meta-analysis</w:t>
            </w:r>
          </w:p>
        </w:tc>
        <w:tc>
          <w:tcPr>
            <w:tcW w:w="3960" w:type="dxa"/>
            <w:vAlign w:val="center"/>
          </w:tcPr>
          <w:p w14:paraId="08C32023" w14:textId="77777777" w:rsidR="002D58E4" w:rsidRDefault="00F721D4">
            <w:pPr>
              <w:spacing w:after="0"/>
              <w:rPr>
                <w:sz w:val="20"/>
                <w:szCs w:val="20"/>
              </w:rPr>
            </w:pPr>
            <w:r>
              <w:rPr>
                <w:sz w:val="20"/>
                <w:szCs w:val="20"/>
              </w:rPr>
              <w:t>Search dates unclear: 1995 - unknown (Latest included article was published in 2015; Epub in Jul 2014).</w:t>
            </w:r>
          </w:p>
          <w:p w14:paraId="40B4975C" w14:textId="77777777" w:rsidR="002D58E4" w:rsidRDefault="00F721D4">
            <w:pPr>
              <w:spacing w:after="0"/>
              <w:rPr>
                <w:sz w:val="20"/>
                <w:szCs w:val="20"/>
              </w:rPr>
            </w:pPr>
            <w:r>
              <w:rPr>
                <w:sz w:val="20"/>
                <w:szCs w:val="20"/>
              </w:rPr>
              <w:t xml:space="preserve">Included any studies (N=18 studies, 12 from US) evaluating commercially available serologic tests. </w:t>
            </w:r>
          </w:p>
          <w:p w14:paraId="6B1F8A8C" w14:textId="77777777" w:rsidR="002D58E4" w:rsidRDefault="00F721D4">
            <w:pPr>
              <w:spacing w:after="0"/>
              <w:rPr>
                <w:sz w:val="20"/>
                <w:szCs w:val="20"/>
              </w:rPr>
            </w:pPr>
            <w:r>
              <w:rPr>
                <w:sz w:val="20"/>
                <w:szCs w:val="20"/>
              </w:rPr>
              <w:t>The included studies did not evaluate the tests in clinical settings, where the use of antibiotics or other factors may influence the antibody response. The review did not evaluate microscopy, culture, PCR, or novel technologies (LTT etc.).</w:t>
            </w:r>
          </w:p>
        </w:tc>
        <w:tc>
          <w:tcPr>
            <w:tcW w:w="4170" w:type="dxa"/>
            <w:shd w:val="clear" w:color="auto" w:fill="auto"/>
            <w:tcMar>
              <w:top w:w="15" w:type="dxa"/>
              <w:left w:w="30" w:type="dxa"/>
              <w:bottom w:w="0" w:type="dxa"/>
              <w:right w:w="30" w:type="dxa"/>
            </w:tcMar>
            <w:vAlign w:val="center"/>
          </w:tcPr>
          <w:p w14:paraId="34130CCE" w14:textId="77777777" w:rsidR="002D58E4" w:rsidRDefault="00F721D4">
            <w:pPr>
              <w:spacing w:after="0"/>
              <w:rPr>
                <w:sz w:val="20"/>
                <w:szCs w:val="20"/>
              </w:rPr>
            </w:pPr>
            <w:r>
              <w:rPr>
                <w:sz w:val="20"/>
                <w:szCs w:val="20"/>
              </w:rPr>
              <w:t>Samples were proved positive based on records of erythema migrans, positive serology and/or culture, or CDC-certified panels.</w:t>
            </w:r>
          </w:p>
          <w:p w14:paraId="59DEFCB2" w14:textId="77777777" w:rsidR="002D58E4" w:rsidRDefault="00F721D4">
            <w:pPr>
              <w:spacing w:after="0"/>
              <w:rPr>
                <w:sz w:val="20"/>
                <w:szCs w:val="20"/>
              </w:rPr>
            </w:pPr>
            <w:r>
              <w:rPr>
                <w:sz w:val="20"/>
                <w:szCs w:val="20"/>
              </w:rPr>
              <w:t>Only studies in which test specificity was reported to be at least 85% were included, to avoid overinflated sensitivity at the cost of lowered thresholds and too many false-positives.</w:t>
            </w:r>
          </w:p>
          <w:p w14:paraId="5A912BE7" w14:textId="77777777" w:rsidR="002D58E4" w:rsidRDefault="00F721D4">
            <w:pPr>
              <w:spacing w:after="0"/>
              <w:rPr>
                <w:sz w:val="20"/>
                <w:szCs w:val="20"/>
              </w:rPr>
            </w:pPr>
            <w:r>
              <w:rPr>
                <w:sz w:val="20"/>
                <w:szCs w:val="20"/>
              </w:rPr>
              <w:t xml:space="preserve">Sensitivities of each test were not evaluated within every stage of borreliosis due to the lack of standard definitions of disease stages and the possibility of retrospective selection bias.  </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E4E24B2" w14:textId="77777777" w:rsidR="002D58E4" w:rsidRDefault="00F721D4">
            <w:pPr>
              <w:spacing w:after="0"/>
              <w:ind w:left="720" w:hanging="360"/>
            </w:pPr>
            <w:r>
              <w:t>Weighed Sensitivities for Lyme Arthritis (all test types)</w:t>
            </w:r>
          </w:p>
          <w:p w14:paraId="66E28A17" w14:textId="77777777" w:rsidR="002D58E4" w:rsidRDefault="00F721D4">
            <w:pPr>
              <w:numPr>
                <w:ilvl w:val="0"/>
                <w:numId w:val="13"/>
              </w:numPr>
              <w:pBdr>
                <w:top w:val="nil"/>
                <w:left w:val="nil"/>
                <w:bottom w:val="nil"/>
                <w:right w:val="nil"/>
                <w:between w:val="nil"/>
              </w:pBdr>
              <w:spacing w:after="0"/>
              <w:ind w:left="1080"/>
              <w:rPr>
                <w:color w:val="000000"/>
                <w:sz w:val="20"/>
                <w:szCs w:val="20"/>
              </w:rPr>
            </w:pPr>
            <w:r>
              <w:rPr>
                <w:color w:val="000000"/>
                <w:sz w:val="20"/>
                <w:szCs w:val="20"/>
              </w:rPr>
              <w:t>Lyme Arthritis: 95.8% (95%CI: 81.8%-100%)</w:t>
            </w:r>
          </w:p>
          <w:p w14:paraId="1BD894DC" w14:textId="77777777" w:rsidR="002D58E4" w:rsidRDefault="00F721D4">
            <w:pPr>
              <w:numPr>
                <w:ilvl w:val="0"/>
                <w:numId w:val="13"/>
              </w:numPr>
              <w:pBdr>
                <w:top w:val="nil"/>
                <w:left w:val="nil"/>
                <w:bottom w:val="nil"/>
                <w:right w:val="nil"/>
                <w:between w:val="nil"/>
              </w:pBdr>
              <w:spacing w:after="0"/>
              <w:ind w:left="1080"/>
              <w:rPr>
                <w:color w:val="000000"/>
                <w:sz w:val="20"/>
                <w:szCs w:val="20"/>
              </w:rPr>
            </w:pPr>
            <w:r>
              <w:rPr>
                <w:color w:val="000000"/>
                <w:sz w:val="20"/>
                <w:szCs w:val="20"/>
              </w:rPr>
              <w:t>Neurologic/arthritis: 92.2% (78.4%-100.0%)</w:t>
            </w:r>
          </w:p>
        </w:tc>
      </w:tr>
      <w:tr w:rsidR="002D58E4" w14:paraId="68315A83"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73596BB6" w14:textId="77777777" w:rsidR="002D58E4" w:rsidRDefault="00F721D4">
            <w:pPr>
              <w:spacing w:after="0"/>
              <w:rPr>
                <w:sz w:val="20"/>
                <w:szCs w:val="20"/>
              </w:rPr>
            </w:pPr>
            <w:r>
              <w:rPr>
                <w:sz w:val="20"/>
                <w:szCs w:val="20"/>
              </w:rPr>
              <w:t>Leeflang, et al., 2016</w:t>
            </w:r>
          </w:p>
        </w:tc>
        <w:tc>
          <w:tcPr>
            <w:tcW w:w="990" w:type="dxa"/>
            <w:tcBorders>
              <w:bottom w:val="single" w:sz="6" w:space="0" w:color="AEAEAE"/>
            </w:tcBorders>
            <w:vAlign w:val="center"/>
          </w:tcPr>
          <w:p w14:paraId="48861B34" w14:textId="77777777" w:rsidR="002D58E4" w:rsidRDefault="00F721D4">
            <w:pPr>
              <w:spacing w:after="0"/>
              <w:rPr>
                <w:sz w:val="20"/>
                <w:szCs w:val="20"/>
              </w:rPr>
            </w:pPr>
            <w:r>
              <w:rPr>
                <w:sz w:val="20"/>
                <w:szCs w:val="20"/>
              </w:rPr>
              <w:t>Systematic Review and Meta-analysis</w:t>
            </w:r>
          </w:p>
        </w:tc>
        <w:tc>
          <w:tcPr>
            <w:tcW w:w="3960" w:type="dxa"/>
            <w:tcBorders>
              <w:bottom w:val="single" w:sz="6" w:space="0" w:color="AEAEAE"/>
            </w:tcBorders>
            <w:vAlign w:val="center"/>
          </w:tcPr>
          <w:p w14:paraId="5BCE7DEB" w14:textId="77777777" w:rsidR="002D58E4" w:rsidRDefault="00F721D4">
            <w:pPr>
              <w:spacing w:after="0"/>
              <w:rPr>
                <w:sz w:val="20"/>
                <w:szCs w:val="20"/>
              </w:rPr>
            </w:pPr>
            <w:r>
              <w:rPr>
                <w:sz w:val="20"/>
                <w:szCs w:val="20"/>
              </w:rPr>
              <w:t>Last search date: Feb. 2014.</w:t>
            </w:r>
            <w:r>
              <w:rPr>
                <w:b/>
                <w:sz w:val="20"/>
                <w:szCs w:val="20"/>
              </w:rPr>
              <w:t xml:space="preserve"> </w:t>
            </w:r>
            <w:r>
              <w:rPr>
                <w:sz w:val="20"/>
                <w:szCs w:val="20"/>
              </w:rPr>
              <w:t>The oldest included study was published in 1987.</w:t>
            </w:r>
          </w:p>
          <w:p w14:paraId="1BC18D05" w14:textId="77777777" w:rsidR="002D58E4" w:rsidRDefault="00F721D4">
            <w:pPr>
              <w:spacing w:after="0"/>
              <w:rPr>
                <w:sz w:val="20"/>
                <w:szCs w:val="20"/>
              </w:rPr>
            </w:pPr>
            <w:r>
              <w:rPr>
                <w:sz w:val="20"/>
                <w:szCs w:val="20"/>
              </w:rPr>
              <w:t xml:space="preserve">Only European studies evaluating the diagnostic accuracy of serologic assays for Lyme borreliosis against a reference standard for clinical criteria (sometimes combined with positive serology) in “possible” or “suspected” Lyme patients were included (N=75 studies); these patients counted as “cases”. </w:t>
            </w:r>
          </w:p>
          <w:p w14:paraId="6B4BBAD3" w14:textId="77777777" w:rsidR="002D58E4" w:rsidRDefault="00F721D4">
            <w:pPr>
              <w:spacing w:after="0"/>
              <w:rPr>
                <w:sz w:val="20"/>
                <w:szCs w:val="20"/>
              </w:rPr>
            </w:pPr>
            <w:r>
              <w:rPr>
                <w:sz w:val="20"/>
                <w:szCs w:val="20"/>
              </w:rPr>
              <w:t>Indirect fluorescent antibody assays were not evaluated because of the rare use in practice.</w:t>
            </w:r>
          </w:p>
        </w:tc>
        <w:tc>
          <w:tcPr>
            <w:tcW w:w="4170" w:type="dxa"/>
            <w:tcBorders>
              <w:bottom w:val="single" w:sz="6" w:space="0" w:color="AEAEAE"/>
            </w:tcBorders>
            <w:shd w:val="clear" w:color="auto" w:fill="auto"/>
            <w:tcMar>
              <w:top w:w="15" w:type="dxa"/>
              <w:left w:w="30" w:type="dxa"/>
              <w:bottom w:w="0" w:type="dxa"/>
              <w:right w:w="30" w:type="dxa"/>
            </w:tcMar>
            <w:vAlign w:val="center"/>
          </w:tcPr>
          <w:p w14:paraId="534B31D4" w14:textId="77777777" w:rsidR="002D58E4" w:rsidRDefault="00F721D4">
            <w:pPr>
              <w:spacing w:after="0"/>
              <w:rPr>
                <w:sz w:val="20"/>
                <w:szCs w:val="20"/>
              </w:rPr>
            </w:pPr>
            <w:r>
              <w:rPr>
                <w:sz w:val="20"/>
                <w:szCs w:val="20"/>
              </w:rPr>
              <w:t>Meta-analysis was performed using Hierarchical Summary ROC (HSROC) model, a hierarchical meta-regression method incorporating both sensitivity and specificity while taking into account the correlation between the two.</w:t>
            </w:r>
          </w:p>
          <w:p w14:paraId="06C3718E" w14:textId="77777777" w:rsidR="002D58E4" w:rsidRDefault="00F721D4">
            <w:pPr>
              <w:spacing w:after="0"/>
              <w:rPr>
                <w:sz w:val="20"/>
                <w:szCs w:val="20"/>
              </w:rPr>
            </w:pPr>
            <w:r>
              <w:rPr>
                <w:sz w:val="20"/>
                <w:szCs w:val="20"/>
              </w:rPr>
              <w:t>The authors noted that the included studies had high levels of heterogeneity and bias and did not represent the tests in true clinical settings.</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2E7F868" w14:textId="77777777" w:rsidR="002D58E4" w:rsidRDefault="00F721D4">
            <w:pPr>
              <w:spacing w:after="0"/>
              <w:rPr>
                <w:sz w:val="20"/>
                <w:szCs w:val="20"/>
              </w:rPr>
            </w:pPr>
            <w:r>
              <w:rPr>
                <w:sz w:val="20"/>
                <w:szCs w:val="20"/>
              </w:rPr>
              <w:t>Eight case-control studies compared diagnostic methods on Lyme arthritis patients versus healthy controls, but meta-analysis of these studies was not possible. The median sensitivity for all ELISA tests was 96% (IQR 93%-100%) and the median specificity was 94% (IQR 91%-97%). No data on synovial fluid analysis were available.</w:t>
            </w:r>
          </w:p>
        </w:tc>
      </w:tr>
      <w:tr w:rsidR="002D58E4" w14:paraId="51A999CA" w14:textId="77777777">
        <w:trPr>
          <w:trHeight w:val="486"/>
        </w:trPr>
        <w:tc>
          <w:tcPr>
            <w:tcW w:w="1020" w:type="dxa"/>
            <w:tcBorders>
              <w:top w:val="single" w:sz="6" w:space="0" w:color="AEAEAE"/>
              <w:left w:val="single" w:sz="6" w:space="0" w:color="AEAEAE"/>
              <w:bottom w:val="single" w:sz="6" w:space="0" w:color="AEAEAE"/>
            </w:tcBorders>
            <w:shd w:val="clear" w:color="auto" w:fill="D9D9D9"/>
            <w:tcMar>
              <w:top w:w="15" w:type="dxa"/>
              <w:left w:w="30" w:type="dxa"/>
              <w:bottom w:w="0" w:type="dxa"/>
              <w:right w:w="30" w:type="dxa"/>
            </w:tcMar>
          </w:tcPr>
          <w:p w14:paraId="486A3E4A" w14:textId="77777777" w:rsidR="002D58E4" w:rsidRDefault="00F721D4">
            <w:pPr>
              <w:spacing w:after="0"/>
              <w:rPr>
                <w:sz w:val="20"/>
                <w:szCs w:val="20"/>
              </w:rPr>
            </w:pPr>
            <w:r>
              <w:rPr>
                <w:b/>
                <w:color w:val="000000"/>
                <w:sz w:val="20"/>
                <w:szCs w:val="20"/>
              </w:rPr>
              <w:t>Study; Location</w:t>
            </w:r>
          </w:p>
        </w:tc>
        <w:tc>
          <w:tcPr>
            <w:tcW w:w="990" w:type="dxa"/>
            <w:tcBorders>
              <w:top w:val="single" w:sz="6" w:space="0" w:color="AEAEAE"/>
            </w:tcBorders>
            <w:shd w:val="clear" w:color="auto" w:fill="D9D9D9"/>
          </w:tcPr>
          <w:p w14:paraId="2EE46989" w14:textId="77777777" w:rsidR="002D58E4" w:rsidRDefault="00F721D4">
            <w:pPr>
              <w:spacing w:after="0"/>
              <w:rPr>
                <w:sz w:val="20"/>
                <w:szCs w:val="20"/>
              </w:rPr>
            </w:pPr>
            <w:r>
              <w:rPr>
                <w:b/>
                <w:color w:val="000000"/>
                <w:sz w:val="20"/>
                <w:szCs w:val="20"/>
              </w:rPr>
              <w:t>Study Design</w:t>
            </w:r>
          </w:p>
        </w:tc>
        <w:tc>
          <w:tcPr>
            <w:tcW w:w="3960" w:type="dxa"/>
            <w:tcBorders>
              <w:top w:val="single" w:sz="6" w:space="0" w:color="AEAEAE"/>
            </w:tcBorders>
            <w:shd w:val="clear" w:color="auto" w:fill="D9D9D9"/>
          </w:tcPr>
          <w:p w14:paraId="0BB17FA5" w14:textId="77777777" w:rsidR="002D58E4" w:rsidRDefault="00F721D4">
            <w:pPr>
              <w:spacing w:after="0"/>
              <w:rPr>
                <w:sz w:val="20"/>
                <w:szCs w:val="20"/>
              </w:rPr>
            </w:pPr>
            <w:r>
              <w:rPr>
                <w:b/>
                <w:color w:val="000000"/>
                <w:sz w:val="20"/>
                <w:szCs w:val="20"/>
              </w:rPr>
              <w:t>Population Characteristics</w:t>
            </w:r>
          </w:p>
        </w:tc>
        <w:tc>
          <w:tcPr>
            <w:tcW w:w="4170" w:type="dxa"/>
            <w:tcBorders>
              <w:top w:val="single" w:sz="6" w:space="0" w:color="AEAEAE"/>
            </w:tcBorders>
            <w:shd w:val="clear" w:color="auto" w:fill="D9D9D9"/>
            <w:tcMar>
              <w:top w:w="15" w:type="dxa"/>
              <w:left w:w="30" w:type="dxa"/>
              <w:bottom w:w="0" w:type="dxa"/>
              <w:right w:w="30" w:type="dxa"/>
            </w:tcMar>
          </w:tcPr>
          <w:p w14:paraId="337A8C5F" w14:textId="77777777" w:rsidR="002D58E4" w:rsidRDefault="00F721D4">
            <w:pPr>
              <w:spacing w:after="0"/>
              <w:rPr>
                <w:sz w:val="20"/>
                <w:szCs w:val="20"/>
              </w:rPr>
            </w:pPr>
            <w:r>
              <w:rPr>
                <w:b/>
                <w:color w:val="000000"/>
                <w:sz w:val="20"/>
                <w:szCs w:val="20"/>
              </w:rPr>
              <w:t>Diagnosis Method, % Positive</w:t>
            </w:r>
          </w:p>
        </w:tc>
        <w:tc>
          <w:tcPr>
            <w:tcW w:w="4650" w:type="dxa"/>
            <w:tcBorders>
              <w:top w:val="single" w:sz="6" w:space="0" w:color="AEAEAE"/>
              <w:bottom w:val="single" w:sz="6" w:space="0" w:color="AEAEAE"/>
              <w:right w:val="single" w:sz="6" w:space="0" w:color="AEAEAE"/>
            </w:tcBorders>
            <w:shd w:val="clear" w:color="auto" w:fill="D9D9D9"/>
            <w:tcMar>
              <w:top w:w="61" w:type="dxa"/>
              <w:left w:w="144" w:type="dxa"/>
              <w:bottom w:w="61" w:type="dxa"/>
              <w:right w:w="144" w:type="dxa"/>
            </w:tcMar>
          </w:tcPr>
          <w:p w14:paraId="7F67F186" w14:textId="77777777" w:rsidR="002D58E4" w:rsidRDefault="00F721D4">
            <w:pPr>
              <w:spacing w:after="0"/>
              <w:rPr>
                <w:sz w:val="20"/>
                <w:szCs w:val="20"/>
              </w:rPr>
            </w:pPr>
            <w:r>
              <w:rPr>
                <w:b/>
                <w:color w:val="000000"/>
                <w:sz w:val="20"/>
                <w:szCs w:val="20"/>
              </w:rPr>
              <w:t>Study Conclusions</w:t>
            </w:r>
          </w:p>
        </w:tc>
      </w:tr>
      <w:tr w:rsidR="002D58E4" w14:paraId="1BB3D9EB" w14:textId="77777777">
        <w:trPr>
          <w:trHeight w:val="186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727DBAD0" w14:textId="77777777" w:rsidR="002D58E4" w:rsidRDefault="00F721D4">
            <w:pPr>
              <w:spacing w:after="0"/>
              <w:rPr>
                <w:sz w:val="20"/>
                <w:szCs w:val="20"/>
              </w:rPr>
            </w:pPr>
            <w:r>
              <w:rPr>
                <w:sz w:val="20"/>
                <w:szCs w:val="20"/>
              </w:rPr>
              <w:t>Molins, et al., 2017</w:t>
            </w:r>
          </w:p>
        </w:tc>
        <w:tc>
          <w:tcPr>
            <w:tcW w:w="990" w:type="dxa"/>
            <w:vAlign w:val="center"/>
          </w:tcPr>
          <w:p w14:paraId="5C74B4FF" w14:textId="77777777" w:rsidR="002D58E4" w:rsidRDefault="00F721D4">
            <w:pPr>
              <w:spacing w:after="0"/>
              <w:rPr>
                <w:sz w:val="20"/>
                <w:szCs w:val="20"/>
              </w:rPr>
            </w:pPr>
            <w:r>
              <w:rPr>
                <w:sz w:val="20"/>
                <w:szCs w:val="20"/>
              </w:rPr>
              <w:t>Blind laboratory study</w:t>
            </w:r>
          </w:p>
        </w:tc>
        <w:tc>
          <w:tcPr>
            <w:tcW w:w="3960" w:type="dxa"/>
            <w:vAlign w:val="center"/>
          </w:tcPr>
          <w:p w14:paraId="04508929" w14:textId="77777777" w:rsidR="002D58E4" w:rsidRDefault="00F721D4">
            <w:pPr>
              <w:spacing w:after="0"/>
              <w:rPr>
                <w:sz w:val="20"/>
                <w:szCs w:val="20"/>
              </w:rPr>
            </w:pPr>
            <w:r>
              <w:rPr>
                <w:sz w:val="20"/>
                <w:szCs w:val="20"/>
              </w:rPr>
              <w:t xml:space="preserve">Serum samples </w:t>
            </w:r>
            <w:r>
              <w:rPr>
                <w:rFonts w:ascii="Open Sans" w:eastAsia="Open Sans" w:hAnsi="Open Sans" w:cs="Open Sans"/>
                <w:sz w:val="18"/>
                <w:szCs w:val="18"/>
              </w:rPr>
              <w:t xml:space="preserve">from 471 well-characterized Lyme patients and controls from </w:t>
            </w:r>
            <w:r>
              <w:rPr>
                <w:sz w:val="20"/>
                <w:szCs w:val="20"/>
              </w:rPr>
              <w:t>the CDC Lyme Serum Repository were used.</w:t>
            </w:r>
          </w:p>
        </w:tc>
        <w:tc>
          <w:tcPr>
            <w:tcW w:w="4170" w:type="dxa"/>
            <w:shd w:val="clear" w:color="auto" w:fill="auto"/>
            <w:tcMar>
              <w:top w:w="15" w:type="dxa"/>
              <w:left w:w="30" w:type="dxa"/>
              <w:bottom w:w="0" w:type="dxa"/>
              <w:right w:w="30" w:type="dxa"/>
            </w:tcMar>
            <w:vAlign w:val="center"/>
          </w:tcPr>
          <w:p w14:paraId="20AA9A4D" w14:textId="77777777" w:rsidR="002D58E4" w:rsidRPr="002914A2" w:rsidRDefault="00F721D4">
            <w:pPr>
              <w:spacing w:after="0" w:line="240" w:lineRule="auto"/>
              <w:rPr>
                <w:rFonts w:ascii="Open Sans" w:eastAsia="Open Sans" w:hAnsi="Open Sans" w:cs="Open Sans"/>
                <w:sz w:val="18"/>
                <w:szCs w:val="18"/>
                <w:lang w:val="fr-CA"/>
              </w:rPr>
            </w:pPr>
            <w:r w:rsidRPr="002914A2">
              <w:rPr>
                <w:sz w:val="20"/>
                <w:szCs w:val="20"/>
                <w:u w:val="single"/>
                <w:lang w:val="fr-CA"/>
              </w:rPr>
              <w:t xml:space="preserve">bioMérieux </w:t>
            </w:r>
            <w:r w:rsidRPr="002914A2">
              <w:rPr>
                <w:rFonts w:ascii="Open Sans" w:eastAsia="Open Sans" w:hAnsi="Open Sans" w:cs="Open Sans"/>
                <w:sz w:val="18"/>
                <w:szCs w:val="18"/>
                <w:lang w:val="fr-CA"/>
              </w:rPr>
              <w:t>Vidas Lyme IgM II (LYM) EIA (1 tier)</w:t>
            </w:r>
          </w:p>
          <w:p w14:paraId="4BEE3C7C"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63%</w:t>
            </w:r>
          </w:p>
          <w:p w14:paraId="0D9349F3"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87%</w:t>
            </w:r>
          </w:p>
          <w:p w14:paraId="6688AE24" w14:textId="77777777" w:rsidR="002D58E4" w:rsidRDefault="002D58E4">
            <w:pPr>
              <w:spacing w:after="0"/>
              <w:rPr>
                <w:rFonts w:ascii="Open Sans" w:eastAsia="Open Sans" w:hAnsi="Open Sans" w:cs="Open Sans"/>
                <w:sz w:val="18"/>
                <w:szCs w:val="18"/>
              </w:rPr>
            </w:pPr>
          </w:p>
          <w:p w14:paraId="248D8421" w14:textId="77777777" w:rsidR="002D58E4" w:rsidRPr="002914A2" w:rsidRDefault="00F721D4">
            <w:pPr>
              <w:spacing w:after="0"/>
              <w:rPr>
                <w:rFonts w:ascii="Open Sans" w:eastAsia="Open Sans" w:hAnsi="Open Sans" w:cs="Open Sans"/>
                <w:sz w:val="18"/>
                <w:szCs w:val="18"/>
                <w:lang w:val="fr-CA"/>
              </w:rPr>
            </w:pPr>
            <w:r w:rsidRPr="002914A2">
              <w:rPr>
                <w:sz w:val="20"/>
                <w:szCs w:val="20"/>
                <w:u w:val="single"/>
                <w:lang w:val="fr-CA"/>
              </w:rPr>
              <w:t xml:space="preserve">bioMérieux </w:t>
            </w:r>
            <w:r w:rsidRPr="002914A2">
              <w:rPr>
                <w:rFonts w:ascii="Open Sans" w:eastAsia="Open Sans" w:hAnsi="Open Sans" w:cs="Open Sans"/>
                <w:sz w:val="18"/>
                <w:szCs w:val="18"/>
                <w:lang w:val="fr-CA"/>
              </w:rPr>
              <w:t>Vidas Lyme IgG II (LYG) EIA (1 tier)</w:t>
            </w:r>
          </w:p>
          <w:p w14:paraId="6412B2CA"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100%</w:t>
            </w:r>
          </w:p>
          <w:p w14:paraId="3C61D031"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97%</w:t>
            </w:r>
          </w:p>
          <w:p w14:paraId="0F7CB55B" w14:textId="77777777" w:rsidR="002D58E4" w:rsidRDefault="002D58E4">
            <w:pPr>
              <w:spacing w:after="0"/>
              <w:rPr>
                <w:rFonts w:ascii="Open Sans" w:eastAsia="Open Sans" w:hAnsi="Open Sans" w:cs="Open Sans"/>
                <w:sz w:val="18"/>
                <w:szCs w:val="18"/>
              </w:rPr>
            </w:pPr>
          </w:p>
          <w:p w14:paraId="3E461776" w14:textId="77777777" w:rsidR="002D58E4" w:rsidRPr="002914A2" w:rsidRDefault="00F721D4">
            <w:pPr>
              <w:spacing w:after="0"/>
              <w:rPr>
                <w:rFonts w:ascii="Open Sans" w:eastAsia="Open Sans" w:hAnsi="Open Sans" w:cs="Open Sans"/>
                <w:sz w:val="18"/>
                <w:szCs w:val="18"/>
                <w:lang w:val="fr-CA"/>
              </w:rPr>
            </w:pPr>
            <w:r w:rsidRPr="002914A2">
              <w:rPr>
                <w:sz w:val="20"/>
                <w:szCs w:val="20"/>
                <w:u w:val="single"/>
                <w:lang w:val="fr-CA"/>
              </w:rPr>
              <w:t xml:space="preserve">bioMérieux </w:t>
            </w:r>
            <w:r w:rsidRPr="002914A2">
              <w:rPr>
                <w:rFonts w:ascii="Open Sans" w:eastAsia="Open Sans" w:hAnsi="Open Sans" w:cs="Open Sans"/>
                <w:sz w:val="18"/>
                <w:szCs w:val="18"/>
                <w:lang w:val="fr-CA"/>
              </w:rPr>
              <w:t>Vidas Lyme IgG II (LYM/LYG) EIA (2 tier)</w:t>
            </w:r>
          </w:p>
          <w:p w14:paraId="21FED493"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97%</w:t>
            </w:r>
          </w:p>
          <w:p w14:paraId="482DC28D"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97%</w:t>
            </w:r>
          </w:p>
          <w:p w14:paraId="1E8D6913" w14:textId="77777777" w:rsidR="002D58E4" w:rsidRDefault="002D58E4">
            <w:pPr>
              <w:spacing w:after="0"/>
              <w:rPr>
                <w:rFonts w:ascii="Open Sans" w:eastAsia="Open Sans" w:hAnsi="Open Sans" w:cs="Open Sans"/>
                <w:sz w:val="18"/>
                <w:szCs w:val="18"/>
              </w:rPr>
            </w:pPr>
          </w:p>
          <w:p w14:paraId="3204CD2D" w14:textId="77777777" w:rsidR="002D58E4" w:rsidRPr="002914A2" w:rsidRDefault="00F721D4">
            <w:pPr>
              <w:spacing w:after="0"/>
              <w:rPr>
                <w:rFonts w:ascii="Open Sans" w:eastAsia="Open Sans" w:hAnsi="Open Sans" w:cs="Open Sans"/>
                <w:sz w:val="18"/>
                <w:szCs w:val="18"/>
                <w:lang w:val="fr-CA"/>
              </w:rPr>
            </w:pPr>
            <w:r w:rsidRPr="002914A2">
              <w:rPr>
                <w:sz w:val="20"/>
                <w:szCs w:val="20"/>
                <w:u w:val="single"/>
                <w:lang w:val="fr-CA"/>
              </w:rPr>
              <w:t xml:space="preserve">bioMérieux </w:t>
            </w:r>
            <w:r w:rsidRPr="002914A2">
              <w:rPr>
                <w:rFonts w:ascii="Open Sans" w:eastAsia="Open Sans" w:hAnsi="Open Sans" w:cs="Open Sans"/>
                <w:sz w:val="18"/>
                <w:szCs w:val="18"/>
                <w:lang w:val="fr-CA"/>
              </w:rPr>
              <w:t>Vidas Lyme combined (LYT) EIA (1 tier)</w:t>
            </w:r>
          </w:p>
          <w:p w14:paraId="7D4017ED"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100%</w:t>
            </w:r>
          </w:p>
          <w:p w14:paraId="1EE2E479"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85%</w:t>
            </w:r>
          </w:p>
          <w:p w14:paraId="0163B5BA" w14:textId="77777777" w:rsidR="002D58E4" w:rsidRDefault="002D58E4">
            <w:pPr>
              <w:spacing w:after="0"/>
              <w:rPr>
                <w:rFonts w:ascii="Open Sans" w:eastAsia="Open Sans" w:hAnsi="Open Sans" w:cs="Open Sans"/>
                <w:sz w:val="18"/>
                <w:szCs w:val="18"/>
              </w:rPr>
            </w:pPr>
          </w:p>
          <w:p w14:paraId="693F43C9" w14:textId="77777777" w:rsidR="002D58E4" w:rsidRPr="002914A2" w:rsidRDefault="00F721D4">
            <w:pPr>
              <w:spacing w:after="0"/>
              <w:rPr>
                <w:rFonts w:ascii="Open Sans" w:eastAsia="Open Sans" w:hAnsi="Open Sans" w:cs="Open Sans"/>
                <w:sz w:val="18"/>
                <w:szCs w:val="18"/>
                <w:lang w:val="fr-CA"/>
              </w:rPr>
            </w:pPr>
            <w:r w:rsidRPr="002914A2">
              <w:rPr>
                <w:sz w:val="20"/>
                <w:szCs w:val="20"/>
                <w:u w:val="single"/>
                <w:lang w:val="fr-CA"/>
              </w:rPr>
              <w:t xml:space="preserve">bioMérieux </w:t>
            </w:r>
            <w:r w:rsidRPr="002914A2">
              <w:rPr>
                <w:rFonts w:ascii="Open Sans" w:eastAsia="Open Sans" w:hAnsi="Open Sans" w:cs="Open Sans"/>
                <w:sz w:val="18"/>
                <w:szCs w:val="18"/>
                <w:lang w:val="fr-CA"/>
              </w:rPr>
              <w:t>Vidas Lyme combined (LYT) EIA (2 tier)</w:t>
            </w:r>
          </w:p>
          <w:p w14:paraId="3B185E19"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97%</w:t>
            </w:r>
          </w:p>
          <w:p w14:paraId="30DEAF7D"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97%</w:t>
            </w:r>
          </w:p>
          <w:p w14:paraId="69FF100C" w14:textId="77777777" w:rsidR="002D58E4" w:rsidRDefault="002D58E4">
            <w:pPr>
              <w:spacing w:after="0"/>
              <w:rPr>
                <w:rFonts w:ascii="Open Sans" w:eastAsia="Open Sans" w:hAnsi="Open Sans" w:cs="Open Sans"/>
                <w:sz w:val="18"/>
                <w:szCs w:val="18"/>
              </w:rPr>
            </w:pPr>
          </w:p>
          <w:p w14:paraId="79177AB1" w14:textId="77777777" w:rsidR="002D58E4" w:rsidRDefault="00F721D4">
            <w:pPr>
              <w:spacing w:after="0"/>
              <w:rPr>
                <w:rFonts w:ascii="Open Sans" w:eastAsia="Open Sans" w:hAnsi="Open Sans" w:cs="Open Sans"/>
                <w:sz w:val="18"/>
                <w:szCs w:val="18"/>
              </w:rPr>
            </w:pPr>
            <w:r>
              <w:rPr>
                <w:sz w:val="20"/>
                <w:szCs w:val="20"/>
                <w:u w:val="single"/>
              </w:rPr>
              <w:t xml:space="preserve">C6 </w:t>
            </w:r>
            <w:r>
              <w:rPr>
                <w:rFonts w:ascii="Open Sans" w:eastAsia="Open Sans" w:hAnsi="Open Sans" w:cs="Open Sans"/>
                <w:sz w:val="18"/>
                <w:szCs w:val="18"/>
              </w:rPr>
              <w:t>EIA (1 tier)</w:t>
            </w:r>
          </w:p>
          <w:p w14:paraId="14CACC71"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100%</w:t>
            </w:r>
          </w:p>
          <w:p w14:paraId="4311D382"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97%</w:t>
            </w:r>
          </w:p>
          <w:p w14:paraId="1DEBEE82" w14:textId="77777777" w:rsidR="002D58E4" w:rsidRDefault="002D58E4">
            <w:pPr>
              <w:spacing w:after="0"/>
              <w:rPr>
                <w:rFonts w:ascii="Open Sans" w:eastAsia="Open Sans" w:hAnsi="Open Sans" w:cs="Open Sans"/>
                <w:sz w:val="18"/>
                <w:szCs w:val="18"/>
              </w:rPr>
            </w:pPr>
          </w:p>
          <w:p w14:paraId="7F29A141" w14:textId="77777777" w:rsidR="002D58E4" w:rsidRDefault="00F721D4">
            <w:pPr>
              <w:spacing w:after="0"/>
              <w:rPr>
                <w:rFonts w:ascii="Open Sans" w:eastAsia="Open Sans" w:hAnsi="Open Sans" w:cs="Open Sans"/>
                <w:sz w:val="18"/>
                <w:szCs w:val="18"/>
              </w:rPr>
            </w:pPr>
            <w:r>
              <w:rPr>
                <w:sz w:val="20"/>
                <w:szCs w:val="20"/>
                <w:u w:val="single"/>
              </w:rPr>
              <w:t xml:space="preserve">C6 </w:t>
            </w:r>
            <w:r>
              <w:rPr>
                <w:rFonts w:ascii="Open Sans" w:eastAsia="Open Sans" w:hAnsi="Open Sans" w:cs="Open Sans"/>
                <w:sz w:val="18"/>
                <w:szCs w:val="18"/>
              </w:rPr>
              <w:t>EIA (2 tier)</w:t>
            </w:r>
          </w:p>
          <w:p w14:paraId="7B1C2502"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97%</w:t>
            </w:r>
          </w:p>
          <w:p w14:paraId="01C4BB3C"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99%</w:t>
            </w:r>
          </w:p>
          <w:p w14:paraId="734FA9DC" w14:textId="77777777" w:rsidR="002D58E4" w:rsidRDefault="002D58E4">
            <w:pPr>
              <w:spacing w:after="0"/>
              <w:rPr>
                <w:rFonts w:ascii="Open Sans" w:eastAsia="Open Sans" w:hAnsi="Open Sans" w:cs="Open Sans"/>
                <w:sz w:val="18"/>
                <w:szCs w:val="18"/>
              </w:rPr>
            </w:pPr>
          </w:p>
          <w:p w14:paraId="52345E8D" w14:textId="77777777" w:rsidR="002D58E4" w:rsidRDefault="00F721D4">
            <w:pPr>
              <w:spacing w:after="0"/>
              <w:rPr>
                <w:rFonts w:ascii="Open Sans" w:eastAsia="Open Sans" w:hAnsi="Open Sans" w:cs="Open Sans"/>
                <w:sz w:val="18"/>
                <w:szCs w:val="18"/>
              </w:rPr>
            </w:pPr>
            <w:r>
              <w:rPr>
                <w:sz w:val="20"/>
                <w:szCs w:val="20"/>
                <w:u w:val="single"/>
              </w:rPr>
              <w:t>LYT-C6</w:t>
            </w:r>
            <w:r>
              <w:rPr>
                <w:rFonts w:ascii="Open Sans" w:eastAsia="Open Sans" w:hAnsi="Open Sans" w:cs="Open Sans"/>
                <w:sz w:val="18"/>
                <w:szCs w:val="18"/>
              </w:rPr>
              <w:t xml:space="preserve"> (MTTT)</w:t>
            </w:r>
          </w:p>
          <w:p w14:paraId="3E1C1AEB" w14:textId="77777777" w:rsidR="002D58E4" w:rsidRDefault="00F721D4">
            <w:pPr>
              <w:numPr>
                <w:ilvl w:val="0"/>
                <w:numId w:val="34"/>
              </w:numPr>
              <w:spacing w:after="0"/>
              <w:rPr>
                <w:sz w:val="18"/>
                <w:szCs w:val="18"/>
              </w:rPr>
            </w:pPr>
            <w:r>
              <w:rPr>
                <w:rFonts w:ascii="Open Sans" w:eastAsia="Open Sans" w:hAnsi="Open Sans" w:cs="Open Sans"/>
                <w:sz w:val="18"/>
                <w:szCs w:val="18"/>
              </w:rPr>
              <w:t>Late Lyme, Lyme Arthritis, Sensitivity: 100%</w:t>
            </w:r>
          </w:p>
          <w:p w14:paraId="57417F17" w14:textId="77777777" w:rsidR="002D58E4" w:rsidRDefault="00F721D4">
            <w:pPr>
              <w:numPr>
                <w:ilvl w:val="0"/>
                <w:numId w:val="34"/>
              </w:numPr>
              <w:spacing w:after="0"/>
              <w:rPr>
                <w:sz w:val="18"/>
                <w:szCs w:val="18"/>
              </w:rPr>
            </w:pPr>
            <w:r>
              <w:rPr>
                <w:rFonts w:ascii="Open Sans" w:eastAsia="Open Sans" w:hAnsi="Open Sans" w:cs="Open Sans"/>
                <w:sz w:val="18"/>
                <w:szCs w:val="18"/>
              </w:rPr>
              <w:t>All Negative Controls, Specificity: 98%</w:t>
            </w:r>
          </w:p>
          <w:p w14:paraId="06B56768" w14:textId="77777777" w:rsidR="002D58E4" w:rsidRDefault="002D58E4">
            <w:pPr>
              <w:spacing w:after="0"/>
              <w:ind w:left="720"/>
              <w:rPr>
                <w:rFonts w:ascii="Open Sans" w:eastAsia="Open Sans" w:hAnsi="Open Sans" w:cs="Open Sans"/>
                <w:sz w:val="18"/>
                <w:szCs w:val="18"/>
              </w:rPr>
            </w:pPr>
          </w:p>
          <w:p w14:paraId="784CB048" w14:textId="77777777" w:rsidR="002D58E4" w:rsidRDefault="00F721D4">
            <w:pPr>
              <w:spacing w:after="0"/>
              <w:rPr>
                <w:rFonts w:ascii="Open Sans" w:eastAsia="Open Sans" w:hAnsi="Open Sans" w:cs="Open Sans"/>
                <w:sz w:val="18"/>
                <w:szCs w:val="18"/>
              </w:rPr>
            </w:pPr>
            <w:r>
              <w:rPr>
                <w:sz w:val="20"/>
                <w:szCs w:val="20"/>
                <w:u w:val="single"/>
              </w:rPr>
              <w:t>LYM/LYG-C6</w:t>
            </w:r>
            <w:r>
              <w:rPr>
                <w:rFonts w:ascii="Open Sans" w:eastAsia="Open Sans" w:hAnsi="Open Sans" w:cs="Open Sans"/>
                <w:sz w:val="18"/>
                <w:szCs w:val="18"/>
              </w:rPr>
              <w:t xml:space="preserve"> (MTTT)</w:t>
            </w:r>
          </w:p>
          <w:p w14:paraId="3113C081" w14:textId="77777777" w:rsidR="002D58E4" w:rsidRDefault="00F721D4">
            <w:pPr>
              <w:numPr>
                <w:ilvl w:val="0"/>
                <w:numId w:val="34"/>
              </w:numPr>
              <w:spacing w:after="0"/>
              <w:rPr>
                <w:sz w:val="20"/>
                <w:szCs w:val="20"/>
              </w:rPr>
            </w:pPr>
            <w:r>
              <w:rPr>
                <w:rFonts w:ascii="Open Sans" w:eastAsia="Open Sans" w:hAnsi="Open Sans" w:cs="Open Sans"/>
                <w:sz w:val="18"/>
                <w:szCs w:val="18"/>
              </w:rPr>
              <w:t>Late Lyme, Lyme Arthritis, Sensitivity: 100%</w:t>
            </w:r>
          </w:p>
          <w:p w14:paraId="5DCCE290" w14:textId="77777777" w:rsidR="002D58E4" w:rsidRDefault="00F721D4">
            <w:pPr>
              <w:numPr>
                <w:ilvl w:val="0"/>
                <w:numId w:val="34"/>
              </w:numPr>
              <w:spacing w:after="0"/>
              <w:rPr>
                <w:sz w:val="20"/>
                <w:szCs w:val="20"/>
              </w:rPr>
            </w:pPr>
            <w:r>
              <w:rPr>
                <w:rFonts w:ascii="Open Sans" w:eastAsia="Open Sans" w:hAnsi="Open Sans" w:cs="Open Sans"/>
                <w:sz w:val="18"/>
                <w:szCs w:val="18"/>
              </w:rPr>
              <w:t>All Negative Controls, Specificity: 99%</w:t>
            </w:r>
          </w:p>
        </w:tc>
        <w:tc>
          <w:tcPr>
            <w:tcW w:w="4650"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81C9604" w14:textId="77777777" w:rsidR="002D58E4" w:rsidRDefault="00F721D4">
            <w:pPr>
              <w:spacing w:after="0"/>
              <w:rPr>
                <w:sz w:val="20"/>
                <w:szCs w:val="20"/>
              </w:rPr>
            </w:pPr>
            <w:r>
              <w:rPr>
                <w:sz w:val="20"/>
                <w:szCs w:val="20"/>
              </w:rPr>
              <w:t>The overall sensitivities and specificities for standard two-tiered testing (STTT) were similar between the two testing strategies (LYT versus LYM/LYG), although differences in first-tier test results between the two were observed. A modified two-tiered (MTTT) algorithm that uses the Vidas EIAs (LYT or LYM/LYG) as the first-tier test followed by the C6 EIA as the second-tier test also gave similar sensitivities and specificities when the dissociated or combined assays were tested but resulted in significantly higher overall sensitivities than and specificities similar to those of STTT.</w:t>
            </w:r>
          </w:p>
        </w:tc>
      </w:tr>
    </w:tbl>
    <w:p w14:paraId="5DBBC444" w14:textId="6B9CDD0E" w:rsidR="002D58E4" w:rsidRDefault="00F721D4" w:rsidP="00E343BA">
      <w:pPr>
        <w:tabs>
          <w:tab w:val="left" w:pos="0"/>
        </w:tabs>
        <w:ind w:right="-3696"/>
        <w:rPr>
          <w:b/>
          <w:sz w:val="32"/>
          <w:szCs w:val="32"/>
        </w:rPr>
      </w:pPr>
      <w:r>
        <w:br w:type="page"/>
      </w:r>
      <w:r w:rsidR="00445E97">
        <w:rPr>
          <w:b/>
          <w:sz w:val="32"/>
          <w:szCs w:val="32"/>
        </w:rPr>
        <w:t>XXII</w:t>
      </w:r>
      <w:r>
        <w:rPr>
          <w:b/>
          <w:sz w:val="32"/>
          <w:szCs w:val="32"/>
        </w:rPr>
        <w:t>. What are the preferred antibiotic regimens for the initial treatment of Lyme arthritis?</w:t>
      </w:r>
    </w:p>
    <w:p w14:paraId="076551E1" w14:textId="77777777" w:rsidR="002D58E4" w:rsidRDefault="00F721D4">
      <w:pPr>
        <w:rPr>
          <w:b/>
          <w:color w:val="000000"/>
          <w:u w:val="single"/>
        </w:rPr>
      </w:pPr>
      <w:r>
        <w:rPr>
          <w:b/>
          <w:color w:val="000000"/>
          <w:u w:val="single"/>
        </w:rPr>
        <w:t>ANTIBIOTICS vs. PLACEBO</w:t>
      </w:r>
    </w:p>
    <w:p w14:paraId="5502CACD" w14:textId="77777777" w:rsidR="002D58E4" w:rsidRDefault="00F721D4">
      <w:pPr>
        <w:spacing w:after="0"/>
        <w:rPr>
          <w:b/>
        </w:rPr>
      </w:pPr>
      <w:r>
        <w:rPr>
          <w:b/>
        </w:rPr>
        <w:t>In patients with Lyme arthritis, should antibiotic therapy be used over no antibiotic therapy?</w:t>
      </w:r>
    </w:p>
    <w:p w14:paraId="672AFECD" w14:textId="77777777" w:rsidR="002D58E4" w:rsidRDefault="00F721D4">
      <w:pPr>
        <w:spacing w:after="0"/>
      </w:pPr>
      <w:r>
        <w:t>P: In patients with Lyme arthritis</w:t>
      </w:r>
    </w:p>
    <w:p w14:paraId="777DE0A0" w14:textId="77777777" w:rsidR="002D58E4" w:rsidRDefault="00F721D4">
      <w:pPr>
        <w:spacing w:after="0"/>
      </w:pPr>
      <w:r>
        <w:t xml:space="preserve">I: Antibiotic therapy </w:t>
      </w:r>
    </w:p>
    <w:p w14:paraId="6D0EC570" w14:textId="16B13DF5" w:rsidR="00E14B2B" w:rsidRDefault="00F721D4" w:rsidP="00E343BA">
      <w:pPr>
        <w:spacing w:after="0"/>
      </w:pPr>
      <w:r>
        <w:t>C: No antibiotic therapy</w:t>
      </w:r>
    </w:p>
    <w:p w14:paraId="28A295BB" w14:textId="77777777" w:rsidR="00E343BA" w:rsidRPr="00E343BA" w:rsidRDefault="00E343BA" w:rsidP="00E343BA">
      <w:pPr>
        <w:spacing w:after="0"/>
      </w:pPr>
    </w:p>
    <w:p w14:paraId="548E5DA0" w14:textId="2362D831" w:rsidR="002D58E4" w:rsidRDefault="00F721D4" w:rsidP="00E343BA">
      <w:pPr>
        <w:ind w:right="-3838"/>
        <w:rPr>
          <w:color w:val="000000"/>
          <w:sz w:val="18"/>
          <w:szCs w:val="18"/>
        </w:rPr>
      </w:pPr>
      <w:r>
        <w:rPr>
          <w:b/>
          <w:color w:val="000000"/>
          <w:sz w:val="18"/>
          <w:szCs w:val="18"/>
        </w:rPr>
        <w:t>Bibliography</w:t>
      </w:r>
      <w:r>
        <w:rPr>
          <w:color w:val="000000"/>
          <w:sz w:val="18"/>
          <w:szCs w:val="18"/>
        </w:rPr>
        <w:t>: 1. Steere, et al. N Engl J Med. 1985 Apr 4; 312(14): 869-74.</w:t>
      </w:r>
    </w:p>
    <w:tbl>
      <w:tblPr>
        <w:tblStyle w:val="afff0"/>
        <w:tblW w:w="14883"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3"/>
        <w:gridCol w:w="834"/>
        <w:gridCol w:w="1005"/>
        <w:gridCol w:w="978"/>
        <w:gridCol w:w="1117"/>
        <w:gridCol w:w="1071"/>
        <w:gridCol w:w="825"/>
        <w:gridCol w:w="1384"/>
        <w:gridCol w:w="1155"/>
        <w:gridCol w:w="1258"/>
        <w:gridCol w:w="1983"/>
        <w:gridCol w:w="1275"/>
        <w:gridCol w:w="1275"/>
      </w:tblGrid>
      <w:tr w:rsidR="00E14B2B" w:rsidRPr="00E14B2B" w14:paraId="352C02A7" w14:textId="77777777" w:rsidTr="00E14B2B">
        <w:tc>
          <w:tcPr>
            <w:tcW w:w="6553"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74AA9B8A" w14:textId="77777777" w:rsidR="00E14B2B" w:rsidRDefault="00E14B2B">
            <w:pPr>
              <w:spacing w:after="0"/>
              <w:jc w:val="center"/>
              <w:rPr>
                <w:b/>
                <w:sz w:val="20"/>
                <w:szCs w:val="20"/>
              </w:rPr>
            </w:pPr>
            <w:r>
              <w:rPr>
                <w:b/>
                <w:sz w:val="20"/>
                <w:szCs w:val="20"/>
              </w:rPr>
              <w:t>Certainty assessment</w:t>
            </w:r>
          </w:p>
        </w:tc>
        <w:tc>
          <w:tcPr>
            <w:tcW w:w="253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01DE3DC" w14:textId="77777777" w:rsidR="00E14B2B" w:rsidRDefault="00E14B2B">
            <w:pPr>
              <w:spacing w:after="0"/>
              <w:jc w:val="center"/>
              <w:rPr>
                <w:b/>
                <w:sz w:val="20"/>
                <w:szCs w:val="20"/>
              </w:rPr>
            </w:pPr>
            <w:r>
              <w:rPr>
                <w:b/>
                <w:sz w:val="20"/>
                <w:szCs w:val="20"/>
              </w:rPr>
              <w:t>№ of patients/№ of events</w:t>
            </w:r>
          </w:p>
        </w:tc>
        <w:tc>
          <w:tcPr>
            <w:tcW w:w="324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25BB49F6" w14:textId="77777777" w:rsidR="00E14B2B" w:rsidRDefault="00E14B2B">
            <w:pPr>
              <w:spacing w:after="0"/>
              <w:jc w:val="center"/>
              <w:rPr>
                <w:b/>
                <w:sz w:val="20"/>
                <w:szCs w:val="20"/>
              </w:rPr>
            </w:pPr>
            <w:r>
              <w:rPr>
                <w:b/>
                <w:sz w:val="20"/>
                <w:szCs w:val="20"/>
              </w:rPr>
              <w:t>Effect</w:t>
            </w:r>
          </w:p>
        </w:tc>
        <w:tc>
          <w:tcPr>
            <w:tcW w:w="1275" w:type="dxa"/>
            <w:vMerge w:val="restart"/>
            <w:tcBorders>
              <w:top w:val="single" w:sz="6" w:space="0" w:color="000000"/>
              <w:left w:val="single" w:sz="6" w:space="0" w:color="000000"/>
              <w:right w:val="single" w:sz="6" w:space="0" w:color="000000"/>
            </w:tcBorders>
            <w:shd w:val="clear" w:color="auto" w:fill="D9D9D9"/>
            <w:vAlign w:val="center"/>
          </w:tcPr>
          <w:p w14:paraId="1D113072" w14:textId="77777777" w:rsidR="00E14B2B" w:rsidRDefault="00E14B2B">
            <w:pPr>
              <w:spacing w:after="0"/>
              <w:jc w:val="center"/>
              <w:rPr>
                <w:b/>
                <w:sz w:val="20"/>
                <w:szCs w:val="20"/>
              </w:rPr>
            </w:pPr>
            <w:r>
              <w:rPr>
                <w:b/>
                <w:sz w:val="20"/>
                <w:szCs w:val="20"/>
              </w:rPr>
              <w:t>Certainty</w:t>
            </w:r>
          </w:p>
        </w:tc>
        <w:tc>
          <w:tcPr>
            <w:tcW w:w="1275" w:type="dxa"/>
            <w:vMerge w:val="restart"/>
            <w:tcBorders>
              <w:top w:val="single" w:sz="6" w:space="0" w:color="000000"/>
              <w:left w:val="single" w:sz="6" w:space="0" w:color="000000"/>
              <w:right w:val="single" w:sz="6" w:space="0" w:color="000000"/>
            </w:tcBorders>
            <w:shd w:val="clear" w:color="auto" w:fill="D9D9D9"/>
            <w:vAlign w:val="center"/>
          </w:tcPr>
          <w:p w14:paraId="377C433B" w14:textId="77777777" w:rsidR="00E14B2B" w:rsidRPr="00E14B2B" w:rsidRDefault="00E14B2B">
            <w:pPr>
              <w:spacing w:after="0"/>
              <w:jc w:val="center"/>
              <w:rPr>
                <w:b/>
                <w:sz w:val="20"/>
                <w:szCs w:val="20"/>
              </w:rPr>
            </w:pPr>
            <w:r w:rsidRPr="00E14B2B">
              <w:rPr>
                <w:b/>
                <w:sz w:val="20"/>
                <w:szCs w:val="20"/>
              </w:rPr>
              <w:t>Importance</w:t>
            </w:r>
          </w:p>
        </w:tc>
      </w:tr>
      <w:tr w:rsidR="00E14B2B" w14:paraId="15E2E953" w14:textId="77777777" w:rsidTr="00E14B2B">
        <w:tc>
          <w:tcPr>
            <w:tcW w:w="72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46EA0CC" w14:textId="77777777" w:rsidR="00E14B2B" w:rsidRDefault="00E14B2B">
            <w:pPr>
              <w:spacing w:after="0"/>
              <w:jc w:val="center"/>
              <w:rPr>
                <w:b/>
                <w:sz w:val="20"/>
                <w:szCs w:val="20"/>
              </w:rPr>
            </w:pPr>
            <w:r>
              <w:rPr>
                <w:b/>
                <w:sz w:val="20"/>
                <w:szCs w:val="20"/>
              </w:rPr>
              <w:t>№ of studies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31BB409" w14:textId="77777777" w:rsidR="00E14B2B" w:rsidRDefault="00E14B2B">
            <w:pPr>
              <w:spacing w:after="0"/>
              <w:jc w:val="center"/>
              <w:rPr>
                <w:b/>
                <w:sz w:val="20"/>
                <w:szCs w:val="20"/>
              </w:rPr>
            </w:pPr>
            <w:r>
              <w:rPr>
                <w:b/>
                <w:sz w:val="20"/>
                <w:szCs w:val="20"/>
              </w:rPr>
              <w:t>Study design</w:t>
            </w:r>
          </w:p>
        </w:tc>
        <w:tc>
          <w:tcPr>
            <w:tcW w:w="10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8D695E8" w14:textId="77777777" w:rsidR="00E14B2B" w:rsidRDefault="00E14B2B">
            <w:pPr>
              <w:spacing w:after="0"/>
              <w:jc w:val="center"/>
              <w:rPr>
                <w:b/>
                <w:sz w:val="20"/>
                <w:szCs w:val="20"/>
              </w:rPr>
            </w:pPr>
            <w:r>
              <w:rPr>
                <w:b/>
                <w:sz w:val="20"/>
                <w:szCs w:val="20"/>
              </w:rPr>
              <w:t>Risk of bias</w:t>
            </w:r>
          </w:p>
        </w:tc>
        <w:tc>
          <w:tcPr>
            <w:tcW w:w="9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41E0EB" w14:textId="77777777" w:rsidR="00E14B2B" w:rsidRDefault="00E14B2B">
            <w:pPr>
              <w:spacing w:after="0"/>
              <w:jc w:val="center"/>
              <w:rPr>
                <w:b/>
                <w:sz w:val="20"/>
                <w:szCs w:val="20"/>
              </w:rPr>
            </w:pPr>
            <w:r>
              <w:rPr>
                <w:b/>
                <w:sz w:val="20"/>
                <w:szCs w:val="20"/>
              </w:rPr>
              <w:t>Inconsistency</w:t>
            </w:r>
          </w:p>
        </w:tc>
        <w:tc>
          <w:tcPr>
            <w:tcW w:w="111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5E3F9B" w14:textId="77777777" w:rsidR="00E14B2B" w:rsidRDefault="00E14B2B">
            <w:pPr>
              <w:spacing w:after="0"/>
              <w:jc w:val="center"/>
              <w:rPr>
                <w:b/>
                <w:sz w:val="20"/>
                <w:szCs w:val="20"/>
              </w:rPr>
            </w:pPr>
            <w:r>
              <w:rPr>
                <w:b/>
                <w:sz w:val="20"/>
                <w:szCs w:val="20"/>
              </w:rPr>
              <w:t>Indirectness</w:t>
            </w:r>
          </w:p>
        </w:tc>
        <w:tc>
          <w:tcPr>
            <w:tcW w:w="107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FBB0BE7" w14:textId="77777777" w:rsidR="00E14B2B" w:rsidRDefault="00E14B2B">
            <w:pPr>
              <w:spacing w:after="0"/>
              <w:jc w:val="center"/>
              <w:rPr>
                <w:b/>
                <w:sz w:val="20"/>
                <w:szCs w:val="20"/>
              </w:rPr>
            </w:pPr>
            <w:r>
              <w:rPr>
                <w:b/>
                <w:sz w:val="20"/>
                <w:szCs w:val="20"/>
              </w:rPr>
              <w:t>Imprecision</w:t>
            </w:r>
          </w:p>
        </w:tc>
        <w:tc>
          <w:tcPr>
            <w:tcW w:w="8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5C47AA7" w14:textId="77777777" w:rsidR="00E14B2B" w:rsidRDefault="00E14B2B">
            <w:pPr>
              <w:spacing w:after="0"/>
              <w:jc w:val="center"/>
              <w:rPr>
                <w:b/>
                <w:sz w:val="20"/>
                <w:szCs w:val="20"/>
              </w:rPr>
            </w:pPr>
            <w:r>
              <w:rPr>
                <w:b/>
                <w:sz w:val="20"/>
                <w:szCs w:val="20"/>
              </w:rPr>
              <w:t>Other considerations</w:t>
            </w:r>
          </w:p>
        </w:tc>
        <w:tc>
          <w:tcPr>
            <w:tcW w:w="138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DA23B6C" w14:textId="60866A4E" w:rsidR="00E14B2B" w:rsidRDefault="00E14B2B">
            <w:pPr>
              <w:spacing w:after="0"/>
              <w:jc w:val="center"/>
              <w:rPr>
                <w:b/>
                <w:sz w:val="20"/>
                <w:szCs w:val="20"/>
              </w:rPr>
            </w:pPr>
            <w:r>
              <w:rPr>
                <w:b/>
                <w:sz w:val="20"/>
                <w:szCs w:val="20"/>
              </w:rPr>
              <w:t>Antibiotics (</w:t>
            </w:r>
            <w:r w:rsidR="00B033CA">
              <w:rPr>
                <w:b/>
                <w:sz w:val="20"/>
                <w:szCs w:val="20"/>
              </w:rPr>
              <w:t xml:space="preserve">benzathine </w:t>
            </w:r>
            <w:r>
              <w:rPr>
                <w:b/>
                <w:sz w:val="20"/>
                <w:szCs w:val="20"/>
              </w:rPr>
              <w:t>penicillin)</w:t>
            </w:r>
          </w:p>
        </w:tc>
        <w:tc>
          <w:tcPr>
            <w:tcW w:w="115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3CE8782" w14:textId="77777777" w:rsidR="00E14B2B" w:rsidRDefault="00E14B2B">
            <w:pPr>
              <w:spacing w:after="0"/>
              <w:jc w:val="center"/>
              <w:rPr>
                <w:b/>
                <w:sz w:val="20"/>
                <w:szCs w:val="20"/>
              </w:rPr>
            </w:pPr>
            <w:r>
              <w:rPr>
                <w:b/>
                <w:sz w:val="20"/>
                <w:szCs w:val="20"/>
              </w:rPr>
              <w:t>Placebo</w:t>
            </w:r>
          </w:p>
        </w:tc>
        <w:tc>
          <w:tcPr>
            <w:tcW w:w="125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3167F0" w14:textId="77777777" w:rsidR="00E14B2B" w:rsidRDefault="00E14B2B">
            <w:pPr>
              <w:spacing w:after="0"/>
              <w:jc w:val="center"/>
              <w:rPr>
                <w:b/>
                <w:sz w:val="20"/>
                <w:szCs w:val="20"/>
              </w:rPr>
            </w:pPr>
            <w:r>
              <w:rPr>
                <w:b/>
                <w:sz w:val="20"/>
                <w:szCs w:val="20"/>
              </w:rPr>
              <w:t>Relative</w:t>
            </w:r>
            <w:r>
              <w:rPr>
                <w:b/>
                <w:sz w:val="20"/>
                <w:szCs w:val="20"/>
              </w:rPr>
              <w:br/>
              <w:t>(95% CI)</w:t>
            </w:r>
          </w:p>
        </w:tc>
        <w:tc>
          <w:tcPr>
            <w:tcW w:w="198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36D1044" w14:textId="77777777" w:rsidR="00E14B2B" w:rsidRDefault="00E14B2B">
            <w:pPr>
              <w:spacing w:after="0"/>
              <w:jc w:val="center"/>
              <w:rPr>
                <w:b/>
                <w:sz w:val="20"/>
                <w:szCs w:val="20"/>
              </w:rPr>
            </w:pPr>
            <w:r>
              <w:rPr>
                <w:b/>
                <w:sz w:val="20"/>
                <w:szCs w:val="20"/>
              </w:rPr>
              <w:t>Absolute</w:t>
            </w:r>
            <w:r>
              <w:rPr>
                <w:b/>
                <w:sz w:val="20"/>
                <w:szCs w:val="20"/>
              </w:rPr>
              <w:br/>
              <w:t>(95% CI)</w:t>
            </w:r>
          </w:p>
        </w:tc>
        <w:tc>
          <w:tcPr>
            <w:tcW w:w="1275" w:type="dxa"/>
            <w:vMerge/>
            <w:tcBorders>
              <w:left w:val="single" w:sz="6" w:space="0" w:color="000000"/>
              <w:bottom w:val="single" w:sz="6" w:space="0" w:color="000000"/>
              <w:right w:val="single" w:sz="6" w:space="0" w:color="000000"/>
            </w:tcBorders>
            <w:shd w:val="clear" w:color="auto" w:fill="D9D9D9"/>
            <w:vAlign w:val="center"/>
          </w:tcPr>
          <w:p w14:paraId="1A15F5BE" w14:textId="77777777" w:rsidR="00E14B2B" w:rsidRPr="00E14B2B" w:rsidRDefault="00E14B2B">
            <w:pPr>
              <w:spacing w:after="0"/>
              <w:rPr>
                <w:b/>
                <w:sz w:val="20"/>
                <w:szCs w:val="20"/>
              </w:rPr>
            </w:pPr>
          </w:p>
        </w:tc>
        <w:tc>
          <w:tcPr>
            <w:tcW w:w="1275" w:type="dxa"/>
            <w:vMerge/>
            <w:tcBorders>
              <w:left w:val="single" w:sz="6" w:space="0" w:color="000000"/>
              <w:bottom w:val="single" w:sz="6" w:space="0" w:color="000000"/>
              <w:right w:val="single" w:sz="6" w:space="0" w:color="000000"/>
            </w:tcBorders>
            <w:shd w:val="clear" w:color="auto" w:fill="D9D9D9"/>
            <w:vAlign w:val="center"/>
          </w:tcPr>
          <w:p w14:paraId="57814939" w14:textId="77777777" w:rsidR="00E14B2B" w:rsidRPr="00E14B2B" w:rsidRDefault="00E14B2B">
            <w:pPr>
              <w:spacing w:after="0"/>
              <w:rPr>
                <w:b/>
                <w:sz w:val="20"/>
                <w:szCs w:val="20"/>
              </w:rPr>
            </w:pPr>
          </w:p>
        </w:tc>
      </w:tr>
      <w:tr w:rsidR="002D58E4" w14:paraId="3C0B0A20" w14:textId="77777777" w:rsidTr="00E14B2B">
        <w:tc>
          <w:tcPr>
            <w:tcW w:w="1488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D1DD1EB" w14:textId="035B0E0C" w:rsidR="002D58E4" w:rsidRDefault="00B033CA">
            <w:pPr>
              <w:spacing w:after="0"/>
              <w:rPr>
                <w:b/>
                <w:sz w:val="20"/>
                <w:szCs w:val="20"/>
              </w:rPr>
            </w:pPr>
            <w:r>
              <w:rPr>
                <w:b/>
                <w:sz w:val="20"/>
                <w:szCs w:val="20"/>
              </w:rPr>
              <w:t xml:space="preserve">Complete </w:t>
            </w:r>
            <w:r w:rsidR="00F721D4">
              <w:rPr>
                <w:b/>
                <w:sz w:val="20"/>
                <w:szCs w:val="20"/>
              </w:rPr>
              <w:t xml:space="preserve">Resolution of Arthritis </w:t>
            </w:r>
            <w:r w:rsidR="00F721D4">
              <w:rPr>
                <w:sz w:val="20"/>
                <w:szCs w:val="20"/>
              </w:rPr>
              <w:t xml:space="preserve">(at one month) </w:t>
            </w:r>
          </w:p>
        </w:tc>
      </w:tr>
      <w:tr w:rsidR="002D58E4" w14:paraId="6147B1F2" w14:textId="77777777" w:rsidTr="00E14B2B">
        <w:tc>
          <w:tcPr>
            <w:tcW w:w="723" w:type="dxa"/>
            <w:tcBorders>
              <w:top w:val="single" w:sz="6" w:space="0" w:color="000000"/>
              <w:left w:val="single" w:sz="6" w:space="0" w:color="000000"/>
              <w:bottom w:val="single" w:sz="6" w:space="0" w:color="000000"/>
              <w:right w:val="single" w:sz="6" w:space="0" w:color="000000"/>
            </w:tcBorders>
          </w:tcPr>
          <w:p w14:paraId="0E903ABB" w14:textId="39EE5F15" w:rsidR="002D58E4" w:rsidRDefault="00B033CA">
            <w:pPr>
              <w:spacing w:after="0"/>
              <w:rPr>
                <w:sz w:val="20"/>
                <w:szCs w:val="20"/>
              </w:rPr>
            </w:pPr>
            <w:r>
              <w:rPr>
                <w:sz w:val="20"/>
                <w:szCs w:val="20"/>
              </w:rPr>
              <w:t>1</w:t>
            </w:r>
            <w:r w:rsidR="00F721D4">
              <w:rPr>
                <w:sz w:val="20"/>
                <w:szCs w:val="20"/>
              </w:rPr>
              <w:t xml:space="preserve"> </w:t>
            </w:r>
          </w:p>
        </w:tc>
        <w:tc>
          <w:tcPr>
            <w:tcW w:w="834" w:type="dxa"/>
            <w:tcBorders>
              <w:top w:val="single" w:sz="6" w:space="0" w:color="000000"/>
              <w:left w:val="single" w:sz="6" w:space="0" w:color="000000"/>
              <w:bottom w:val="single" w:sz="6" w:space="0" w:color="000000"/>
              <w:right w:val="single" w:sz="6" w:space="0" w:color="000000"/>
            </w:tcBorders>
          </w:tcPr>
          <w:p w14:paraId="4E29C7E3" w14:textId="08C2724A" w:rsidR="002D58E4" w:rsidRDefault="00F721D4">
            <w:pPr>
              <w:spacing w:after="0"/>
              <w:rPr>
                <w:sz w:val="20"/>
                <w:szCs w:val="20"/>
              </w:rPr>
            </w:pPr>
            <w:r>
              <w:rPr>
                <w:sz w:val="20"/>
                <w:szCs w:val="20"/>
              </w:rPr>
              <w:t xml:space="preserve">RCT </w:t>
            </w:r>
            <w:r>
              <w:rPr>
                <w:sz w:val="20"/>
                <w:szCs w:val="20"/>
                <w:vertAlign w:val="superscript"/>
              </w:rPr>
              <w:t>1</w:t>
            </w:r>
          </w:p>
        </w:tc>
        <w:tc>
          <w:tcPr>
            <w:tcW w:w="1005" w:type="dxa"/>
            <w:tcBorders>
              <w:top w:val="single" w:sz="6" w:space="0" w:color="000000"/>
              <w:left w:val="single" w:sz="6" w:space="0" w:color="000000"/>
              <w:bottom w:val="single" w:sz="6" w:space="0" w:color="000000"/>
              <w:right w:val="single" w:sz="6" w:space="0" w:color="000000"/>
            </w:tcBorders>
          </w:tcPr>
          <w:p w14:paraId="33E632E5" w14:textId="77777777" w:rsidR="002D58E4" w:rsidRDefault="00F721D4">
            <w:pPr>
              <w:spacing w:after="0"/>
              <w:rPr>
                <w:sz w:val="20"/>
                <w:szCs w:val="20"/>
              </w:rPr>
            </w:pPr>
            <w:r>
              <w:rPr>
                <w:sz w:val="20"/>
                <w:szCs w:val="20"/>
              </w:rPr>
              <w:t xml:space="preserve">not serious </w:t>
            </w:r>
          </w:p>
        </w:tc>
        <w:tc>
          <w:tcPr>
            <w:tcW w:w="978" w:type="dxa"/>
            <w:tcBorders>
              <w:top w:val="single" w:sz="6" w:space="0" w:color="000000"/>
              <w:left w:val="single" w:sz="6" w:space="0" w:color="000000"/>
              <w:bottom w:val="single" w:sz="6" w:space="0" w:color="000000"/>
              <w:right w:val="single" w:sz="6" w:space="0" w:color="000000"/>
            </w:tcBorders>
          </w:tcPr>
          <w:p w14:paraId="213B5675" w14:textId="77777777" w:rsidR="002D58E4" w:rsidRDefault="00F721D4">
            <w:pPr>
              <w:spacing w:after="0"/>
              <w:rPr>
                <w:sz w:val="20"/>
                <w:szCs w:val="20"/>
              </w:rPr>
            </w:pPr>
            <w:r>
              <w:rPr>
                <w:sz w:val="20"/>
                <w:szCs w:val="20"/>
              </w:rPr>
              <w:t xml:space="preserve">not serious </w:t>
            </w:r>
          </w:p>
        </w:tc>
        <w:tc>
          <w:tcPr>
            <w:tcW w:w="1117" w:type="dxa"/>
            <w:tcBorders>
              <w:top w:val="single" w:sz="6" w:space="0" w:color="000000"/>
              <w:left w:val="single" w:sz="6" w:space="0" w:color="000000"/>
              <w:bottom w:val="single" w:sz="6" w:space="0" w:color="000000"/>
              <w:right w:val="single" w:sz="6" w:space="0" w:color="000000"/>
            </w:tcBorders>
          </w:tcPr>
          <w:p w14:paraId="7C70831E"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3631415"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25" w:type="dxa"/>
            <w:tcBorders>
              <w:top w:val="single" w:sz="6" w:space="0" w:color="000000"/>
              <w:left w:val="single" w:sz="6" w:space="0" w:color="000000"/>
              <w:bottom w:val="single" w:sz="6" w:space="0" w:color="000000"/>
              <w:right w:val="single" w:sz="6" w:space="0" w:color="000000"/>
            </w:tcBorders>
          </w:tcPr>
          <w:p w14:paraId="0B06189D" w14:textId="77777777" w:rsidR="002D58E4" w:rsidRDefault="00F721D4">
            <w:pPr>
              <w:spacing w:after="0"/>
              <w:rPr>
                <w:sz w:val="20"/>
                <w:szCs w:val="20"/>
              </w:rPr>
            </w:pPr>
            <w:r>
              <w:rPr>
                <w:sz w:val="20"/>
                <w:szCs w:val="20"/>
              </w:rPr>
              <w:t xml:space="preserve">none </w:t>
            </w:r>
          </w:p>
        </w:tc>
        <w:tc>
          <w:tcPr>
            <w:tcW w:w="1384" w:type="dxa"/>
            <w:tcBorders>
              <w:top w:val="single" w:sz="6" w:space="0" w:color="000000"/>
              <w:left w:val="single" w:sz="6" w:space="0" w:color="000000"/>
              <w:bottom w:val="single" w:sz="6" w:space="0" w:color="000000"/>
              <w:right w:val="single" w:sz="6" w:space="0" w:color="000000"/>
            </w:tcBorders>
          </w:tcPr>
          <w:p w14:paraId="4E03F75E" w14:textId="31707EBD" w:rsidR="00424E99" w:rsidRDefault="00B033CA">
            <w:pPr>
              <w:spacing w:after="0"/>
              <w:jc w:val="center"/>
              <w:rPr>
                <w:sz w:val="20"/>
                <w:szCs w:val="20"/>
              </w:rPr>
            </w:pPr>
            <w:r>
              <w:rPr>
                <w:sz w:val="20"/>
                <w:szCs w:val="20"/>
              </w:rPr>
              <w:t>7/20</w:t>
            </w:r>
          </w:p>
          <w:p w14:paraId="43BAEC35" w14:textId="4050E7D8" w:rsidR="00424E99" w:rsidRDefault="00424E99">
            <w:pPr>
              <w:spacing w:after="0"/>
              <w:jc w:val="center"/>
              <w:rPr>
                <w:sz w:val="20"/>
                <w:szCs w:val="20"/>
              </w:rPr>
            </w:pPr>
            <w:r>
              <w:rPr>
                <w:sz w:val="20"/>
                <w:szCs w:val="20"/>
              </w:rPr>
              <w:t>(35.0%)</w:t>
            </w:r>
          </w:p>
          <w:p w14:paraId="66C284A2" w14:textId="035E26D2" w:rsidR="002D58E4" w:rsidRDefault="00F721D4">
            <w:pPr>
              <w:spacing w:after="0"/>
              <w:jc w:val="center"/>
              <w:rPr>
                <w:sz w:val="20"/>
                <w:szCs w:val="20"/>
              </w:rPr>
            </w:pPr>
            <w:r>
              <w:rPr>
                <w:sz w:val="20"/>
                <w:szCs w:val="20"/>
              </w:rPr>
              <w:t xml:space="preserve"> </w:t>
            </w:r>
          </w:p>
        </w:tc>
        <w:tc>
          <w:tcPr>
            <w:tcW w:w="1155" w:type="dxa"/>
            <w:tcBorders>
              <w:top w:val="single" w:sz="6" w:space="0" w:color="000000"/>
              <w:left w:val="single" w:sz="6" w:space="0" w:color="000000"/>
              <w:bottom w:val="single" w:sz="6" w:space="0" w:color="000000"/>
              <w:right w:val="single" w:sz="6" w:space="0" w:color="000000"/>
            </w:tcBorders>
          </w:tcPr>
          <w:p w14:paraId="6B63ABB9" w14:textId="7F064507" w:rsidR="00B033CA" w:rsidRDefault="00F721D4">
            <w:pPr>
              <w:spacing w:after="0"/>
              <w:jc w:val="center"/>
              <w:rPr>
                <w:sz w:val="20"/>
                <w:szCs w:val="20"/>
              </w:rPr>
            </w:pPr>
            <w:r>
              <w:rPr>
                <w:sz w:val="20"/>
                <w:szCs w:val="20"/>
              </w:rPr>
              <w:t xml:space="preserve"> </w:t>
            </w:r>
            <w:r w:rsidR="00B033CA">
              <w:rPr>
                <w:sz w:val="20"/>
                <w:szCs w:val="20"/>
              </w:rPr>
              <w:t>0/20</w:t>
            </w:r>
          </w:p>
          <w:p w14:paraId="4135749A" w14:textId="7A7D7495" w:rsidR="00B033CA" w:rsidRDefault="00B033CA">
            <w:pPr>
              <w:spacing w:after="0"/>
              <w:jc w:val="center"/>
              <w:rPr>
                <w:sz w:val="20"/>
                <w:szCs w:val="20"/>
              </w:rPr>
            </w:pPr>
            <w:r>
              <w:rPr>
                <w:sz w:val="20"/>
                <w:szCs w:val="20"/>
              </w:rPr>
              <w:t>(0%)</w:t>
            </w:r>
          </w:p>
        </w:tc>
        <w:tc>
          <w:tcPr>
            <w:tcW w:w="1258" w:type="dxa"/>
            <w:tcBorders>
              <w:top w:val="single" w:sz="6" w:space="0" w:color="000000"/>
              <w:left w:val="single" w:sz="6" w:space="0" w:color="000000"/>
              <w:bottom w:val="single" w:sz="6" w:space="0" w:color="000000"/>
              <w:right w:val="single" w:sz="6" w:space="0" w:color="000000"/>
            </w:tcBorders>
          </w:tcPr>
          <w:p w14:paraId="3AC70C9D" w14:textId="3AD4CB93" w:rsidR="00B033CA" w:rsidRPr="00424E99" w:rsidRDefault="00B033CA">
            <w:pPr>
              <w:spacing w:after="0"/>
              <w:jc w:val="center"/>
              <w:rPr>
                <w:bCs/>
                <w:sz w:val="20"/>
                <w:szCs w:val="20"/>
                <w:vertAlign w:val="superscript"/>
              </w:rPr>
            </w:pPr>
            <w:r w:rsidRPr="00424E99">
              <w:rPr>
                <w:bCs/>
                <w:sz w:val="20"/>
                <w:szCs w:val="20"/>
              </w:rPr>
              <w:t>NA</w:t>
            </w:r>
            <w:r w:rsidR="00424E99" w:rsidRPr="00424E99">
              <w:rPr>
                <w:bCs/>
                <w:sz w:val="20"/>
                <w:szCs w:val="20"/>
              </w:rPr>
              <w:t xml:space="preserve"> </w:t>
            </w:r>
            <w:r w:rsidR="00424E99">
              <w:rPr>
                <w:bCs/>
                <w:sz w:val="20"/>
                <w:szCs w:val="20"/>
                <w:vertAlign w:val="superscript"/>
              </w:rPr>
              <w:t>c</w:t>
            </w:r>
          </w:p>
        </w:tc>
        <w:tc>
          <w:tcPr>
            <w:tcW w:w="1983" w:type="dxa"/>
            <w:tcBorders>
              <w:top w:val="single" w:sz="6" w:space="0" w:color="000000"/>
              <w:left w:val="single" w:sz="6" w:space="0" w:color="000000"/>
              <w:bottom w:val="single" w:sz="6" w:space="0" w:color="000000"/>
              <w:right w:val="single" w:sz="6" w:space="0" w:color="000000"/>
            </w:tcBorders>
          </w:tcPr>
          <w:p w14:paraId="013BC69E" w14:textId="61F5E574" w:rsidR="002D58E4" w:rsidRDefault="00424E99">
            <w:pPr>
              <w:spacing w:after="0"/>
              <w:jc w:val="center"/>
              <w:rPr>
                <w:b/>
                <w:sz w:val="20"/>
                <w:szCs w:val="20"/>
              </w:rPr>
            </w:pPr>
            <w:r>
              <w:rPr>
                <w:b/>
                <w:sz w:val="20"/>
                <w:szCs w:val="20"/>
              </w:rPr>
              <w:t xml:space="preserve">350 more per 1,000 (from 559 more to 141 more) </w:t>
            </w:r>
          </w:p>
        </w:tc>
        <w:tc>
          <w:tcPr>
            <w:tcW w:w="1275" w:type="dxa"/>
            <w:tcBorders>
              <w:top w:val="single" w:sz="6" w:space="0" w:color="000000"/>
              <w:left w:val="single" w:sz="6" w:space="0" w:color="000000"/>
              <w:bottom w:val="single" w:sz="6" w:space="0" w:color="000000"/>
              <w:right w:val="single" w:sz="6" w:space="0" w:color="000000"/>
            </w:tcBorders>
          </w:tcPr>
          <w:p w14:paraId="6D3F5E3B"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275" w:type="dxa"/>
            <w:tcBorders>
              <w:top w:val="single" w:sz="6" w:space="0" w:color="000000"/>
              <w:left w:val="single" w:sz="6" w:space="0" w:color="000000"/>
              <w:bottom w:val="single" w:sz="6" w:space="0" w:color="000000"/>
              <w:right w:val="single" w:sz="6" w:space="0" w:color="000000"/>
            </w:tcBorders>
          </w:tcPr>
          <w:p w14:paraId="330EFE8A" w14:textId="77777777" w:rsidR="002D58E4" w:rsidRDefault="00F721D4">
            <w:pPr>
              <w:spacing w:after="0"/>
              <w:rPr>
                <w:sz w:val="20"/>
                <w:szCs w:val="20"/>
              </w:rPr>
            </w:pPr>
            <w:r>
              <w:rPr>
                <w:sz w:val="20"/>
                <w:szCs w:val="20"/>
              </w:rPr>
              <w:t xml:space="preserve">CRITICAL </w:t>
            </w:r>
          </w:p>
        </w:tc>
      </w:tr>
      <w:tr w:rsidR="002D58E4" w14:paraId="292E6745" w14:textId="77777777" w:rsidTr="00E14B2B">
        <w:tc>
          <w:tcPr>
            <w:tcW w:w="1488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6828B80" w14:textId="77777777" w:rsidR="002D58E4" w:rsidRDefault="00F721D4">
            <w:pPr>
              <w:spacing w:after="0"/>
              <w:rPr>
                <w:i/>
                <w:sz w:val="20"/>
                <w:szCs w:val="20"/>
              </w:rPr>
            </w:pPr>
            <w:r>
              <w:rPr>
                <w:b/>
                <w:sz w:val="20"/>
                <w:szCs w:val="20"/>
              </w:rPr>
              <w:t xml:space="preserve">Withdrawals due to Adverse Events </w:t>
            </w:r>
            <w:r>
              <w:rPr>
                <w:sz w:val="20"/>
                <w:szCs w:val="20"/>
              </w:rPr>
              <w:t>(at 10 days)</w:t>
            </w:r>
            <w:r>
              <w:rPr>
                <w:b/>
                <w:sz w:val="20"/>
                <w:szCs w:val="20"/>
              </w:rPr>
              <w:t xml:space="preserve"> </w:t>
            </w:r>
          </w:p>
        </w:tc>
      </w:tr>
      <w:tr w:rsidR="002D58E4" w14:paraId="40F846CF" w14:textId="77777777" w:rsidTr="00E14B2B">
        <w:tc>
          <w:tcPr>
            <w:tcW w:w="723" w:type="dxa"/>
            <w:tcBorders>
              <w:top w:val="single" w:sz="6" w:space="0" w:color="000000"/>
              <w:left w:val="single" w:sz="6" w:space="0" w:color="000000"/>
              <w:bottom w:val="single" w:sz="6" w:space="0" w:color="000000"/>
              <w:right w:val="single" w:sz="6" w:space="0" w:color="000000"/>
            </w:tcBorders>
          </w:tcPr>
          <w:p w14:paraId="743C9DA0" w14:textId="77777777" w:rsidR="002D58E4" w:rsidRDefault="00F721D4">
            <w:pPr>
              <w:spacing w:after="0"/>
              <w:rPr>
                <w:sz w:val="20"/>
                <w:szCs w:val="20"/>
              </w:rPr>
            </w:pPr>
            <w:r>
              <w:rPr>
                <w:sz w:val="20"/>
                <w:szCs w:val="20"/>
              </w:rPr>
              <w:t xml:space="preserve">1 </w:t>
            </w:r>
          </w:p>
        </w:tc>
        <w:tc>
          <w:tcPr>
            <w:tcW w:w="834" w:type="dxa"/>
            <w:tcBorders>
              <w:top w:val="single" w:sz="6" w:space="0" w:color="000000"/>
              <w:left w:val="single" w:sz="6" w:space="0" w:color="000000"/>
              <w:bottom w:val="single" w:sz="6" w:space="0" w:color="000000"/>
              <w:right w:val="single" w:sz="6" w:space="0" w:color="000000"/>
            </w:tcBorders>
          </w:tcPr>
          <w:p w14:paraId="547801FA" w14:textId="26A72334" w:rsidR="002D58E4" w:rsidRDefault="00F721D4">
            <w:pPr>
              <w:spacing w:after="0"/>
              <w:rPr>
                <w:sz w:val="20"/>
                <w:szCs w:val="20"/>
              </w:rPr>
            </w:pPr>
            <w:r>
              <w:rPr>
                <w:sz w:val="20"/>
                <w:szCs w:val="20"/>
              </w:rPr>
              <w:t xml:space="preserve">RCT </w:t>
            </w:r>
            <w:r w:rsidR="00B033CA">
              <w:rPr>
                <w:sz w:val="20"/>
                <w:szCs w:val="20"/>
                <w:vertAlign w:val="superscript"/>
              </w:rPr>
              <w:t>1</w:t>
            </w:r>
            <w:r>
              <w:rPr>
                <w:sz w:val="20"/>
                <w:szCs w:val="20"/>
              </w:rPr>
              <w:t xml:space="preserve"> </w:t>
            </w:r>
          </w:p>
        </w:tc>
        <w:tc>
          <w:tcPr>
            <w:tcW w:w="1005" w:type="dxa"/>
            <w:tcBorders>
              <w:top w:val="single" w:sz="6" w:space="0" w:color="000000"/>
              <w:left w:val="single" w:sz="6" w:space="0" w:color="000000"/>
              <w:bottom w:val="single" w:sz="6" w:space="0" w:color="000000"/>
              <w:right w:val="single" w:sz="6" w:space="0" w:color="000000"/>
            </w:tcBorders>
          </w:tcPr>
          <w:p w14:paraId="1AF0C198" w14:textId="77777777" w:rsidR="002D58E4" w:rsidRDefault="00F721D4">
            <w:pPr>
              <w:spacing w:after="0"/>
              <w:rPr>
                <w:sz w:val="20"/>
                <w:szCs w:val="20"/>
              </w:rPr>
            </w:pPr>
            <w:r>
              <w:rPr>
                <w:sz w:val="20"/>
                <w:szCs w:val="20"/>
              </w:rPr>
              <w:t>not serious</w:t>
            </w:r>
          </w:p>
        </w:tc>
        <w:tc>
          <w:tcPr>
            <w:tcW w:w="978" w:type="dxa"/>
            <w:tcBorders>
              <w:top w:val="single" w:sz="6" w:space="0" w:color="000000"/>
              <w:left w:val="single" w:sz="6" w:space="0" w:color="000000"/>
              <w:bottom w:val="single" w:sz="6" w:space="0" w:color="000000"/>
              <w:right w:val="single" w:sz="6" w:space="0" w:color="000000"/>
            </w:tcBorders>
          </w:tcPr>
          <w:p w14:paraId="213F9BAB" w14:textId="77777777" w:rsidR="002D58E4" w:rsidRDefault="00F721D4">
            <w:pPr>
              <w:spacing w:after="0"/>
              <w:rPr>
                <w:sz w:val="20"/>
                <w:szCs w:val="20"/>
              </w:rPr>
            </w:pPr>
            <w:r>
              <w:rPr>
                <w:sz w:val="20"/>
                <w:szCs w:val="20"/>
              </w:rPr>
              <w:t xml:space="preserve">not serious </w:t>
            </w:r>
          </w:p>
        </w:tc>
        <w:tc>
          <w:tcPr>
            <w:tcW w:w="1117" w:type="dxa"/>
            <w:tcBorders>
              <w:top w:val="single" w:sz="6" w:space="0" w:color="000000"/>
              <w:left w:val="single" w:sz="6" w:space="0" w:color="000000"/>
              <w:bottom w:val="single" w:sz="6" w:space="0" w:color="000000"/>
              <w:right w:val="single" w:sz="6" w:space="0" w:color="000000"/>
            </w:tcBorders>
          </w:tcPr>
          <w:p w14:paraId="2043B27C"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022FDD6"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825" w:type="dxa"/>
            <w:tcBorders>
              <w:top w:val="single" w:sz="6" w:space="0" w:color="000000"/>
              <w:left w:val="single" w:sz="6" w:space="0" w:color="000000"/>
              <w:bottom w:val="single" w:sz="6" w:space="0" w:color="000000"/>
              <w:right w:val="single" w:sz="6" w:space="0" w:color="000000"/>
            </w:tcBorders>
          </w:tcPr>
          <w:p w14:paraId="3970DCD3" w14:textId="77777777" w:rsidR="002D58E4" w:rsidRDefault="00F721D4">
            <w:pPr>
              <w:spacing w:after="0"/>
              <w:rPr>
                <w:sz w:val="20"/>
                <w:szCs w:val="20"/>
              </w:rPr>
            </w:pPr>
            <w:r>
              <w:rPr>
                <w:sz w:val="20"/>
                <w:szCs w:val="20"/>
              </w:rPr>
              <w:t xml:space="preserve">none </w:t>
            </w:r>
          </w:p>
        </w:tc>
        <w:tc>
          <w:tcPr>
            <w:tcW w:w="1384" w:type="dxa"/>
            <w:tcBorders>
              <w:top w:val="single" w:sz="6" w:space="0" w:color="000000"/>
              <w:left w:val="single" w:sz="6" w:space="0" w:color="000000"/>
              <w:bottom w:val="single" w:sz="6" w:space="0" w:color="000000"/>
              <w:right w:val="single" w:sz="6" w:space="0" w:color="000000"/>
            </w:tcBorders>
          </w:tcPr>
          <w:p w14:paraId="39D45B93" w14:textId="77777777" w:rsidR="002D58E4" w:rsidRDefault="00F721D4">
            <w:pPr>
              <w:spacing w:after="0"/>
              <w:jc w:val="center"/>
              <w:rPr>
                <w:sz w:val="20"/>
                <w:szCs w:val="20"/>
              </w:rPr>
            </w:pPr>
            <w:r>
              <w:rPr>
                <w:sz w:val="20"/>
                <w:szCs w:val="20"/>
              </w:rPr>
              <w:t>4/20</w:t>
            </w:r>
          </w:p>
          <w:p w14:paraId="22C9F6D6" w14:textId="77777777" w:rsidR="002D58E4" w:rsidRDefault="00F721D4">
            <w:pPr>
              <w:spacing w:after="0"/>
              <w:jc w:val="center"/>
              <w:rPr>
                <w:sz w:val="20"/>
                <w:szCs w:val="20"/>
              </w:rPr>
            </w:pPr>
            <w:r>
              <w:rPr>
                <w:sz w:val="20"/>
                <w:szCs w:val="20"/>
              </w:rPr>
              <w:t xml:space="preserve"> (20.0%) </w:t>
            </w:r>
          </w:p>
        </w:tc>
        <w:tc>
          <w:tcPr>
            <w:tcW w:w="1155" w:type="dxa"/>
            <w:tcBorders>
              <w:top w:val="single" w:sz="6" w:space="0" w:color="000000"/>
              <w:left w:val="single" w:sz="6" w:space="0" w:color="000000"/>
              <w:bottom w:val="single" w:sz="6" w:space="0" w:color="000000"/>
              <w:right w:val="single" w:sz="6" w:space="0" w:color="000000"/>
            </w:tcBorders>
          </w:tcPr>
          <w:p w14:paraId="390F40D1" w14:textId="77777777" w:rsidR="002D58E4" w:rsidRDefault="00F721D4">
            <w:pPr>
              <w:spacing w:after="0"/>
              <w:jc w:val="center"/>
              <w:rPr>
                <w:sz w:val="20"/>
                <w:szCs w:val="20"/>
              </w:rPr>
            </w:pPr>
            <w:r>
              <w:rPr>
                <w:sz w:val="20"/>
                <w:szCs w:val="20"/>
              </w:rPr>
              <w:t xml:space="preserve">0/20 </w:t>
            </w:r>
          </w:p>
          <w:p w14:paraId="193659EF" w14:textId="77777777" w:rsidR="002D58E4" w:rsidRDefault="00F721D4">
            <w:pPr>
              <w:spacing w:after="0"/>
              <w:jc w:val="center"/>
              <w:rPr>
                <w:sz w:val="20"/>
                <w:szCs w:val="20"/>
              </w:rPr>
            </w:pPr>
            <w:r>
              <w:rPr>
                <w:sz w:val="20"/>
                <w:szCs w:val="20"/>
              </w:rPr>
              <w:t xml:space="preserve">(0.0%) </w:t>
            </w:r>
          </w:p>
        </w:tc>
        <w:tc>
          <w:tcPr>
            <w:tcW w:w="1258" w:type="dxa"/>
            <w:tcBorders>
              <w:top w:val="single" w:sz="6" w:space="0" w:color="000000"/>
              <w:left w:val="single" w:sz="6" w:space="0" w:color="000000"/>
              <w:bottom w:val="single" w:sz="6" w:space="0" w:color="000000"/>
              <w:right w:val="single" w:sz="6" w:space="0" w:color="000000"/>
            </w:tcBorders>
          </w:tcPr>
          <w:p w14:paraId="5524EEA7" w14:textId="77777777" w:rsidR="002D58E4" w:rsidRDefault="00F721D4">
            <w:pPr>
              <w:spacing w:after="0"/>
              <w:jc w:val="center"/>
              <w:rPr>
                <w:sz w:val="20"/>
                <w:szCs w:val="20"/>
              </w:rPr>
            </w:pPr>
            <w:r>
              <w:rPr>
                <w:sz w:val="20"/>
                <w:szCs w:val="20"/>
              </w:rPr>
              <w:t xml:space="preserve">NA </w:t>
            </w:r>
            <w:r>
              <w:rPr>
                <w:sz w:val="20"/>
                <w:szCs w:val="20"/>
                <w:vertAlign w:val="superscript"/>
              </w:rPr>
              <w:t>c</w:t>
            </w:r>
            <w:r>
              <w:rPr>
                <w:sz w:val="20"/>
                <w:szCs w:val="20"/>
              </w:rPr>
              <w:t xml:space="preserve"> </w:t>
            </w:r>
          </w:p>
          <w:p w14:paraId="04E46BCA" w14:textId="77777777" w:rsidR="002D58E4" w:rsidRDefault="00F721D4">
            <w:pPr>
              <w:spacing w:after="0"/>
              <w:jc w:val="center"/>
              <w:rPr>
                <w:sz w:val="20"/>
                <w:szCs w:val="20"/>
              </w:rPr>
            </w:pPr>
            <w:r>
              <w:rPr>
                <w:sz w:val="20"/>
                <w:szCs w:val="20"/>
              </w:rPr>
              <w:t xml:space="preserve"> </w:t>
            </w:r>
          </w:p>
        </w:tc>
        <w:tc>
          <w:tcPr>
            <w:tcW w:w="1983" w:type="dxa"/>
            <w:tcBorders>
              <w:top w:val="single" w:sz="6" w:space="0" w:color="000000"/>
              <w:left w:val="single" w:sz="6" w:space="0" w:color="000000"/>
              <w:bottom w:val="single" w:sz="6" w:space="0" w:color="000000"/>
              <w:right w:val="single" w:sz="6" w:space="0" w:color="000000"/>
            </w:tcBorders>
          </w:tcPr>
          <w:p w14:paraId="4A07E62B" w14:textId="77777777" w:rsidR="002D58E4" w:rsidRDefault="00F721D4">
            <w:pPr>
              <w:spacing w:after="0"/>
              <w:jc w:val="center"/>
              <w:rPr>
                <w:sz w:val="20"/>
                <w:szCs w:val="20"/>
              </w:rPr>
            </w:pPr>
            <w:r>
              <w:rPr>
                <w:sz w:val="20"/>
                <w:szCs w:val="20"/>
              </w:rPr>
              <w:t xml:space="preserve">200 more per 1,000 </w:t>
            </w:r>
          </w:p>
          <w:p w14:paraId="2C15EBE5" w14:textId="77777777" w:rsidR="002D58E4" w:rsidRDefault="002D58E4">
            <w:pPr>
              <w:spacing w:after="0"/>
              <w:jc w:val="center"/>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600775B9"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275" w:type="dxa"/>
            <w:tcBorders>
              <w:top w:val="single" w:sz="6" w:space="0" w:color="000000"/>
              <w:left w:val="single" w:sz="6" w:space="0" w:color="000000"/>
              <w:bottom w:val="single" w:sz="6" w:space="0" w:color="000000"/>
              <w:right w:val="single" w:sz="6" w:space="0" w:color="000000"/>
            </w:tcBorders>
          </w:tcPr>
          <w:p w14:paraId="193C29A1" w14:textId="77777777" w:rsidR="002D58E4" w:rsidRDefault="00F721D4">
            <w:pPr>
              <w:spacing w:after="0"/>
              <w:rPr>
                <w:sz w:val="20"/>
                <w:szCs w:val="20"/>
              </w:rPr>
            </w:pPr>
            <w:r>
              <w:rPr>
                <w:sz w:val="20"/>
                <w:szCs w:val="20"/>
              </w:rPr>
              <w:t xml:space="preserve">IMPORTANT </w:t>
            </w:r>
          </w:p>
          <w:p w14:paraId="3415BCC9" w14:textId="77777777" w:rsidR="002D58E4" w:rsidRDefault="002D58E4">
            <w:pPr>
              <w:spacing w:after="0"/>
              <w:rPr>
                <w:sz w:val="20"/>
                <w:szCs w:val="20"/>
              </w:rPr>
            </w:pPr>
          </w:p>
        </w:tc>
      </w:tr>
      <w:tr w:rsidR="002D58E4" w14:paraId="02E3CAC5" w14:textId="77777777" w:rsidTr="00E14B2B">
        <w:tc>
          <w:tcPr>
            <w:tcW w:w="14880"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FC13A3C" w14:textId="77777777" w:rsidR="002D58E4" w:rsidRDefault="00F721D4">
            <w:pPr>
              <w:spacing w:after="0"/>
              <w:rPr>
                <w:b/>
                <w:sz w:val="20"/>
                <w:szCs w:val="20"/>
              </w:rPr>
            </w:pPr>
            <w:r>
              <w:rPr>
                <w:b/>
                <w:sz w:val="20"/>
                <w:szCs w:val="20"/>
              </w:rPr>
              <w:t xml:space="preserve">Allergic Reaction </w:t>
            </w:r>
            <w:r>
              <w:rPr>
                <w:sz w:val="20"/>
                <w:szCs w:val="20"/>
              </w:rPr>
              <w:t xml:space="preserve">(at 10 days) </w:t>
            </w:r>
          </w:p>
        </w:tc>
      </w:tr>
      <w:tr w:rsidR="002D58E4" w14:paraId="2B1AF8B1" w14:textId="77777777" w:rsidTr="00E14B2B">
        <w:trPr>
          <w:trHeight w:val="620"/>
        </w:trPr>
        <w:tc>
          <w:tcPr>
            <w:tcW w:w="723" w:type="dxa"/>
            <w:tcBorders>
              <w:top w:val="single" w:sz="6" w:space="0" w:color="000000"/>
              <w:left w:val="single" w:sz="6" w:space="0" w:color="000000"/>
              <w:bottom w:val="single" w:sz="6" w:space="0" w:color="000000"/>
              <w:right w:val="single" w:sz="6" w:space="0" w:color="000000"/>
            </w:tcBorders>
          </w:tcPr>
          <w:p w14:paraId="77E6992A" w14:textId="77777777" w:rsidR="002D58E4" w:rsidRDefault="00F721D4">
            <w:pPr>
              <w:spacing w:after="0"/>
              <w:rPr>
                <w:sz w:val="20"/>
                <w:szCs w:val="20"/>
              </w:rPr>
            </w:pPr>
            <w:r>
              <w:rPr>
                <w:sz w:val="20"/>
                <w:szCs w:val="20"/>
              </w:rPr>
              <w:t xml:space="preserve">1 </w:t>
            </w:r>
          </w:p>
        </w:tc>
        <w:tc>
          <w:tcPr>
            <w:tcW w:w="834" w:type="dxa"/>
            <w:tcBorders>
              <w:top w:val="single" w:sz="6" w:space="0" w:color="000000"/>
              <w:left w:val="single" w:sz="6" w:space="0" w:color="000000"/>
              <w:bottom w:val="single" w:sz="6" w:space="0" w:color="000000"/>
              <w:right w:val="single" w:sz="6" w:space="0" w:color="000000"/>
            </w:tcBorders>
          </w:tcPr>
          <w:p w14:paraId="648EE9E7" w14:textId="74FE3CB5" w:rsidR="002D58E4" w:rsidRDefault="00F721D4">
            <w:pPr>
              <w:spacing w:after="0"/>
              <w:rPr>
                <w:sz w:val="20"/>
                <w:szCs w:val="20"/>
              </w:rPr>
            </w:pPr>
            <w:r>
              <w:rPr>
                <w:sz w:val="20"/>
                <w:szCs w:val="20"/>
              </w:rPr>
              <w:t>R</w:t>
            </w:r>
            <w:r>
              <w:t>CT</w:t>
            </w:r>
            <w:r>
              <w:rPr>
                <w:sz w:val="20"/>
                <w:szCs w:val="20"/>
              </w:rPr>
              <w:t xml:space="preserve"> </w:t>
            </w:r>
            <w:r w:rsidR="00B033CA">
              <w:rPr>
                <w:sz w:val="20"/>
                <w:szCs w:val="20"/>
                <w:vertAlign w:val="superscript"/>
              </w:rPr>
              <w:t>1</w:t>
            </w:r>
            <w:r>
              <w:rPr>
                <w:sz w:val="20"/>
                <w:szCs w:val="20"/>
                <w:vertAlign w:val="superscript"/>
              </w:rPr>
              <w:t xml:space="preserve"> </w:t>
            </w:r>
          </w:p>
        </w:tc>
        <w:tc>
          <w:tcPr>
            <w:tcW w:w="1005" w:type="dxa"/>
            <w:tcBorders>
              <w:top w:val="single" w:sz="6" w:space="0" w:color="000000"/>
              <w:left w:val="single" w:sz="6" w:space="0" w:color="000000"/>
              <w:bottom w:val="single" w:sz="6" w:space="0" w:color="000000"/>
              <w:right w:val="single" w:sz="6" w:space="0" w:color="000000"/>
            </w:tcBorders>
          </w:tcPr>
          <w:p w14:paraId="59B0273F" w14:textId="77777777" w:rsidR="002D58E4" w:rsidRDefault="00F721D4">
            <w:pPr>
              <w:spacing w:after="0"/>
              <w:rPr>
                <w:sz w:val="20"/>
                <w:szCs w:val="20"/>
              </w:rPr>
            </w:pPr>
            <w:r>
              <w:rPr>
                <w:sz w:val="20"/>
                <w:szCs w:val="20"/>
              </w:rPr>
              <w:t>not serious</w:t>
            </w:r>
          </w:p>
        </w:tc>
        <w:tc>
          <w:tcPr>
            <w:tcW w:w="978" w:type="dxa"/>
            <w:tcBorders>
              <w:top w:val="single" w:sz="6" w:space="0" w:color="000000"/>
              <w:left w:val="single" w:sz="6" w:space="0" w:color="000000"/>
              <w:bottom w:val="single" w:sz="6" w:space="0" w:color="000000"/>
              <w:right w:val="single" w:sz="6" w:space="0" w:color="000000"/>
            </w:tcBorders>
          </w:tcPr>
          <w:p w14:paraId="55DE7E0B" w14:textId="77777777" w:rsidR="002D58E4" w:rsidRDefault="00F721D4">
            <w:pPr>
              <w:spacing w:after="0"/>
              <w:rPr>
                <w:sz w:val="20"/>
                <w:szCs w:val="20"/>
              </w:rPr>
            </w:pPr>
            <w:r>
              <w:rPr>
                <w:sz w:val="20"/>
                <w:szCs w:val="20"/>
              </w:rPr>
              <w:t xml:space="preserve">not serious </w:t>
            </w:r>
          </w:p>
        </w:tc>
        <w:tc>
          <w:tcPr>
            <w:tcW w:w="1117" w:type="dxa"/>
            <w:tcBorders>
              <w:top w:val="single" w:sz="6" w:space="0" w:color="000000"/>
              <w:left w:val="single" w:sz="6" w:space="0" w:color="000000"/>
              <w:bottom w:val="single" w:sz="6" w:space="0" w:color="000000"/>
              <w:right w:val="single" w:sz="6" w:space="0" w:color="000000"/>
            </w:tcBorders>
          </w:tcPr>
          <w:p w14:paraId="539643E3"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46B737C7"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825" w:type="dxa"/>
            <w:tcBorders>
              <w:top w:val="single" w:sz="6" w:space="0" w:color="000000"/>
              <w:left w:val="single" w:sz="6" w:space="0" w:color="000000"/>
              <w:bottom w:val="single" w:sz="6" w:space="0" w:color="000000"/>
              <w:right w:val="single" w:sz="6" w:space="0" w:color="000000"/>
            </w:tcBorders>
          </w:tcPr>
          <w:p w14:paraId="7DE39EBD" w14:textId="77777777" w:rsidR="002D58E4" w:rsidRDefault="00F721D4">
            <w:pPr>
              <w:spacing w:after="0"/>
              <w:rPr>
                <w:sz w:val="20"/>
                <w:szCs w:val="20"/>
              </w:rPr>
            </w:pPr>
            <w:r>
              <w:rPr>
                <w:sz w:val="20"/>
                <w:szCs w:val="20"/>
              </w:rPr>
              <w:t xml:space="preserve">none </w:t>
            </w:r>
          </w:p>
        </w:tc>
        <w:tc>
          <w:tcPr>
            <w:tcW w:w="1384" w:type="dxa"/>
            <w:tcBorders>
              <w:top w:val="single" w:sz="6" w:space="0" w:color="000000"/>
              <w:left w:val="single" w:sz="6" w:space="0" w:color="000000"/>
              <w:bottom w:val="single" w:sz="6" w:space="0" w:color="000000"/>
              <w:right w:val="single" w:sz="6" w:space="0" w:color="000000"/>
            </w:tcBorders>
          </w:tcPr>
          <w:p w14:paraId="204DA383" w14:textId="77777777" w:rsidR="002D58E4" w:rsidRDefault="00F721D4">
            <w:pPr>
              <w:spacing w:after="0"/>
              <w:jc w:val="center"/>
              <w:rPr>
                <w:sz w:val="20"/>
                <w:szCs w:val="20"/>
              </w:rPr>
            </w:pPr>
            <w:r>
              <w:rPr>
                <w:sz w:val="20"/>
                <w:szCs w:val="20"/>
              </w:rPr>
              <w:t>0/20</w:t>
            </w:r>
          </w:p>
          <w:p w14:paraId="5D868CF7" w14:textId="77777777" w:rsidR="002D58E4" w:rsidRDefault="00F721D4">
            <w:pPr>
              <w:spacing w:after="0"/>
              <w:jc w:val="center"/>
              <w:rPr>
                <w:sz w:val="20"/>
                <w:szCs w:val="20"/>
              </w:rPr>
            </w:pPr>
            <w:r>
              <w:rPr>
                <w:sz w:val="20"/>
                <w:szCs w:val="20"/>
              </w:rPr>
              <w:t xml:space="preserve"> (0.0%) </w:t>
            </w:r>
          </w:p>
        </w:tc>
        <w:tc>
          <w:tcPr>
            <w:tcW w:w="1155" w:type="dxa"/>
            <w:tcBorders>
              <w:top w:val="single" w:sz="6" w:space="0" w:color="000000"/>
              <w:left w:val="single" w:sz="6" w:space="0" w:color="000000"/>
              <w:bottom w:val="single" w:sz="6" w:space="0" w:color="000000"/>
              <w:right w:val="single" w:sz="6" w:space="0" w:color="000000"/>
            </w:tcBorders>
          </w:tcPr>
          <w:p w14:paraId="0DDAB84D" w14:textId="77777777" w:rsidR="002D58E4" w:rsidRDefault="00F721D4">
            <w:pPr>
              <w:spacing w:after="0"/>
              <w:jc w:val="center"/>
              <w:rPr>
                <w:sz w:val="20"/>
                <w:szCs w:val="20"/>
              </w:rPr>
            </w:pPr>
            <w:r>
              <w:rPr>
                <w:sz w:val="20"/>
                <w:szCs w:val="20"/>
              </w:rPr>
              <w:t xml:space="preserve">0/20 </w:t>
            </w:r>
          </w:p>
          <w:p w14:paraId="1ADD09E9" w14:textId="77777777" w:rsidR="002D58E4" w:rsidRDefault="00F721D4">
            <w:pPr>
              <w:spacing w:after="0"/>
              <w:jc w:val="center"/>
              <w:rPr>
                <w:sz w:val="20"/>
                <w:szCs w:val="20"/>
              </w:rPr>
            </w:pPr>
            <w:r>
              <w:rPr>
                <w:sz w:val="20"/>
                <w:szCs w:val="20"/>
              </w:rPr>
              <w:t xml:space="preserve">(0.0%) </w:t>
            </w:r>
          </w:p>
        </w:tc>
        <w:tc>
          <w:tcPr>
            <w:tcW w:w="1258" w:type="dxa"/>
            <w:tcBorders>
              <w:top w:val="single" w:sz="6" w:space="0" w:color="000000"/>
              <w:left w:val="single" w:sz="6" w:space="0" w:color="000000"/>
              <w:bottom w:val="single" w:sz="6" w:space="0" w:color="000000"/>
              <w:right w:val="single" w:sz="6" w:space="0" w:color="000000"/>
            </w:tcBorders>
          </w:tcPr>
          <w:p w14:paraId="2CD2025E" w14:textId="77777777" w:rsidR="002D58E4" w:rsidRDefault="00F721D4">
            <w:pPr>
              <w:spacing w:after="0"/>
              <w:jc w:val="center"/>
              <w:rPr>
                <w:sz w:val="20"/>
                <w:szCs w:val="20"/>
              </w:rPr>
            </w:pPr>
            <w:r>
              <w:rPr>
                <w:sz w:val="20"/>
                <w:szCs w:val="20"/>
              </w:rPr>
              <w:t xml:space="preserve">NA </w:t>
            </w:r>
            <w:r>
              <w:rPr>
                <w:sz w:val="20"/>
                <w:szCs w:val="20"/>
                <w:vertAlign w:val="superscript"/>
              </w:rPr>
              <w:t>c</w:t>
            </w:r>
            <w:r>
              <w:rPr>
                <w:sz w:val="20"/>
                <w:szCs w:val="20"/>
              </w:rPr>
              <w:t xml:space="preserve"> </w:t>
            </w:r>
          </w:p>
          <w:p w14:paraId="0FB19802" w14:textId="77777777" w:rsidR="002D58E4" w:rsidRDefault="002D58E4">
            <w:pPr>
              <w:spacing w:after="0"/>
              <w:jc w:val="center"/>
              <w:rPr>
                <w:sz w:val="20"/>
                <w:szCs w:val="20"/>
              </w:rPr>
            </w:pPr>
          </w:p>
        </w:tc>
        <w:tc>
          <w:tcPr>
            <w:tcW w:w="1983" w:type="dxa"/>
            <w:tcBorders>
              <w:top w:val="single" w:sz="6" w:space="0" w:color="000000"/>
              <w:left w:val="single" w:sz="6" w:space="0" w:color="000000"/>
              <w:bottom w:val="single" w:sz="6" w:space="0" w:color="000000"/>
              <w:right w:val="single" w:sz="6" w:space="0" w:color="000000"/>
            </w:tcBorders>
          </w:tcPr>
          <w:p w14:paraId="2B213F9F" w14:textId="77777777" w:rsidR="002D58E4" w:rsidRDefault="00F721D4">
            <w:pPr>
              <w:spacing w:after="0"/>
              <w:jc w:val="center"/>
              <w:rPr>
                <w:sz w:val="20"/>
                <w:szCs w:val="20"/>
              </w:rPr>
            </w:pPr>
            <w:r>
              <w:rPr>
                <w:sz w:val="20"/>
                <w:szCs w:val="20"/>
              </w:rPr>
              <w:t xml:space="preserve">0 per 1,000   </w:t>
            </w:r>
          </w:p>
        </w:tc>
        <w:tc>
          <w:tcPr>
            <w:tcW w:w="1275" w:type="dxa"/>
            <w:tcBorders>
              <w:top w:val="single" w:sz="6" w:space="0" w:color="000000"/>
              <w:left w:val="single" w:sz="6" w:space="0" w:color="000000"/>
              <w:bottom w:val="single" w:sz="6" w:space="0" w:color="000000"/>
              <w:right w:val="single" w:sz="6" w:space="0" w:color="000000"/>
            </w:tcBorders>
          </w:tcPr>
          <w:p w14:paraId="359287C3"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275" w:type="dxa"/>
            <w:tcBorders>
              <w:top w:val="single" w:sz="6" w:space="0" w:color="000000"/>
              <w:left w:val="single" w:sz="6" w:space="0" w:color="000000"/>
              <w:bottom w:val="single" w:sz="6" w:space="0" w:color="000000"/>
              <w:right w:val="single" w:sz="6" w:space="0" w:color="000000"/>
            </w:tcBorders>
          </w:tcPr>
          <w:p w14:paraId="516F04E0" w14:textId="77777777" w:rsidR="002D58E4" w:rsidRDefault="00F721D4">
            <w:pPr>
              <w:spacing w:after="0"/>
              <w:rPr>
                <w:sz w:val="20"/>
                <w:szCs w:val="20"/>
              </w:rPr>
            </w:pPr>
            <w:r>
              <w:rPr>
                <w:sz w:val="20"/>
                <w:szCs w:val="20"/>
              </w:rPr>
              <w:t xml:space="preserve">IMPORTANT </w:t>
            </w:r>
          </w:p>
        </w:tc>
      </w:tr>
    </w:tbl>
    <w:p w14:paraId="17470CE3" w14:textId="77777777" w:rsidR="002D58E4" w:rsidRDefault="00F721D4">
      <w:pPr>
        <w:pBdr>
          <w:top w:val="nil"/>
          <w:left w:val="nil"/>
          <w:bottom w:val="nil"/>
          <w:right w:val="nil"/>
          <w:between w:val="nil"/>
        </w:pBdr>
        <w:spacing w:before="100" w:after="100" w:line="240" w:lineRule="auto"/>
        <w:ind w:left="720"/>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2CC3807C" w14:textId="77777777" w:rsidR="00171735" w:rsidRDefault="00171735" w:rsidP="00171735">
      <w:pPr>
        <w:spacing w:before="280" w:after="0"/>
        <w:rPr>
          <w:b/>
          <w:color w:val="000000"/>
          <w:sz w:val="24"/>
          <w:szCs w:val="24"/>
        </w:rPr>
      </w:pPr>
      <w:r>
        <w:rPr>
          <w:b/>
          <w:color w:val="000000"/>
          <w:sz w:val="24"/>
          <w:szCs w:val="24"/>
        </w:rPr>
        <w:t>Explanations</w:t>
      </w:r>
    </w:p>
    <w:p w14:paraId="1BC6149E" w14:textId="77777777" w:rsidR="002D58E4" w:rsidRDefault="00F721D4">
      <w:pPr>
        <w:pBdr>
          <w:top w:val="nil"/>
          <w:left w:val="nil"/>
          <w:bottom w:val="nil"/>
          <w:right w:val="nil"/>
          <w:between w:val="nil"/>
        </w:pBdr>
        <w:spacing w:after="0"/>
        <w:ind w:left="721"/>
        <w:rPr>
          <w:color w:val="000000"/>
          <w:sz w:val="18"/>
          <w:szCs w:val="18"/>
        </w:rPr>
      </w:pPr>
      <w:r>
        <w:rPr>
          <w:color w:val="000000"/>
          <w:sz w:val="18"/>
          <w:szCs w:val="18"/>
        </w:rPr>
        <w:t xml:space="preserve">a. Fragility due to low event rate and small sample size </w:t>
      </w:r>
    </w:p>
    <w:p w14:paraId="1911B510" w14:textId="77777777" w:rsidR="002D58E4" w:rsidRDefault="00F721D4">
      <w:pPr>
        <w:pBdr>
          <w:top w:val="nil"/>
          <w:left w:val="nil"/>
          <w:bottom w:val="nil"/>
          <w:right w:val="nil"/>
          <w:between w:val="nil"/>
        </w:pBdr>
        <w:spacing w:after="0"/>
        <w:ind w:left="721"/>
        <w:rPr>
          <w:color w:val="000000"/>
          <w:sz w:val="18"/>
          <w:szCs w:val="18"/>
        </w:rPr>
      </w:pPr>
      <w:r>
        <w:rPr>
          <w:color w:val="000000"/>
          <w:sz w:val="18"/>
          <w:szCs w:val="18"/>
        </w:rPr>
        <w:t>b.  Low event rate and small sample size</w:t>
      </w:r>
    </w:p>
    <w:p w14:paraId="575BDB1D" w14:textId="77777777" w:rsidR="002D58E4" w:rsidRDefault="00F721D4">
      <w:pPr>
        <w:spacing w:after="0"/>
        <w:ind w:left="720"/>
        <w:rPr>
          <w:b/>
          <w:color w:val="000000"/>
          <w:u w:val="single"/>
        </w:rPr>
      </w:pPr>
      <w:r>
        <w:rPr>
          <w:color w:val="000000"/>
          <w:sz w:val="18"/>
          <w:szCs w:val="18"/>
        </w:rPr>
        <w:t>c. One or both arms has zero event; unable to estimate relative risk.</w:t>
      </w:r>
    </w:p>
    <w:p w14:paraId="12AC97F7" w14:textId="77777777" w:rsidR="00171735" w:rsidRDefault="00171735">
      <w:pPr>
        <w:rPr>
          <w:b/>
          <w:color w:val="000000"/>
          <w:u w:val="single"/>
        </w:rPr>
      </w:pPr>
      <w:r>
        <w:rPr>
          <w:b/>
          <w:color w:val="000000"/>
          <w:u w:val="single"/>
        </w:rPr>
        <w:br w:type="page"/>
      </w:r>
    </w:p>
    <w:p w14:paraId="79F1B921" w14:textId="61BFB5C1" w:rsidR="002D58E4" w:rsidRDefault="00F721D4">
      <w:pPr>
        <w:rPr>
          <w:b/>
          <w:color w:val="000000"/>
          <w:u w:val="single"/>
        </w:rPr>
      </w:pPr>
      <w:r>
        <w:rPr>
          <w:b/>
          <w:color w:val="000000"/>
          <w:u w:val="single"/>
        </w:rPr>
        <w:t>CEPHALOSPORIN vs. PENICILLIN</w:t>
      </w:r>
    </w:p>
    <w:p w14:paraId="49581FC6" w14:textId="77777777" w:rsidR="002D58E4" w:rsidRDefault="00F721D4">
      <w:pPr>
        <w:spacing w:after="0"/>
        <w:rPr>
          <w:b/>
        </w:rPr>
      </w:pPr>
      <w:r>
        <w:rPr>
          <w:b/>
        </w:rPr>
        <w:t>In patients with Lyme arthritis, should 3</w:t>
      </w:r>
      <w:r>
        <w:rPr>
          <w:b/>
          <w:vertAlign w:val="superscript"/>
        </w:rPr>
        <w:t>rd</w:t>
      </w:r>
      <w:r>
        <w:rPr>
          <w:b/>
        </w:rPr>
        <w:t xml:space="preserve"> generation cephalosporins be used over penicillin?</w:t>
      </w:r>
    </w:p>
    <w:p w14:paraId="54C7C146" w14:textId="77777777" w:rsidR="002D58E4" w:rsidRDefault="00F721D4">
      <w:pPr>
        <w:spacing w:after="0"/>
      </w:pPr>
      <w:r>
        <w:t>P: In patients with Lyme arthritis</w:t>
      </w:r>
    </w:p>
    <w:p w14:paraId="0E4E8C2D" w14:textId="77777777" w:rsidR="002D58E4" w:rsidRDefault="00F721D4">
      <w:pPr>
        <w:spacing w:after="0"/>
      </w:pPr>
      <w:r>
        <w:t>I: 3</w:t>
      </w:r>
      <w:r>
        <w:rPr>
          <w:vertAlign w:val="superscript"/>
        </w:rPr>
        <w:t>rd</w:t>
      </w:r>
      <w:r>
        <w:t xml:space="preserve"> generation cephalosporins (ceftriaxone or cefotaxime)</w:t>
      </w:r>
    </w:p>
    <w:p w14:paraId="7664437B" w14:textId="77777777" w:rsidR="002D58E4" w:rsidRPr="002914A2" w:rsidRDefault="00F721D4">
      <w:pPr>
        <w:spacing w:after="0"/>
        <w:rPr>
          <w:lang w:val="fr-CA"/>
        </w:rPr>
      </w:pPr>
      <w:r w:rsidRPr="002914A2">
        <w:rPr>
          <w:lang w:val="fr-CA"/>
        </w:rPr>
        <w:t>C: Penicillin</w:t>
      </w:r>
    </w:p>
    <w:p w14:paraId="7F7DBB2B" w14:textId="77777777" w:rsidR="002D58E4" w:rsidRDefault="00F721D4">
      <w:pPr>
        <w:rPr>
          <w:color w:val="000000"/>
          <w:sz w:val="18"/>
          <w:szCs w:val="18"/>
        </w:rPr>
      </w:pPr>
      <w:r w:rsidRPr="002914A2">
        <w:rPr>
          <w:b/>
          <w:color w:val="000000"/>
          <w:sz w:val="18"/>
          <w:szCs w:val="18"/>
          <w:lang w:val="fr-CA"/>
        </w:rPr>
        <w:t>Bibliography</w:t>
      </w:r>
      <w:r w:rsidRPr="002914A2">
        <w:rPr>
          <w:color w:val="000000"/>
          <w:sz w:val="18"/>
          <w:szCs w:val="18"/>
          <w:lang w:val="fr-CA"/>
        </w:rPr>
        <w:t>: 1. Dattwyler, et al.</w:t>
      </w:r>
      <w:r w:rsidRPr="002914A2">
        <w:rPr>
          <w:lang w:val="fr-CA"/>
        </w:rPr>
        <w:t xml:space="preserve"> </w:t>
      </w:r>
      <w:r w:rsidRPr="00C10663">
        <w:rPr>
          <w:color w:val="000000"/>
          <w:sz w:val="18"/>
          <w:szCs w:val="18"/>
          <w:lang w:val="fr-CA"/>
        </w:rPr>
        <w:t xml:space="preserve">Lancet. 1988 May 28; 1(8596): 1191-4 ; 2. Hassler, et al. </w:t>
      </w:r>
      <w:r>
        <w:rPr>
          <w:color w:val="000000"/>
          <w:sz w:val="18"/>
          <w:szCs w:val="18"/>
        </w:rPr>
        <w:t>Infection. 1990 Jan-Feb; 18(1): 16-20.</w:t>
      </w:r>
    </w:p>
    <w:tbl>
      <w:tblPr>
        <w:tblStyle w:val="afff1"/>
        <w:tblW w:w="15026"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51"/>
        <w:gridCol w:w="837"/>
        <w:gridCol w:w="1005"/>
        <w:gridCol w:w="993"/>
        <w:gridCol w:w="993"/>
        <w:gridCol w:w="1071"/>
        <w:gridCol w:w="913"/>
        <w:gridCol w:w="1559"/>
        <w:gridCol w:w="992"/>
        <w:gridCol w:w="1425"/>
        <w:gridCol w:w="1913"/>
        <w:gridCol w:w="1276"/>
        <w:gridCol w:w="1198"/>
      </w:tblGrid>
      <w:tr w:rsidR="002D58E4" w14:paraId="48DF2C91" w14:textId="77777777">
        <w:tc>
          <w:tcPr>
            <w:tcW w:w="6663"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158259A2" w14:textId="77777777" w:rsidR="002D58E4" w:rsidRDefault="00F721D4">
            <w:pPr>
              <w:spacing w:after="0"/>
              <w:jc w:val="center"/>
              <w:rPr>
                <w:b/>
                <w:sz w:val="20"/>
                <w:szCs w:val="20"/>
              </w:rPr>
            </w:pPr>
            <w:r>
              <w:rPr>
                <w:b/>
                <w:sz w:val="20"/>
                <w:szCs w:val="20"/>
              </w:rPr>
              <w:t>Certainty assessment</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44B55CD0" w14:textId="77777777" w:rsidR="002D58E4" w:rsidRDefault="00F721D4">
            <w:pPr>
              <w:spacing w:after="0"/>
              <w:jc w:val="center"/>
              <w:rPr>
                <w:b/>
                <w:sz w:val="20"/>
                <w:szCs w:val="20"/>
              </w:rPr>
            </w:pPr>
            <w:r>
              <w:rPr>
                <w:b/>
                <w:sz w:val="20"/>
                <w:szCs w:val="20"/>
              </w:rPr>
              <w:t>№ of patients/№ of events</w:t>
            </w: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CB683E8" w14:textId="77777777" w:rsidR="002D58E4" w:rsidRDefault="00F721D4">
            <w:pPr>
              <w:spacing w:after="0"/>
              <w:jc w:val="center"/>
              <w:rPr>
                <w:b/>
                <w:sz w:val="20"/>
                <w:szCs w:val="20"/>
              </w:rPr>
            </w:pPr>
            <w:r>
              <w:rPr>
                <w:b/>
                <w:sz w:val="20"/>
                <w:szCs w:val="20"/>
              </w:rPr>
              <w:t>Effect</w:t>
            </w:r>
          </w:p>
        </w:tc>
        <w:tc>
          <w:tcPr>
            <w:tcW w:w="12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EF4E27" w14:textId="77777777" w:rsidR="002D58E4" w:rsidRDefault="00F721D4">
            <w:pPr>
              <w:spacing w:after="0"/>
              <w:jc w:val="center"/>
              <w:rPr>
                <w:b/>
                <w:sz w:val="20"/>
                <w:szCs w:val="20"/>
              </w:rPr>
            </w:pPr>
            <w:r>
              <w:rPr>
                <w:b/>
                <w:sz w:val="20"/>
                <w:szCs w:val="20"/>
              </w:rPr>
              <w:t>Certainty</w:t>
            </w:r>
          </w:p>
        </w:tc>
        <w:tc>
          <w:tcPr>
            <w:tcW w:w="119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795CCD0" w14:textId="77777777" w:rsidR="002D58E4" w:rsidRDefault="00F721D4">
            <w:pPr>
              <w:spacing w:after="0"/>
              <w:jc w:val="center"/>
              <w:rPr>
                <w:b/>
                <w:sz w:val="20"/>
                <w:szCs w:val="20"/>
              </w:rPr>
            </w:pPr>
            <w:r>
              <w:rPr>
                <w:b/>
                <w:sz w:val="20"/>
                <w:szCs w:val="20"/>
              </w:rPr>
              <w:t>Importance</w:t>
            </w:r>
          </w:p>
        </w:tc>
      </w:tr>
      <w:tr w:rsidR="002D58E4" w14:paraId="7B9E6440" w14:textId="77777777">
        <w:tc>
          <w:tcPr>
            <w:tcW w:w="85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BD965C" w14:textId="77777777" w:rsidR="002D58E4" w:rsidRDefault="00F721D4">
            <w:pPr>
              <w:spacing w:after="0"/>
              <w:jc w:val="center"/>
              <w:rPr>
                <w:b/>
                <w:sz w:val="20"/>
                <w:szCs w:val="20"/>
              </w:rPr>
            </w:pPr>
            <w:r>
              <w:rPr>
                <w:b/>
                <w:sz w:val="20"/>
                <w:szCs w:val="20"/>
              </w:rPr>
              <w:t>№ of studies</w:t>
            </w:r>
          </w:p>
        </w:tc>
        <w:tc>
          <w:tcPr>
            <w:tcW w:w="83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83E1F89" w14:textId="77777777" w:rsidR="002D58E4" w:rsidRDefault="00F721D4">
            <w:pPr>
              <w:spacing w:after="0"/>
              <w:jc w:val="center"/>
              <w:rPr>
                <w:b/>
                <w:sz w:val="20"/>
                <w:szCs w:val="20"/>
              </w:rPr>
            </w:pPr>
            <w:r>
              <w:rPr>
                <w:b/>
                <w:sz w:val="20"/>
                <w:szCs w:val="20"/>
              </w:rPr>
              <w:t>Study design</w:t>
            </w:r>
          </w:p>
        </w:tc>
        <w:tc>
          <w:tcPr>
            <w:tcW w:w="10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4CBBFD" w14:textId="77777777" w:rsidR="002D58E4" w:rsidRDefault="00F721D4">
            <w:pPr>
              <w:spacing w:after="0"/>
              <w:jc w:val="center"/>
              <w:rPr>
                <w:b/>
                <w:sz w:val="20"/>
                <w:szCs w:val="20"/>
              </w:rPr>
            </w:pPr>
            <w:r>
              <w:rPr>
                <w:b/>
                <w:sz w:val="20"/>
                <w:szCs w:val="20"/>
              </w:rPr>
              <w:t>Risk of bias</w:t>
            </w:r>
          </w:p>
        </w:tc>
        <w:tc>
          <w:tcPr>
            <w:tcW w:w="99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4D49DFE" w14:textId="77777777" w:rsidR="002D58E4" w:rsidRDefault="00F721D4">
            <w:pPr>
              <w:spacing w:after="0"/>
              <w:jc w:val="center"/>
              <w:rPr>
                <w:b/>
                <w:sz w:val="20"/>
                <w:szCs w:val="20"/>
              </w:rPr>
            </w:pPr>
            <w:r>
              <w:rPr>
                <w:b/>
                <w:sz w:val="20"/>
                <w:szCs w:val="20"/>
              </w:rPr>
              <w:t>Inconsistency</w:t>
            </w:r>
          </w:p>
        </w:tc>
        <w:tc>
          <w:tcPr>
            <w:tcW w:w="99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BBE053F" w14:textId="77777777" w:rsidR="002D58E4" w:rsidRDefault="00F721D4">
            <w:pPr>
              <w:spacing w:after="0"/>
              <w:jc w:val="center"/>
              <w:rPr>
                <w:b/>
                <w:sz w:val="20"/>
                <w:szCs w:val="20"/>
              </w:rPr>
            </w:pPr>
            <w:r>
              <w:rPr>
                <w:b/>
                <w:sz w:val="20"/>
                <w:szCs w:val="20"/>
              </w:rPr>
              <w:t>Indirectness</w:t>
            </w:r>
          </w:p>
        </w:tc>
        <w:tc>
          <w:tcPr>
            <w:tcW w:w="107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3DC11E9" w14:textId="77777777" w:rsidR="002D58E4" w:rsidRDefault="00F721D4">
            <w:pPr>
              <w:spacing w:after="0"/>
              <w:jc w:val="center"/>
              <w:rPr>
                <w:b/>
                <w:sz w:val="20"/>
                <w:szCs w:val="20"/>
              </w:rPr>
            </w:pPr>
            <w:r>
              <w:rPr>
                <w:b/>
                <w:sz w:val="20"/>
                <w:szCs w:val="20"/>
              </w:rPr>
              <w:t>Imprecision</w:t>
            </w:r>
          </w:p>
        </w:tc>
        <w:tc>
          <w:tcPr>
            <w:tcW w:w="91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CA7F130" w14:textId="77777777" w:rsidR="002D58E4" w:rsidRDefault="00F721D4">
            <w:pPr>
              <w:spacing w:after="0"/>
              <w:jc w:val="center"/>
              <w:rPr>
                <w:b/>
                <w:sz w:val="20"/>
                <w:szCs w:val="20"/>
              </w:rPr>
            </w:pPr>
            <w:r>
              <w:rPr>
                <w:b/>
                <w:sz w:val="20"/>
                <w:szCs w:val="20"/>
              </w:rPr>
              <w:t>Other considerations</w:t>
            </w:r>
          </w:p>
        </w:tc>
        <w:tc>
          <w:tcPr>
            <w:tcW w:w="155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1DC743C" w14:textId="77777777" w:rsidR="002D58E4" w:rsidRDefault="00F721D4">
            <w:pPr>
              <w:spacing w:after="0"/>
              <w:jc w:val="center"/>
              <w:rPr>
                <w:b/>
                <w:sz w:val="20"/>
                <w:szCs w:val="20"/>
              </w:rPr>
            </w:pPr>
            <w:r>
              <w:rPr>
                <w:b/>
                <w:sz w:val="20"/>
                <w:szCs w:val="20"/>
              </w:rPr>
              <w:t>3</w:t>
            </w:r>
            <w:r>
              <w:rPr>
                <w:b/>
                <w:sz w:val="20"/>
                <w:szCs w:val="20"/>
                <w:vertAlign w:val="superscript"/>
              </w:rPr>
              <w:t>rd</w:t>
            </w:r>
            <w:r>
              <w:rPr>
                <w:b/>
                <w:sz w:val="20"/>
                <w:szCs w:val="20"/>
              </w:rPr>
              <w:t xml:space="preserve"> generation Cephalosporins </w:t>
            </w:r>
          </w:p>
        </w:tc>
        <w:tc>
          <w:tcPr>
            <w:tcW w:w="9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1640BAC" w14:textId="77777777" w:rsidR="002D58E4" w:rsidRDefault="00F721D4">
            <w:pPr>
              <w:spacing w:after="0"/>
              <w:jc w:val="center"/>
              <w:rPr>
                <w:b/>
                <w:sz w:val="20"/>
                <w:szCs w:val="20"/>
              </w:rPr>
            </w:pPr>
            <w:r>
              <w:rPr>
                <w:b/>
                <w:sz w:val="20"/>
                <w:szCs w:val="20"/>
              </w:rPr>
              <w:t>Penicillin</w:t>
            </w:r>
          </w:p>
        </w:tc>
        <w:tc>
          <w:tcPr>
            <w:tcW w:w="14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6209249" w14:textId="77777777" w:rsidR="002D58E4" w:rsidRDefault="00F721D4">
            <w:pPr>
              <w:spacing w:after="0"/>
              <w:jc w:val="center"/>
              <w:rPr>
                <w:b/>
                <w:sz w:val="20"/>
                <w:szCs w:val="20"/>
              </w:rPr>
            </w:pPr>
            <w:r>
              <w:rPr>
                <w:b/>
                <w:sz w:val="20"/>
                <w:szCs w:val="20"/>
              </w:rPr>
              <w:t>Relative</w:t>
            </w:r>
            <w:r>
              <w:rPr>
                <w:b/>
                <w:sz w:val="20"/>
                <w:szCs w:val="20"/>
              </w:rPr>
              <w:br/>
              <w:t>(95% CI)</w:t>
            </w:r>
          </w:p>
        </w:tc>
        <w:tc>
          <w:tcPr>
            <w:tcW w:w="191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98DB55" w14:textId="77777777" w:rsidR="002D58E4" w:rsidRDefault="00F721D4">
            <w:pPr>
              <w:spacing w:after="0"/>
              <w:jc w:val="center"/>
              <w:rPr>
                <w:b/>
                <w:sz w:val="20"/>
                <w:szCs w:val="20"/>
              </w:rPr>
            </w:pPr>
            <w:r>
              <w:rPr>
                <w:b/>
                <w:sz w:val="20"/>
                <w:szCs w:val="20"/>
              </w:rPr>
              <w:t>Absolute</w:t>
            </w:r>
            <w:r>
              <w:rPr>
                <w:b/>
                <w:sz w:val="20"/>
                <w:szCs w:val="20"/>
              </w:rPr>
              <w:br/>
              <w:t>(95% CI)</w:t>
            </w:r>
          </w:p>
        </w:tc>
        <w:tc>
          <w:tcPr>
            <w:tcW w:w="12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522F312" w14:textId="77777777" w:rsidR="002D58E4" w:rsidRDefault="002D58E4">
            <w:pPr>
              <w:spacing w:after="0"/>
              <w:rPr>
                <w:b/>
                <w:sz w:val="20"/>
                <w:szCs w:val="20"/>
              </w:rPr>
            </w:pPr>
          </w:p>
        </w:tc>
        <w:tc>
          <w:tcPr>
            <w:tcW w:w="119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8D3ACF1" w14:textId="77777777" w:rsidR="002D58E4" w:rsidRDefault="002D58E4">
            <w:pPr>
              <w:spacing w:after="0"/>
              <w:rPr>
                <w:b/>
                <w:sz w:val="20"/>
                <w:szCs w:val="20"/>
              </w:rPr>
            </w:pPr>
          </w:p>
        </w:tc>
      </w:tr>
      <w:tr w:rsidR="002D58E4" w14:paraId="687A6C79" w14:textId="77777777">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0678EF21" w14:textId="77777777" w:rsidR="002D58E4" w:rsidRDefault="00F721D4">
            <w:pPr>
              <w:spacing w:after="0"/>
              <w:rPr>
                <w:i/>
                <w:sz w:val="20"/>
                <w:szCs w:val="20"/>
              </w:rPr>
            </w:pPr>
            <w:r>
              <w:rPr>
                <w:b/>
                <w:sz w:val="20"/>
                <w:szCs w:val="20"/>
              </w:rPr>
              <w:t xml:space="preserve">Improvement of arthritis after treatment </w:t>
            </w:r>
            <w:r>
              <w:rPr>
                <w:sz w:val="20"/>
                <w:szCs w:val="20"/>
              </w:rPr>
              <w:t>(at 10 to 14 days) *</w:t>
            </w:r>
            <w:r>
              <w:rPr>
                <w:b/>
                <w:sz w:val="20"/>
                <w:szCs w:val="20"/>
              </w:rPr>
              <w:t xml:space="preserve">  </w:t>
            </w:r>
          </w:p>
        </w:tc>
      </w:tr>
      <w:tr w:rsidR="002D58E4" w14:paraId="2B9963D5" w14:textId="77777777">
        <w:tc>
          <w:tcPr>
            <w:tcW w:w="851" w:type="dxa"/>
            <w:tcBorders>
              <w:top w:val="single" w:sz="6" w:space="0" w:color="000000"/>
              <w:left w:val="single" w:sz="6" w:space="0" w:color="000000"/>
              <w:bottom w:val="single" w:sz="6" w:space="0" w:color="000000"/>
              <w:right w:val="single" w:sz="6" w:space="0" w:color="000000"/>
            </w:tcBorders>
          </w:tcPr>
          <w:p w14:paraId="3BA05398" w14:textId="77777777" w:rsidR="002D58E4" w:rsidRDefault="00F721D4">
            <w:pPr>
              <w:spacing w:after="0"/>
              <w:rPr>
                <w:sz w:val="20"/>
                <w:szCs w:val="20"/>
              </w:rPr>
            </w:pPr>
            <w:r>
              <w:rPr>
                <w:sz w:val="20"/>
                <w:szCs w:val="20"/>
              </w:rPr>
              <w:t xml:space="preserve">1 </w:t>
            </w:r>
          </w:p>
        </w:tc>
        <w:tc>
          <w:tcPr>
            <w:tcW w:w="837" w:type="dxa"/>
            <w:tcBorders>
              <w:top w:val="single" w:sz="6" w:space="0" w:color="000000"/>
              <w:left w:val="single" w:sz="6" w:space="0" w:color="000000"/>
              <w:bottom w:val="single" w:sz="6" w:space="0" w:color="000000"/>
              <w:right w:val="single" w:sz="6" w:space="0" w:color="000000"/>
            </w:tcBorders>
          </w:tcPr>
          <w:p w14:paraId="10B3CECE"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1005" w:type="dxa"/>
            <w:tcBorders>
              <w:top w:val="single" w:sz="6" w:space="0" w:color="000000"/>
              <w:left w:val="single" w:sz="6" w:space="0" w:color="000000"/>
              <w:bottom w:val="single" w:sz="6" w:space="0" w:color="000000"/>
              <w:right w:val="single" w:sz="6" w:space="0" w:color="000000"/>
            </w:tcBorders>
          </w:tcPr>
          <w:p w14:paraId="5D116D7B"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993" w:type="dxa"/>
            <w:tcBorders>
              <w:top w:val="single" w:sz="6" w:space="0" w:color="000000"/>
              <w:left w:val="single" w:sz="6" w:space="0" w:color="000000"/>
              <w:bottom w:val="single" w:sz="6" w:space="0" w:color="000000"/>
              <w:right w:val="single" w:sz="6" w:space="0" w:color="000000"/>
            </w:tcBorders>
          </w:tcPr>
          <w:p w14:paraId="00A1EDD1"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5F2D0E24"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5E846327" w14:textId="77777777" w:rsidR="002D58E4" w:rsidRDefault="00F721D4">
            <w:pPr>
              <w:spacing w:after="0"/>
              <w:rPr>
                <w:sz w:val="20"/>
                <w:szCs w:val="20"/>
              </w:rPr>
            </w:pPr>
            <w:r>
              <w:rPr>
                <w:sz w:val="20"/>
                <w:szCs w:val="20"/>
              </w:rPr>
              <w:t xml:space="preserve">very 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17DCBFF0" w14:textId="77777777" w:rsidR="002D58E4" w:rsidRDefault="00F721D4">
            <w:pPr>
              <w:spacing w:after="0"/>
              <w:rPr>
                <w:sz w:val="20"/>
                <w:szCs w:val="20"/>
              </w:rPr>
            </w:pPr>
            <w:r>
              <w:rPr>
                <w:sz w:val="20"/>
                <w:szCs w:val="20"/>
              </w:rPr>
              <w:t xml:space="preserve">none </w:t>
            </w:r>
          </w:p>
        </w:tc>
        <w:tc>
          <w:tcPr>
            <w:tcW w:w="1559" w:type="dxa"/>
            <w:tcBorders>
              <w:top w:val="single" w:sz="6" w:space="0" w:color="000000"/>
              <w:left w:val="single" w:sz="6" w:space="0" w:color="000000"/>
              <w:bottom w:val="single" w:sz="6" w:space="0" w:color="000000"/>
              <w:right w:val="single" w:sz="6" w:space="0" w:color="000000"/>
            </w:tcBorders>
          </w:tcPr>
          <w:p w14:paraId="0ABC1BD4" w14:textId="77777777" w:rsidR="002D58E4" w:rsidRDefault="00F721D4">
            <w:pPr>
              <w:spacing w:after="0"/>
              <w:jc w:val="center"/>
              <w:rPr>
                <w:sz w:val="20"/>
                <w:szCs w:val="20"/>
              </w:rPr>
            </w:pPr>
            <w:r>
              <w:rPr>
                <w:sz w:val="20"/>
                <w:szCs w:val="20"/>
              </w:rPr>
              <w:t xml:space="preserve">9/9 </w:t>
            </w:r>
          </w:p>
          <w:p w14:paraId="6D844BFC" w14:textId="77777777" w:rsidR="002D58E4" w:rsidRDefault="00F721D4">
            <w:pPr>
              <w:spacing w:after="0"/>
              <w:jc w:val="center"/>
              <w:rPr>
                <w:sz w:val="20"/>
                <w:szCs w:val="20"/>
              </w:rPr>
            </w:pPr>
            <w:r>
              <w:rPr>
                <w:sz w:val="20"/>
                <w:szCs w:val="20"/>
              </w:rPr>
              <w:t xml:space="preserve">(100.0%) </w:t>
            </w:r>
          </w:p>
        </w:tc>
        <w:tc>
          <w:tcPr>
            <w:tcW w:w="992" w:type="dxa"/>
            <w:tcBorders>
              <w:top w:val="single" w:sz="6" w:space="0" w:color="000000"/>
              <w:left w:val="single" w:sz="6" w:space="0" w:color="000000"/>
              <w:bottom w:val="single" w:sz="6" w:space="0" w:color="000000"/>
              <w:right w:val="single" w:sz="6" w:space="0" w:color="000000"/>
            </w:tcBorders>
          </w:tcPr>
          <w:p w14:paraId="0763F6B1" w14:textId="77777777" w:rsidR="002D58E4" w:rsidRDefault="00F721D4">
            <w:pPr>
              <w:spacing w:after="0"/>
              <w:jc w:val="center"/>
              <w:rPr>
                <w:sz w:val="20"/>
                <w:szCs w:val="20"/>
              </w:rPr>
            </w:pPr>
            <w:r>
              <w:rPr>
                <w:sz w:val="20"/>
                <w:szCs w:val="20"/>
              </w:rPr>
              <w:t xml:space="preserve">2/7 </w:t>
            </w:r>
          </w:p>
          <w:p w14:paraId="20FB8665" w14:textId="77777777" w:rsidR="002D58E4" w:rsidRDefault="00F721D4">
            <w:pPr>
              <w:spacing w:after="0"/>
              <w:jc w:val="center"/>
              <w:rPr>
                <w:sz w:val="20"/>
                <w:szCs w:val="20"/>
              </w:rPr>
            </w:pPr>
            <w:r>
              <w:rPr>
                <w:sz w:val="20"/>
                <w:szCs w:val="20"/>
              </w:rPr>
              <w:t xml:space="preserve">(28.6%) </w:t>
            </w:r>
          </w:p>
        </w:tc>
        <w:tc>
          <w:tcPr>
            <w:tcW w:w="1425" w:type="dxa"/>
            <w:tcBorders>
              <w:top w:val="single" w:sz="6" w:space="0" w:color="000000"/>
              <w:left w:val="single" w:sz="6" w:space="0" w:color="000000"/>
              <w:bottom w:val="single" w:sz="6" w:space="0" w:color="000000"/>
              <w:right w:val="single" w:sz="6" w:space="0" w:color="000000"/>
            </w:tcBorders>
          </w:tcPr>
          <w:p w14:paraId="6C5F9CF7" w14:textId="77777777" w:rsidR="002D58E4" w:rsidRDefault="00F721D4">
            <w:pPr>
              <w:spacing w:after="0"/>
              <w:jc w:val="center"/>
              <w:rPr>
                <w:b/>
                <w:sz w:val="20"/>
                <w:szCs w:val="20"/>
              </w:rPr>
            </w:pPr>
            <w:r>
              <w:rPr>
                <w:b/>
                <w:sz w:val="20"/>
                <w:szCs w:val="20"/>
              </w:rPr>
              <w:t>RR 3.04</w:t>
            </w:r>
            <w:r>
              <w:rPr>
                <w:b/>
                <w:sz w:val="20"/>
                <w:szCs w:val="20"/>
              </w:rPr>
              <w:br/>
              <w:t xml:space="preserve">(1.08 to 8.58) </w:t>
            </w:r>
          </w:p>
        </w:tc>
        <w:tc>
          <w:tcPr>
            <w:tcW w:w="1913" w:type="dxa"/>
            <w:tcBorders>
              <w:top w:val="single" w:sz="6" w:space="0" w:color="000000"/>
              <w:left w:val="single" w:sz="6" w:space="0" w:color="000000"/>
              <w:bottom w:val="single" w:sz="6" w:space="0" w:color="000000"/>
              <w:right w:val="single" w:sz="6" w:space="0" w:color="000000"/>
            </w:tcBorders>
          </w:tcPr>
          <w:p w14:paraId="2B15AC7D" w14:textId="77777777" w:rsidR="002D58E4" w:rsidRDefault="00F721D4">
            <w:pPr>
              <w:spacing w:after="0"/>
              <w:jc w:val="center"/>
              <w:rPr>
                <w:b/>
                <w:sz w:val="20"/>
                <w:szCs w:val="20"/>
              </w:rPr>
            </w:pPr>
            <w:r>
              <w:rPr>
                <w:b/>
                <w:sz w:val="20"/>
                <w:szCs w:val="20"/>
              </w:rPr>
              <w:t>583 more per 1,000</w:t>
            </w:r>
            <w:r>
              <w:rPr>
                <w:b/>
                <w:sz w:val="20"/>
                <w:szCs w:val="20"/>
              </w:rPr>
              <w:br/>
              <w:t xml:space="preserve">(from 23 more to 1,000 more) </w:t>
            </w:r>
          </w:p>
        </w:tc>
        <w:tc>
          <w:tcPr>
            <w:tcW w:w="1276" w:type="dxa"/>
            <w:tcBorders>
              <w:top w:val="single" w:sz="6" w:space="0" w:color="000000"/>
              <w:left w:val="single" w:sz="6" w:space="0" w:color="000000"/>
              <w:bottom w:val="single" w:sz="6" w:space="0" w:color="000000"/>
              <w:right w:val="single" w:sz="6" w:space="0" w:color="000000"/>
            </w:tcBorders>
          </w:tcPr>
          <w:p w14:paraId="7986FB84"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VERY LOW</w:t>
            </w:r>
          </w:p>
        </w:tc>
        <w:tc>
          <w:tcPr>
            <w:tcW w:w="1198" w:type="dxa"/>
            <w:tcBorders>
              <w:top w:val="single" w:sz="6" w:space="0" w:color="000000"/>
              <w:left w:val="single" w:sz="6" w:space="0" w:color="000000"/>
              <w:bottom w:val="single" w:sz="6" w:space="0" w:color="000000"/>
              <w:right w:val="single" w:sz="6" w:space="0" w:color="000000"/>
            </w:tcBorders>
          </w:tcPr>
          <w:p w14:paraId="4A6BFB6D" w14:textId="77777777" w:rsidR="002D58E4" w:rsidRDefault="00F721D4">
            <w:pPr>
              <w:spacing w:after="0"/>
              <w:rPr>
                <w:sz w:val="20"/>
                <w:szCs w:val="20"/>
              </w:rPr>
            </w:pPr>
            <w:r>
              <w:rPr>
                <w:sz w:val="20"/>
                <w:szCs w:val="20"/>
              </w:rPr>
              <w:t xml:space="preserve">CRITICAL </w:t>
            </w:r>
          </w:p>
        </w:tc>
      </w:tr>
      <w:tr w:rsidR="002D58E4" w14:paraId="75562AF0" w14:textId="77777777">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697B70C" w14:textId="77777777" w:rsidR="002D58E4" w:rsidRDefault="00F721D4">
            <w:pPr>
              <w:spacing w:after="0"/>
              <w:rPr>
                <w:i/>
                <w:sz w:val="20"/>
                <w:szCs w:val="20"/>
              </w:rPr>
            </w:pPr>
            <w:r>
              <w:rPr>
                <w:b/>
                <w:sz w:val="20"/>
                <w:szCs w:val="20"/>
              </w:rPr>
              <w:t xml:space="preserve">Resolution of arthritis </w:t>
            </w:r>
            <w:r>
              <w:rPr>
                <w:sz w:val="20"/>
                <w:szCs w:val="20"/>
              </w:rPr>
              <w:t xml:space="preserve">(within 3-6 months) </w:t>
            </w:r>
          </w:p>
        </w:tc>
      </w:tr>
      <w:tr w:rsidR="002D58E4" w14:paraId="69A2B273" w14:textId="77777777">
        <w:tc>
          <w:tcPr>
            <w:tcW w:w="851" w:type="dxa"/>
            <w:tcBorders>
              <w:top w:val="single" w:sz="6" w:space="0" w:color="000000"/>
              <w:left w:val="single" w:sz="6" w:space="0" w:color="000000"/>
              <w:bottom w:val="single" w:sz="6" w:space="0" w:color="000000"/>
              <w:right w:val="single" w:sz="6" w:space="0" w:color="000000"/>
            </w:tcBorders>
          </w:tcPr>
          <w:p w14:paraId="05BA2264" w14:textId="77777777" w:rsidR="002D58E4" w:rsidRDefault="00F721D4">
            <w:pPr>
              <w:spacing w:after="0"/>
              <w:rPr>
                <w:sz w:val="20"/>
                <w:szCs w:val="20"/>
              </w:rPr>
            </w:pPr>
            <w:r>
              <w:rPr>
                <w:sz w:val="20"/>
                <w:szCs w:val="20"/>
              </w:rPr>
              <w:t xml:space="preserve">2 </w:t>
            </w:r>
          </w:p>
        </w:tc>
        <w:tc>
          <w:tcPr>
            <w:tcW w:w="837" w:type="dxa"/>
            <w:tcBorders>
              <w:top w:val="single" w:sz="6" w:space="0" w:color="000000"/>
              <w:left w:val="single" w:sz="6" w:space="0" w:color="000000"/>
              <w:bottom w:val="single" w:sz="6" w:space="0" w:color="000000"/>
              <w:right w:val="single" w:sz="6" w:space="0" w:color="000000"/>
            </w:tcBorders>
          </w:tcPr>
          <w:p w14:paraId="50C60AB4" w14:textId="77777777" w:rsidR="002D58E4" w:rsidRDefault="00F721D4">
            <w:pPr>
              <w:spacing w:after="0"/>
              <w:rPr>
                <w:sz w:val="20"/>
                <w:szCs w:val="20"/>
              </w:rPr>
            </w:pPr>
            <w:r>
              <w:rPr>
                <w:sz w:val="20"/>
                <w:szCs w:val="20"/>
              </w:rPr>
              <w:t xml:space="preserve">RCT </w:t>
            </w:r>
            <w:r>
              <w:rPr>
                <w:sz w:val="20"/>
                <w:szCs w:val="20"/>
                <w:vertAlign w:val="superscript"/>
              </w:rPr>
              <w:t>1,2</w:t>
            </w:r>
          </w:p>
        </w:tc>
        <w:tc>
          <w:tcPr>
            <w:tcW w:w="1005" w:type="dxa"/>
            <w:tcBorders>
              <w:top w:val="single" w:sz="6" w:space="0" w:color="000000"/>
              <w:left w:val="single" w:sz="6" w:space="0" w:color="000000"/>
              <w:bottom w:val="single" w:sz="6" w:space="0" w:color="000000"/>
              <w:right w:val="single" w:sz="6" w:space="0" w:color="000000"/>
            </w:tcBorders>
          </w:tcPr>
          <w:p w14:paraId="589573F4"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993" w:type="dxa"/>
            <w:tcBorders>
              <w:top w:val="single" w:sz="6" w:space="0" w:color="000000"/>
              <w:left w:val="single" w:sz="6" w:space="0" w:color="000000"/>
              <w:bottom w:val="single" w:sz="6" w:space="0" w:color="000000"/>
              <w:right w:val="single" w:sz="6" w:space="0" w:color="000000"/>
            </w:tcBorders>
          </w:tcPr>
          <w:p w14:paraId="788E4C4D" w14:textId="77777777" w:rsidR="002D58E4" w:rsidRDefault="00F721D4">
            <w:pPr>
              <w:spacing w:after="0"/>
              <w:rPr>
                <w:sz w:val="20"/>
                <w:szCs w:val="20"/>
              </w:rPr>
            </w:pPr>
            <w:r>
              <w:rPr>
                <w:sz w:val="20"/>
                <w:szCs w:val="20"/>
              </w:rPr>
              <w:t xml:space="preserve">serious </w:t>
            </w:r>
            <w:r>
              <w:rPr>
                <w:sz w:val="20"/>
                <w:szCs w:val="20"/>
                <w:vertAlign w:val="superscript"/>
              </w:rPr>
              <w:t>c</w:t>
            </w:r>
          </w:p>
        </w:tc>
        <w:tc>
          <w:tcPr>
            <w:tcW w:w="993" w:type="dxa"/>
            <w:tcBorders>
              <w:top w:val="single" w:sz="6" w:space="0" w:color="000000"/>
              <w:left w:val="single" w:sz="6" w:space="0" w:color="000000"/>
              <w:bottom w:val="single" w:sz="6" w:space="0" w:color="000000"/>
              <w:right w:val="single" w:sz="6" w:space="0" w:color="000000"/>
            </w:tcBorders>
          </w:tcPr>
          <w:p w14:paraId="06121F10"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03E4A4F"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70B57397" w14:textId="77777777" w:rsidR="002D58E4" w:rsidRDefault="00F721D4">
            <w:pPr>
              <w:spacing w:after="0"/>
              <w:rPr>
                <w:sz w:val="20"/>
                <w:szCs w:val="20"/>
              </w:rPr>
            </w:pPr>
            <w:r>
              <w:rPr>
                <w:sz w:val="20"/>
                <w:szCs w:val="20"/>
              </w:rPr>
              <w:t xml:space="preserve">none </w:t>
            </w:r>
          </w:p>
        </w:tc>
        <w:tc>
          <w:tcPr>
            <w:tcW w:w="1559" w:type="dxa"/>
            <w:tcBorders>
              <w:top w:val="single" w:sz="6" w:space="0" w:color="000000"/>
              <w:left w:val="single" w:sz="6" w:space="0" w:color="000000"/>
              <w:bottom w:val="single" w:sz="6" w:space="0" w:color="000000"/>
              <w:right w:val="single" w:sz="6" w:space="0" w:color="000000"/>
            </w:tcBorders>
          </w:tcPr>
          <w:p w14:paraId="7C205F37" w14:textId="77777777" w:rsidR="002D58E4" w:rsidRDefault="00F721D4">
            <w:pPr>
              <w:spacing w:after="0"/>
              <w:jc w:val="center"/>
              <w:rPr>
                <w:sz w:val="20"/>
                <w:szCs w:val="20"/>
              </w:rPr>
            </w:pPr>
            <w:r>
              <w:rPr>
                <w:sz w:val="20"/>
                <w:szCs w:val="20"/>
              </w:rPr>
              <w:t xml:space="preserve">30/52 </w:t>
            </w:r>
          </w:p>
          <w:p w14:paraId="00F1B6D9" w14:textId="77777777" w:rsidR="002D58E4" w:rsidRDefault="00F721D4">
            <w:pPr>
              <w:spacing w:after="0"/>
              <w:jc w:val="center"/>
              <w:rPr>
                <w:sz w:val="20"/>
                <w:szCs w:val="20"/>
              </w:rPr>
            </w:pPr>
            <w:r>
              <w:rPr>
                <w:sz w:val="20"/>
                <w:szCs w:val="20"/>
              </w:rPr>
              <w:t xml:space="preserve">(57.7%) </w:t>
            </w:r>
          </w:p>
        </w:tc>
        <w:tc>
          <w:tcPr>
            <w:tcW w:w="992" w:type="dxa"/>
            <w:tcBorders>
              <w:top w:val="single" w:sz="6" w:space="0" w:color="000000"/>
              <w:left w:val="single" w:sz="6" w:space="0" w:color="000000"/>
              <w:bottom w:val="single" w:sz="6" w:space="0" w:color="000000"/>
              <w:right w:val="single" w:sz="6" w:space="0" w:color="000000"/>
            </w:tcBorders>
          </w:tcPr>
          <w:p w14:paraId="54004BAB" w14:textId="77777777" w:rsidR="002D58E4" w:rsidRDefault="00F721D4">
            <w:pPr>
              <w:spacing w:after="0"/>
              <w:jc w:val="center"/>
              <w:rPr>
                <w:sz w:val="20"/>
                <w:szCs w:val="20"/>
              </w:rPr>
            </w:pPr>
            <w:r>
              <w:rPr>
                <w:sz w:val="20"/>
                <w:szCs w:val="20"/>
              </w:rPr>
              <w:t xml:space="preserve">13/44 (29.5%) </w:t>
            </w:r>
          </w:p>
        </w:tc>
        <w:tc>
          <w:tcPr>
            <w:tcW w:w="1425" w:type="dxa"/>
            <w:tcBorders>
              <w:top w:val="single" w:sz="6" w:space="0" w:color="000000"/>
              <w:left w:val="single" w:sz="6" w:space="0" w:color="000000"/>
              <w:bottom w:val="single" w:sz="6" w:space="0" w:color="000000"/>
              <w:right w:val="single" w:sz="6" w:space="0" w:color="000000"/>
            </w:tcBorders>
          </w:tcPr>
          <w:p w14:paraId="2A63B8BD" w14:textId="77777777" w:rsidR="002D58E4" w:rsidRDefault="00F721D4">
            <w:pPr>
              <w:spacing w:after="0"/>
              <w:jc w:val="center"/>
              <w:rPr>
                <w:sz w:val="20"/>
                <w:szCs w:val="20"/>
              </w:rPr>
            </w:pPr>
            <w:r>
              <w:rPr>
                <w:sz w:val="20"/>
                <w:szCs w:val="20"/>
              </w:rPr>
              <w:t>RR 1.97</w:t>
            </w:r>
            <w:r>
              <w:rPr>
                <w:sz w:val="20"/>
                <w:szCs w:val="20"/>
              </w:rPr>
              <w:br/>
              <w:t xml:space="preserve">(0.24 to 16.25) </w:t>
            </w:r>
          </w:p>
        </w:tc>
        <w:tc>
          <w:tcPr>
            <w:tcW w:w="1913" w:type="dxa"/>
            <w:tcBorders>
              <w:top w:val="single" w:sz="6" w:space="0" w:color="000000"/>
              <w:left w:val="single" w:sz="6" w:space="0" w:color="000000"/>
              <w:bottom w:val="single" w:sz="6" w:space="0" w:color="000000"/>
              <w:right w:val="single" w:sz="6" w:space="0" w:color="000000"/>
            </w:tcBorders>
          </w:tcPr>
          <w:p w14:paraId="4EB2F2E4" w14:textId="77777777" w:rsidR="002D58E4" w:rsidRDefault="00F721D4">
            <w:pPr>
              <w:spacing w:after="0"/>
              <w:jc w:val="center"/>
              <w:rPr>
                <w:sz w:val="20"/>
                <w:szCs w:val="20"/>
              </w:rPr>
            </w:pPr>
            <w:r>
              <w:rPr>
                <w:sz w:val="20"/>
                <w:szCs w:val="20"/>
              </w:rPr>
              <w:t>287 more per 1,000</w:t>
            </w:r>
            <w:r>
              <w:rPr>
                <w:sz w:val="20"/>
                <w:szCs w:val="20"/>
              </w:rPr>
              <w:br/>
              <w:t xml:space="preserve">(from 225 fewer to 1,000 more) </w:t>
            </w:r>
          </w:p>
        </w:tc>
        <w:tc>
          <w:tcPr>
            <w:tcW w:w="1276" w:type="dxa"/>
            <w:tcBorders>
              <w:top w:val="single" w:sz="6" w:space="0" w:color="000000"/>
              <w:left w:val="single" w:sz="6" w:space="0" w:color="000000"/>
              <w:bottom w:val="single" w:sz="6" w:space="0" w:color="000000"/>
              <w:right w:val="single" w:sz="6" w:space="0" w:color="000000"/>
            </w:tcBorders>
          </w:tcPr>
          <w:p w14:paraId="421CF290"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VERY LOW </w:t>
            </w:r>
          </w:p>
        </w:tc>
        <w:tc>
          <w:tcPr>
            <w:tcW w:w="1198" w:type="dxa"/>
            <w:tcBorders>
              <w:top w:val="single" w:sz="6" w:space="0" w:color="000000"/>
              <w:left w:val="single" w:sz="6" w:space="0" w:color="000000"/>
              <w:bottom w:val="single" w:sz="6" w:space="0" w:color="000000"/>
              <w:right w:val="single" w:sz="6" w:space="0" w:color="000000"/>
            </w:tcBorders>
          </w:tcPr>
          <w:p w14:paraId="6B926111" w14:textId="77777777" w:rsidR="002D58E4" w:rsidRDefault="00F721D4">
            <w:pPr>
              <w:spacing w:after="0"/>
              <w:rPr>
                <w:sz w:val="20"/>
                <w:szCs w:val="20"/>
              </w:rPr>
            </w:pPr>
            <w:r>
              <w:rPr>
                <w:sz w:val="20"/>
                <w:szCs w:val="20"/>
              </w:rPr>
              <w:t xml:space="preserve">CRITICAL </w:t>
            </w:r>
          </w:p>
        </w:tc>
      </w:tr>
      <w:tr w:rsidR="002D58E4" w14:paraId="4988945D" w14:textId="77777777">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21A4C790" w14:textId="77777777" w:rsidR="002D58E4" w:rsidRDefault="00F721D4">
            <w:pPr>
              <w:spacing w:after="0"/>
              <w:rPr>
                <w:b/>
                <w:sz w:val="20"/>
                <w:szCs w:val="20"/>
              </w:rPr>
            </w:pPr>
            <w:r>
              <w:rPr>
                <w:b/>
                <w:sz w:val="20"/>
                <w:szCs w:val="20"/>
              </w:rPr>
              <w:t xml:space="preserve">Improvement of arthritis </w:t>
            </w:r>
            <w:r>
              <w:rPr>
                <w:sz w:val="20"/>
                <w:szCs w:val="20"/>
              </w:rPr>
              <w:t>(within 3-6 months) *</w:t>
            </w:r>
          </w:p>
        </w:tc>
      </w:tr>
      <w:tr w:rsidR="002D58E4" w14:paraId="76550063" w14:textId="77777777">
        <w:tc>
          <w:tcPr>
            <w:tcW w:w="851" w:type="dxa"/>
            <w:tcBorders>
              <w:top w:val="single" w:sz="6" w:space="0" w:color="000000"/>
              <w:left w:val="single" w:sz="6" w:space="0" w:color="000000"/>
              <w:bottom w:val="single" w:sz="6" w:space="0" w:color="000000"/>
              <w:right w:val="single" w:sz="6" w:space="0" w:color="000000"/>
            </w:tcBorders>
          </w:tcPr>
          <w:p w14:paraId="17B07E57" w14:textId="77777777" w:rsidR="002D58E4" w:rsidRDefault="00F721D4">
            <w:pPr>
              <w:spacing w:after="0"/>
              <w:rPr>
                <w:sz w:val="20"/>
                <w:szCs w:val="20"/>
              </w:rPr>
            </w:pPr>
            <w:r>
              <w:rPr>
                <w:sz w:val="20"/>
                <w:szCs w:val="20"/>
              </w:rPr>
              <w:t xml:space="preserve">1 </w:t>
            </w:r>
          </w:p>
        </w:tc>
        <w:tc>
          <w:tcPr>
            <w:tcW w:w="837" w:type="dxa"/>
            <w:tcBorders>
              <w:top w:val="single" w:sz="6" w:space="0" w:color="000000"/>
              <w:left w:val="single" w:sz="6" w:space="0" w:color="000000"/>
              <w:bottom w:val="single" w:sz="6" w:space="0" w:color="000000"/>
              <w:right w:val="single" w:sz="6" w:space="0" w:color="000000"/>
            </w:tcBorders>
          </w:tcPr>
          <w:p w14:paraId="68EB9F2D" w14:textId="77777777" w:rsidR="002D58E4" w:rsidRDefault="00F721D4">
            <w:pPr>
              <w:spacing w:after="0"/>
              <w:rPr>
                <w:sz w:val="20"/>
                <w:szCs w:val="20"/>
              </w:rPr>
            </w:pPr>
            <w:r>
              <w:rPr>
                <w:sz w:val="20"/>
                <w:szCs w:val="20"/>
              </w:rPr>
              <w:t xml:space="preserve">RCT </w:t>
            </w:r>
            <w:r>
              <w:rPr>
                <w:sz w:val="20"/>
                <w:szCs w:val="20"/>
                <w:vertAlign w:val="superscript"/>
              </w:rPr>
              <w:t>2</w:t>
            </w:r>
            <w:r>
              <w:rPr>
                <w:sz w:val="20"/>
                <w:szCs w:val="20"/>
              </w:rPr>
              <w:t xml:space="preserve"> </w:t>
            </w:r>
          </w:p>
        </w:tc>
        <w:tc>
          <w:tcPr>
            <w:tcW w:w="1005" w:type="dxa"/>
            <w:tcBorders>
              <w:top w:val="single" w:sz="6" w:space="0" w:color="000000"/>
              <w:left w:val="single" w:sz="6" w:space="0" w:color="000000"/>
              <w:bottom w:val="single" w:sz="6" w:space="0" w:color="000000"/>
              <w:right w:val="single" w:sz="6" w:space="0" w:color="000000"/>
            </w:tcBorders>
          </w:tcPr>
          <w:p w14:paraId="32467DCE"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5555165C"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3C47AF0C"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25134138"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6EB9BD5C" w14:textId="77777777" w:rsidR="002D58E4" w:rsidRDefault="00F721D4">
            <w:pPr>
              <w:spacing w:after="0"/>
              <w:rPr>
                <w:sz w:val="20"/>
                <w:szCs w:val="20"/>
              </w:rPr>
            </w:pPr>
            <w:r>
              <w:rPr>
                <w:sz w:val="20"/>
                <w:szCs w:val="20"/>
              </w:rPr>
              <w:t xml:space="preserve">none </w:t>
            </w:r>
          </w:p>
        </w:tc>
        <w:tc>
          <w:tcPr>
            <w:tcW w:w="1559" w:type="dxa"/>
            <w:tcBorders>
              <w:top w:val="single" w:sz="6" w:space="0" w:color="000000"/>
              <w:left w:val="single" w:sz="6" w:space="0" w:color="000000"/>
              <w:bottom w:val="single" w:sz="6" w:space="0" w:color="000000"/>
              <w:right w:val="single" w:sz="6" w:space="0" w:color="000000"/>
            </w:tcBorders>
          </w:tcPr>
          <w:p w14:paraId="66A25F37" w14:textId="77777777" w:rsidR="002D58E4" w:rsidRDefault="00F721D4">
            <w:pPr>
              <w:spacing w:after="0"/>
              <w:jc w:val="center"/>
              <w:rPr>
                <w:sz w:val="20"/>
                <w:szCs w:val="20"/>
              </w:rPr>
            </w:pPr>
            <w:r>
              <w:rPr>
                <w:sz w:val="20"/>
                <w:szCs w:val="20"/>
              </w:rPr>
              <w:t xml:space="preserve">31/39 </w:t>
            </w:r>
          </w:p>
          <w:p w14:paraId="7E2BB74A" w14:textId="77777777" w:rsidR="002D58E4" w:rsidRDefault="00F721D4">
            <w:pPr>
              <w:spacing w:after="0"/>
              <w:jc w:val="center"/>
              <w:rPr>
                <w:sz w:val="20"/>
                <w:szCs w:val="20"/>
              </w:rPr>
            </w:pPr>
            <w:r>
              <w:rPr>
                <w:sz w:val="20"/>
                <w:szCs w:val="20"/>
              </w:rPr>
              <w:t xml:space="preserve">(79.5%) </w:t>
            </w:r>
          </w:p>
        </w:tc>
        <w:tc>
          <w:tcPr>
            <w:tcW w:w="992" w:type="dxa"/>
            <w:tcBorders>
              <w:top w:val="single" w:sz="6" w:space="0" w:color="000000"/>
              <w:left w:val="single" w:sz="6" w:space="0" w:color="000000"/>
              <w:bottom w:val="single" w:sz="6" w:space="0" w:color="000000"/>
              <w:right w:val="single" w:sz="6" w:space="0" w:color="000000"/>
            </w:tcBorders>
          </w:tcPr>
          <w:p w14:paraId="6E238AD1" w14:textId="77777777" w:rsidR="002D58E4" w:rsidRDefault="00F721D4">
            <w:pPr>
              <w:spacing w:after="0"/>
              <w:jc w:val="center"/>
              <w:rPr>
                <w:sz w:val="20"/>
                <w:szCs w:val="20"/>
              </w:rPr>
            </w:pPr>
            <w:r>
              <w:rPr>
                <w:sz w:val="20"/>
                <w:szCs w:val="20"/>
              </w:rPr>
              <w:t xml:space="preserve">17/34 (50.0%) </w:t>
            </w:r>
          </w:p>
        </w:tc>
        <w:tc>
          <w:tcPr>
            <w:tcW w:w="1425" w:type="dxa"/>
            <w:tcBorders>
              <w:top w:val="single" w:sz="6" w:space="0" w:color="000000"/>
              <w:left w:val="single" w:sz="6" w:space="0" w:color="000000"/>
              <w:bottom w:val="single" w:sz="6" w:space="0" w:color="000000"/>
              <w:right w:val="single" w:sz="6" w:space="0" w:color="000000"/>
            </w:tcBorders>
          </w:tcPr>
          <w:p w14:paraId="6491545B" w14:textId="77777777" w:rsidR="002D58E4" w:rsidRDefault="00F721D4">
            <w:pPr>
              <w:spacing w:after="0"/>
              <w:jc w:val="center"/>
              <w:rPr>
                <w:b/>
                <w:sz w:val="20"/>
                <w:szCs w:val="20"/>
              </w:rPr>
            </w:pPr>
            <w:r>
              <w:rPr>
                <w:b/>
                <w:sz w:val="20"/>
                <w:szCs w:val="20"/>
              </w:rPr>
              <w:t>RR 1.59</w:t>
            </w:r>
            <w:r>
              <w:rPr>
                <w:b/>
                <w:sz w:val="20"/>
                <w:szCs w:val="20"/>
              </w:rPr>
              <w:br/>
              <w:t xml:space="preserve">(1.10 to 2.31) </w:t>
            </w:r>
          </w:p>
        </w:tc>
        <w:tc>
          <w:tcPr>
            <w:tcW w:w="1913" w:type="dxa"/>
            <w:tcBorders>
              <w:top w:val="single" w:sz="6" w:space="0" w:color="000000"/>
              <w:left w:val="single" w:sz="6" w:space="0" w:color="000000"/>
              <w:bottom w:val="single" w:sz="6" w:space="0" w:color="000000"/>
              <w:right w:val="single" w:sz="6" w:space="0" w:color="000000"/>
            </w:tcBorders>
          </w:tcPr>
          <w:p w14:paraId="365E1E92" w14:textId="77777777" w:rsidR="002D58E4" w:rsidRDefault="00F721D4">
            <w:pPr>
              <w:spacing w:after="0"/>
              <w:jc w:val="center"/>
              <w:rPr>
                <w:b/>
                <w:sz w:val="20"/>
                <w:szCs w:val="20"/>
              </w:rPr>
            </w:pPr>
            <w:r>
              <w:rPr>
                <w:b/>
                <w:sz w:val="20"/>
                <w:szCs w:val="20"/>
              </w:rPr>
              <w:t>295 more per 1,000</w:t>
            </w:r>
            <w:r>
              <w:rPr>
                <w:b/>
                <w:sz w:val="20"/>
                <w:szCs w:val="20"/>
              </w:rPr>
              <w:br/>
              <w:t xml:space="preserve">(from 50 more to 655 more) </w:t>
            </w:r>
          </w:p>
        </w:tc>
        <w:tc>
          <w:tcPr>
            <w:tcW w:w="1276" w:type="dxa"/>
            <w:tcBorders>
              <w:top w:val="single" w:sz="6" w:space="0" w:color="000000"/>
              <w:left w:val="single" w:sz="6" w:space="0" w:color="000000"/>
              <w:bottom w:val="single" w:sz="6" w:space="0" w:color="000000"/>
              <w:right w:val="single" w:sz="6" w:space="0" w:color="000000"/>
            </w:tcBorders>
          </w:tcPr>
          <w:p w14:paraId="53C79603"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98" w:type="dxa"/>
            <w:tcBorders>
              <w:top w:val="single" w:sz="6" w:space="0" w:color="000000"/>
              <w:left w:val="single" w:sz="6" w:space="0" w:color="000000"/>
              <w:bottom w:val="single" w:sz="6" w:space="0" w:color="000000"/>
              <w:right w:val="single" w:sz="6" w:space="0" w:color="000000"/>
            </w:tcBorders>
          </w:tcPr>
          <w:p w14:paraId="2AD2DC2A" w14:textId="77777777" w:rsidR="002D58E4" w:rsidRDefault="00F721D4">
            <w:pPr>
              <w:spacing w:after="0"/>
              <w:rPr>
                <w:sz w:val="20"/>
                <w:szCs w:val="20"/>
              </w:rPr>
            </w:pPr>
            <w:r>
              <w:rPr>
                <w:sz w:val="20"/>
                <w:szCs w:val="20"/>
              </w:rPr>
              <w:t xml:space="preserve">CRITICAL </w:t>
            </w:r>
          </w:p>
        </w:tc>
      </w:tr>
      <w:tr w:rsidR="002D58E4" w14:paraId="3B8F30F6" w14:textId="77777777">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5FCBA98" w14:textId="77777777" w:rsidR="002D58E4" w:rsidRDefault="00F721D4">
            <w:pPr>
              <w:spacing w:after="0"/>
              <w:rPr>
                <w:sz w:val="20"/>
                <w:szCs w:val="20"/>
              </w:rPr>
            </w:pPr>
            <w:r>
              <w:rPr>
                <w:b/>
                <w:sz w:val="20"/>
                <w:szCs w:val="20"/>
              </w:rPr>
              <w:t xml:space="preserve">Relapse </w:t>
            </w:r>
            <w:r>
              <w:rPr>
                <w:sz w:val="20"/>
                <w:szCs w:val="20"/>
              </w:rPr>
              <w:t xml:space="preserve">(after 12-24 months) </w:t>
            </w:r>
          </w:p>
        </w:tc>
      </w:tr>
      <w:tr w:rsidR="002D58E4" w14:paraId="04F92293" w14:textId="77777777">
        <w:tc>
          <w:tcPr>
            <w:tcW w:w="851" w:type="dxa"/>
            <w:tcBorders>
              <w:top w:val="single" w:sz="6" w:space="0" w:color="000000"/>
              <w:left w:val="single" w:sz="6" w:space="0" w:color="000000"/>
              <w:bottom w:val="single" w:sz="6" w:space="0" w:color="000000"/>
              <w:right w:val="single" w:sz="6" w:space="0" w:color="000000"/>
            </w:tcBorders>
          </w:tcPr>
          <w:p w14:paraId="7F561BBD" w14:textId="77777777" w:rsidR="002D58E4" w:rsidRDefault="00F721D4">
            <w:pPr>
              <w:spacing w:after="0"/>
              <w:rPr>
                <w:sz w:val="20"/>
                <w:szCs w:val="20"/>
              </w:rPr>
            </w:pPr>
            <w:r>
              <w:rPr>
                <w:sz w:val="20"/>
                <w:szCs w:val="20"/>
              </w:rPr>
              <w:t xml:space="preserve">1 </w:t>
            </w:r>
          </w:p>
        </w:tc>
        <w:tc>
          <w:tcPr>
            <w:tcW w:w="837" w:type="dxa"/>
            <w:tcBorders>
              <w:top w:val="single" w:sz="6" w:space="0" w:color="000000"/>
              <w:left w:val="single" w:sz="6" w:space="0" w:color="000000"/>
              <w:bottom w:val="single" w:sz="6" w:space="0" w:color="000000"/>
              <w:right w:val="single" w:sz="6" w:space="0" w:color="000000"/>
            </w:tcBorders>
          </w:tcPr>
          <w:p w14:paraId="257321B7" w14:textId="77777777" w:rsidR="002D58E4" w:rsidRDefault="00F721D4">
            <w:pPr>
              <w:spacing w:after="0"/>
              <w:rPr>
                <w:sz w:val="20"/>
                <w:szCs w:val="20"/>
              </w:rPr>
            </w:pPr>
            <w:r>
              <w:rPr>
                <w:sz w:val="20"/>
                <w:szCs w:val="20"/>
              </w:rPr>
              <w:t xml:space="preserve">RCT </w:t>
            </w:r>
            <w:r>
              <w:rPr>
                <w:sz w:val="20"/>
                <w:szCs w:val="20"/>
                <w:vertAlign w:val="superscript"/>
              </w:rPr>
              <w:t xml:space="preserve">2 </w:t>
            </w:r>
          </w:p>
        </w:tc>
        <w:tc>
          <w:tcPr>
            <w:tcW w:w="1005" w:type="dxa"/>
            <w:tcBorders>
              <w:top w:val="single" w:sz="6" w:space="0" w:color="000000"/>
              <w:left w:val="single" w:sz="6" w:space="0" w:color="000000"/>
              <w:bottom w:val="single" w:sz="6" w:space="0" w:color="000000"/>
              <w:right w:val="single" w:sz="6" w:space="0" w:color="000000"/>
            </w:tcBorders>
          </w:tcPr>
          <w:p w14:paraId="4CE12D4A"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7593587B"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30B65667"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5E1D80A9"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2CDDCC08" w14:textId="77777777" w:rsidR="002D58E4" w:rsidRDefault="00F721D4">
            <w:pPr>
              <w:spacing w:after="0"/>
              <w:rPr>
                <w:sz w:val="20"/>
                <w:szCs w:val="20"/>
              </w:rPr>
            </w:pPr>
            <w:r>
              <w:rPr>
                <w:sz w:val="20"/>
                <w:szCs w:val="20"/>
              </w:rPr>
              <w:t xml:space="preserve">none </w:t>
            </w:r>
          </w:p>
        </w:tc>
        <w:tc>
          <w:tcPr>
            <w:tcW w:w="1559" w:type="dxa"/>
            <w:tcBorders>
              <w:top w:val="single" w:sz="6" w:space="0" w:color="000000"/>
              <w:left w:val="single" w:sz="6" w:space="0" w:color="000000"/>
              <w:bottom w:val="single" w:sz="6" w:space="0" w:color="000000"/>
              <w:right w:val="single" w:sz="6" w:space="0" w:color="000000"/>
            </w:tcBorders>
          </w:tcPr>
          <w:p w14:paraId="53E91351" w14:textId="77777777" w:rsidR="002D58E4" w:rsidRDefault="00F721D4">
            <w:pPr>
              <w:spacing w:after="0"/>
              <w:jc w:val="center"/>
              <w:rPr>
                <w:sz w:val="20"/>
                <w:szCs w:val="20"/>
              </w:rPr>
            </w:pPr>
            <w:r>
              <w:rPr>
                <w:sz w:val="20"/>
                <w:szCs w:val="20"/>
              </w:rPr>
              <w:t xml:space="preserve">3/69 </w:t>
            </w:r>
          </w:p>
          <w:p w14:paraId="2F96DE0C" w14:textId="77777777" w:rsidR="002D58E4" w:rsidRDefault="00F721D4">
            <w:pPr>
              <w:spacing w:after="0"/>
              <w:jc w:val="center"/>
              <w:rPr>
                <w:sz w:val="20"/>
                <w:szCs w:val="20"/>
              </w:rPr>
            </w:pPr>
            <w:r>
              <w:rPr>
                <w:sz w:val="20"/>
                <w:szCs w:val="20"/>
              </w:rPr>
              <w:t xml:space="preserve">(4.3%) </w:t>
            </w:r>
          </w:p>
        </w:tc>
        <w:tc>
          <w:tcPr>
            <w:tcW w:w="992" w:type="dxa"/>
            <w:tcBorders>
              <w:top w:val="single" w:sz="6" w:space="0" w:color="000000"/>
              <w:left w:val="single" w:sz="6" w:space="0" w:color="000000"/>
              <w:bottom w:val="single" w:sz="6" w:space="0" w:color="000000"/>
              <w:right w:val="single" w:sz="6" w:space="0" w:color="000000"/>
            </w:tcBorders>
          </w:tcPr>
          <w:p w14:paraId="49D1411C" w14:textId="77777777" w:rsidR="002D58E4" w:rsidRDefault="00F721D4">
            <w:pPr>
              <w:spacing w:after="0"/>
              <w:jc w:val="center"/>
              <w:rPr>
                <w:sz w:val="20"/>
                <w:szCs w:val="20"/>
              </w:rPr>
            </w:pPr>
            <w:r>
              <w:rPr>
                <w:sz w:val="20"/>
                <w:szCs w:val="20"/>
              </w:rPr>
              <w:t xml:space="preserve">1/66 </w:t>
            </w:r>
          </w:p>
          <w:p w14:paraId="7BBBA556" w14:textId="77777777" w:rsidR="002D58E4" w:rsidRDefault="00F721D4">
            <w:pPr>
              <w:spacing w:after="0"/>
              <w:jc w:val="center"/>
              <w:rPr>
                <w:sz w:val="20"/>
                <w:szCs w:val="20"/>
              </w:rPr>
            </w:pPr>
            <w:r>
              <w:rPr>
                <w:sz w:val="20"/>
                <w:szCs w:val="20"/>
              </w:rPr>
              <w:t xml:space="preserve">(1.5%) </w:t>
            </w:r>
          </w:p>
        </w:tc>
        <w:tc>
          <w:tcPr>
            <w:tcW w:w="1425" w:type="dxa"/>
            <w:tcBorders>
              <w:top w:val="single" w:sz="6" w:space="0" w:color="000000"/>
              <w:left w:val="single" w:sz="6" w:space="0" w:color="000000"/>
              <w:bottom w:val="single" w:sz="6" w:space="0" w:color="000000"/>
              <w:right w:val="single" w:sz="6" w:space="0" w:color="000000"/>
            </w:tcBorders>
          </w:tcPr>
          <w:p w14:paraId="68C2D019" w14:textId="77777777" w:rsidR="002D58E4" w:rsidRDefault="00F721D4">
            <w:pPr>
              <w:spacing w:after="0"/>
              <w:jc w:val="center"/>
              <w:rPr>
                <w:sz w:val="20"/>
                <w:szCs w:val="20"/>
              </w:rPr>
            </w:pPr>
            <w:r>
              <w:rPr>
                <w:sz w:val="20"/>
                <w:szCs w:val="20"/>
              </w:rPr>
              <w:t>RR 2.87</w:t>
            </w:r>
            <w:r>
              <w:rPr>
                <w:sz w:val="20"/>
                <w:szCs w:val="20"/>
              </w:rPr>
              <w:br/>
              <w:t xml:space="preserve">(0.31 to 26.90) </w:t>
            </w:r>
          </w:p>
        </w:tc>
        <w:tc>
          <w:tcPr>
            <w:tcW w:w="1913" w:type="dxa"/>
            <w:tcBorders>
              <w:top w:val="single" w:sz="6" w:space="0" w:color="000000"/>
              <w:left w:val="single" w:sz="6" w:space="0" w:color="000000"/>
              <w:bottom w:val="single" w:sz="6" w:space="0" w:color="000000"/>
              <w:right w:val="single" w:sz="6" w:space="0" w:color="000000"/>
            </w:tcBorders>
          </w:tcPr>
          <w:p w14:paraId="14B632AA" w14:textId="77777777" w:rsidR="002D58E4" w:rsidRDefault="00F721D4">
            <w:pPr>
              <w:spacing w:after="0"/>
              <w:jc w:val="center"/>
              <w:rPr>
                <w:sz w:val="20"/>
                <w:szCs w:val="20"/>
              </w:rPr>
            </w:pPr>
            <w:r>
              <w:rPr>
                <w:sz w:val="20"/>
                <w:szCs w:val="20"/>
              </w:rPr>
              <w:t>28 more per 1,000</w:t>
            </w:r>
            <w:r>
              <w:rPr>
                <w:sz w:val="20"/>
                <w:szCs w:val="20"/>
              </w:rPr>
              <w:br/>
              <w:t xml:space="preserve">(from 10 fewer to 392 more) </w:t>
            </w:r>
          </w:p>
        </w:tc>
        <w:tc>
          <w:tcPr>
            <w:tcW w:w="1276" w:type="dxa"/>
            <w:tcBorders>
              <w:top w:val="single" w:sz="6" w:space="0" w:color="000000"/>
              <w:left w:val="single" w:sz="6" w:space="0" w:color="000000"/>
              <w:bottom w:val="single" w:sz="6" w:space="0" w:color="000000"/>
              <w:right w:val="single" w:sz="6" w:space="0" w:color="000000"/>
            </w:tcBorders>
          </w:tcPr>
          <w:p w14:paraId="2CC26698"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98" w:type="dxa"/>
            <w:tcBorders>
              <w:top w:val="single" w:sz="6" w:space="0" w:color="000000"/>
              <w:left w:val="single" w:sz="6" w:space="0" w:color="000000"/>
              <w:bottom w:val="single" w:sz="6" w:space="0" w:color="000000"/>
              <w:right w:val="single" w:sz="6" w:space="0" w:color="000000"/>
            </w:tcBorders>
          </w:tcPr>
          <w:p w14:paraId="38E6AFF5" w14:textId="77777777" w:rsidR="002D58E4" w:rsidRDefault="00F721D4">
            <w:pPr>
              <w:spacing w:after="0"/>
              <w:rPr>
                <w:sz w:val="20"/>
                <w:szCs w:val="20"/>
              </w:rPr>
            </w:pPr>
            <w:r>
              <w:rPr>
                <w:sz w:val="20"/>
                <w:szCs w:val="20"/>
              </w:rPr>
              <w:t xml:space="preserve">CRITICAL </w:t>
            </w:r>
          </w:p>
        </w:tc>
      </w:tr>
      <w:tr w:rsidR="002D58E4" w14:paraId="50632153" w14:textId="77777777">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4B00956" w14:textId="77777777" w:rsidR="002D58E4" w:rsidRDefault="00F721D4">
            <w:pPr>
              <w:spacing w:after="0"/>
              <w:rPr>
                <w:sz w:val="20"/>
                <w:szCs w:val="20"/>
              </w:rPr>
            </w:pPr>
            <w:r>
              <w:rPr>
                <w:b/>
                <w:sz w:val="20"/>
                <w:szCs w:val="20"/>
              </w:rPr>
              <w:t>Withdrawal due to Adverse Events</w:t>
            </w:r>
          </w:p>
        </w:tc>
      </w:tr>
      <w:tr w:rsidR="002D58E4" w14:paraId="5BC7C8C4" w14:textId="77777777">
        <w:tc>
          <w:tcPr>
            <w:tcW w:w="851" w:type="dxa"/>
            <w:tcBorders>
              <w:top w:val="single" w:sz="6" w:space="0" w:color="000000"/>
              <w:left w:val="single" w:sz="6" w:space="0" w:color="000000"/>
              <w:bottom w:val="single" w:sz="6" w:space="0" w:color="000000"/>
              <w:right w:val="single" w:sz="6" w:space="0" w:color="000000"/>
            </w:tcBorders>
          </w:tcPr>
          <w:p w14:paraId="06025B60" w14:textId="77777777" w:rsidR="002D58E4" w:rsidRDefault="00F721D4">
            <w:pPr>
              <w:spacing w:after="0"/>
              <w:rPr>
                <w:sz w:val="20"/>
                <w:szCs w:val="20"/>
              </w:rPr>
            </w:pPr>
            <w:r>
              <w:rPr>
                <w:sz w:val="20"/>
                <w:szCs w:val="20"/>
              </w:rPr>
              <w:t xml:space="preserve">1 </w:t>
            </w:r>
          </w:p>
        </w:tc>
        <w:tc>
          <w:tcPr>
            <w:tcW w:w="837" w:type="dxa"/>
            <w:tcBorders>
              <w:top w:val="single" w:sz="6" w:space="0" w:color="000000"/>
              <w:left w:val="single" w:sz="6" w:space="0" w:color="000000"/>
              <w:bottom w:val="single" w:sz="6" w:space="0" w:color="000000"/>
              <w:right w:val="single" w:sz="6" w:space="0" w:color="000000"/>
            </w:tcBorders>
          </w:tcPr>
          <w:p w14:paraId="23782CC5" w14:textId="77777777" w:rsidR="002D58E4" w:rsidRDefault="00F721D4">
            <w:pPr>
              <w:spacing w:after="0"/>
              <w:rPr>
                <w:sz w:val="20"/>
                <w:szCs w:val="20"/>
              </w:rPr>
            </w:pPr>
            <w:r>
              <w:rPr>
                <w:sz w:val="20"/>
                <w:szCs w:val="20"/>
              </w:rPr>
              <w:t xml:space="preserve">RCT </w:t>
            </w:r>
            <w:r>
              <w:rPr>
                <w:sz w:val="20"/>
                <w:szCs w:val="20"/>
                <w:vertAlign w:val="superscript"/>
              </w:rPr>
              <w:t>2</w:t>
            </w:r>
            <w:r>
              <w:rPr>
                <w:sz w:val="20"/>
                <w:szCs w:val="20"/>
              </w:rPr>
              <w:t xml:space="preserve"> </w:t>
            </w:r>
          </w:p>
        </w:tc>
        <w:tc>
          <w:tcPr>
            <w:tcW w:w="1005" w:type="dxa"/>
            <w:tcBorders>
              <w:top w:val="single" w:sz="6" w:space="0" w:color="000000"/>
              <w:left w:val="single" w:sz="6" w:space="0" w:color="000000"/>
              <w:bottom w:val="single" w:sz="6" w:space="0" w:color="000000"/>
              <w:right w:val="single" w:sz="6" w:space="0" w:color="000000"/>
            </w:tcBorders>
          </w:tcPr>
          <w:p w14:paraId="545A5290"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281E45B7"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2C654A6F"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44E54CB4"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2BBC8110" w14:textId="77777777" w:rsidR="002D58E4" w:rsidRDefault="00F721D4">
            <w:pPr>
              <w:spacing w:after="0"/>
              <w:rPr>
                <w:sz w:val="20"/>
                <w:szCs w:val="20"/>
              </w:rPr>
            </w:pPr>
            <w:r>
              <w:rPr>
                <w:sz w:val="20"/>
                <w:szCs w:val="20"/>
              </w:rPr>
              <w:t xml:space="preserve">none </w:t>
            </w:r>
          </w:p>
        </w:tc>
        <w:tc>
          <w:tcPr>
            <w:tcW w:w="1559" w:type="dxa"/>
            <w:tcBorders>
              <w:top w:val="single" w:sz="6" w:space="0" w:color="000000"/>
              <w:left w:val="single" w:sz="6" w:space="0" w:color="000000"/>
              <w:bottom w:val="single" w:sz="6" w:space="0" w:color="000000"/>
              <w:right w:val="single" w:sz="6" w:space="0" w:color="000000"/>
            </w:tcBorders>
          </w:tcPr>
          <w:p w14:paraId="79B01D53" w14:textId="77777777" w:rsidR="002D58E4" w:rsidRDefault="00F721D4">
            <w:pPr>
              <w:spacing w:after="0"/>
              <w:jc w:val="center"/>
              <w:rPr>
                <w:sz w:val="20"/>
                <w:szCs w:val="20"/>
              </w:rPr>
            </w:pPr>
            <w:r>
              <w:rPr>
                <w:sz w:val="20"/>
                <w:szCs w:val="20"/>
              </w:rPr>
              <w:t xml:space="preserve">3/69 </w:t>
            </w:r>
          </w:p>
          <w:p w14:paraId="7461E32C" w14:textId="77777777" w:rsidR="002D58E4" w:rsidRDefault="00F721D4">
            <w:pPr>
              <w:spacing w:after="0"/>
              <w:jc w:val="center"/>
              <w:rPr>
                <w:sz w:val="20"/>
                <w:szCs w:val="20"/>
              </w:rPr>
            </w:pPr>
            <w:r>
              <w:rPr>
                <w:sz w:val="20"/>
                <w:szCs w:val="20"/>
              </w:rPr>
              <w:t xml:space="preserve">(4.3%) </w:t>
            </w:r>
          </w:p>
        </w:tc>
        <w:tc>
          <w:tcPr>
            <w:tcW w:w="992" w:type="dxa"/>
            <w:tcBorders>
              <w:top w:val="single" w:sz="6" w:space="0" w:color="000000"/>
              <w:left w:val="single" w:sz="6" w:space="0" w:color="000000"/>
              <w:bottom w:val="single" w:sz="6" w:space="0" w:color="000000"/>
              <w:right w:val="single" w:sz="6" w:space="0" w:color="000000"/>
            </w:tcBorders>
          </w:tcPr>
          <w:p w14:paraId="6A551015" w14:textId="77777777" w:rsidR="002D58E4" w:rsidRDefault="00F721D4">
            <w:pPr>
              <w:spacing w:after="0"/>
              <w:jc w:val="center"/>
              <w:rPr>
                <w:sz w:val="20"/>
                <w:szCs w:val="20"/>
              </w:rPr>
            </w:pPr>
            <w:r>
              <w:rPr>
                <w:sz w:val="20"/>
                <w:szCs w:val="20"/>
              </w:rPr>
              <w:t xml:space="preserve">4/66 </w:t>
            </w:r>
          </w:p>
          <w:p w14:paraId="5C56F4A2" w14:textId="77777777" w:rsidR="002D58E4" w:rsidRDefault="00F721D4">
            <w:pPr>
              <w:spacing w:after="0"/>
              <w:jc w:val="center"/>
              <w:rPr>
                <w:sz w:val="20"/>
                <w:szCs w:val="20"/>
              </w:rPr>
            </w:pPr>
            <w:r>
              <w:rPr>
                <w:sz w:val="20"/>
                <w:szCs w:val="20"/>
              </w:rPr>
              <w:t xml:space="preserve">(6.1%) </w:t>
            </w:r>
          </w:p>
        </w:tc>
        <w:tc>
          <w:tcPr>
            <w:tcW w:w="1425" w:type="dxa"/>
            <w:tcBorders>
              <w:top w:val="single" w:sz="6" w:space="0" w:color="000000"/>
              <w:left w:val="single" w:sz="6" w:space="0" w:color="000000"/>
              <w:bottom w:val="single" w:sz="6" w:space="0" w:color="000000"/>
              <w:right w:val="single" w:sz="6" w:space="0" w:color="000000"/>
            </w:tcBorders>
          </w:tcPr>
          <w:p w14:paraId="0EF3C020" w14:textId="77777777" w:rsidR="002D58E4" w:rsidRDefault="00F721D4">
            <w:pPr>
              <w:spacing w:after="0"/>
              <w:jc w:val="center"/>
              <w:rPr>
                <w:sz w:val="20"/>
                <w:szCs w:val="20"/>
              </w:rPr>
            </w:pPr>
            <w:r>
              <w:rPr>
                <w:sz w:val="20"/>
                <w:szCs w:val="20"/>
              </w:rPr>
              <w:t>RR 0.72</w:t>
            </w:r>
            <w:r>
              <w:rPr>
                <w:sz w:val="20"/>
                <w:szCs w:val="20"/>
              </w:rPr>
              <w:br/>
              <w:t xml:space="preserve">(0.17 to 3.08) </w:t>
            </w:r>
          </w:p>
        </w:tc>
        <w:tc>
          <w:tcPr>
            <w:tcW w:w="1913" w:type="dxa"/>
            <w:tcBorders>
              <w:top w:val="single" w:sz="6" w:space="0" w:color="000000"/>
              <w:left w:val="single" w:sz="6" w:space="0" w:color="000000"/>
              <w:bottom w:val="single" w:sz="6" w:space="0" w:color="000000"/>
              <w:right w:val="single" w:sz="6" w:space="0" w:color="000000"/>
            </w:tcBorders>
          </w:tcPr>
          <w:p w14:paraId="381E33DD" w14:textId="77777777" w:rsidR="002D58E4" w:rsidRDefault="00F721D4">
            <w:pPr>
              <w:spacing w:after="0"/>
              <w:jc w:val="center"/>
              <w:rPr>
                <w:sz w:val="20"/>
                <w:szCs w:val="20"/>
              </w:rPr>
            </w:pPr>
            <w:r>
              <w:rPr>
                <w:sz w:val="20"/>
                <w:szCs w:val="20"/>
              </w:rPr>
              <w:t>17 fewer per 1,000</w:t>
            </w:r>
            <w:r>
              <w:rPr>
                <w:sz w:val="20"/>
                <w:szCs w:val="20"/>
              </w:rPr>
              <w:br/>
              <w:t xml:space="preserve">(from 50 fewer to 126 more) </w:t>
            </w:r>
          </w:p>
        </w:tc>
        <w:tc>
          <w:tcPr>
            <w:tcW w:w="1276" w:type="dxa"/>
            <w:tcBorders>
              <w:top w:val="single" w:sz="6" w:space="0" w:color="000000"/>
              <w:left w:val="single" w:sz="6" w:space="0" w:color="000000"/>
              <w:bottom w:val="single" w:sz="6" w:space="0" w:color="000000"/>
              <w:right w:val="single" w:sz="6" w:space="0" w:color="000000"/>
            </w:tcBorders>
          </w:tcPr>
          <w:p w14:paraId="79B86D83"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98" w:type="dxa"/>
            <w:tcBorders>
              <w:top w:val="single" w:sz="6" w:space="0" w:color="000000"/>
              <w:left w:val="single" w:sz="6" w:space="0" w:color="000000"/>
              <w:bottom w:val="single" w:sz="6" w:space="0" w:color="000000"/>
              <w:right w:val="single" w:sz="6" w:space="0" w:color="000000"/>
            </w:tcBorders>
          </w:tcPr>
          <w:p w14:paraId="334E3EB1" w14:textId="77777777" w:rsidR="002D58E4" w:rsidRDefault="00F721D4">
            <w:pPr>
              <w:spacing w:after="0"/>
              <w:rPr>
                <w:sz w:val="20"/>
                <w:szCs w:val="20"/>
              </w:rPr>
            </w:pPr>
            <w:r>
              <w:rPr>
                <w:sz w:val="20"/>
                <w:szCs w:val="20"/>
              </w:rPr>
              <w:t xml:space="preserve">CRITICAL </w:t>
            </w:r>
          </w:p>
        </w:tc>
      </w:tr>
      <w:tr w:rsidR="002D58E4" w14:paraId="07BAAE01" w14:textId="77777777">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1A6DF773" w14:textId="77777777" w:rsidR="002D58E4" w:rsidRDefault="00F721D4">
            <w:pPr>
              <w:spacing w:after="0"/>
              <w:rPr>
                <w:sz w:val="20"/>
                <w:szCs w:val="20"/>
              </w:rPr>
            </w:pPr>
            <w:r>
              <w:rPr>
                <w:b/>
                <w:sz w:val="20"/>
                <w:szCs w:val="20"/>
              </w:rPr>
              <w:t>Serious Adverse Events</w:t>
            </w:r>
          </w:p>
        </w:tc>
      </w:tr>
      <w:tr w:rsidR="002D58E4" w14:paraId="43351154" w14:textId="77777777">
        <w:tc>
          <w:tcPr>
            <w:tcW w:w="851" w:type="dxa"/>
            <w:tcBorders>
              <w:top w:val="single" w:sz="6" w:space="0" w:color="000000"/>
              <w:left w:val="single" w:sz="6" w:space="0" w:color="000000"/>
              <w:bottom w:val="single" w:sz="6" w:space="0" w:color="000000"/>
              <w:right w:val="single" w:sz="6" w:space="0" w:color="000000"/>
            </w:tcBorders>
          </w:tcPr>
          <w:p w14:paraId="1FB20AD2" w14:textId="77777777" w:rsidR="002D58E4" w:rsidRDefault="00F721D4">
            <w:pPr>
              <w:spacing w:after="0"/>
              <w:rPr>
                <w:sz w:val="20"/>
                <w:szCs w:val="20"/>
              </w:rPr>
            </w:pPr>
            <w:r>
              <w:rPr>
                <w:sz w:val="20"/>
                <w:szCs w:val="20"/>
              </w:rPr>
              <w:t xml:space="preserve">1 </w:t>
            </w:r>
          </w:p>
        </w:tc>
        <w:tc>
          <w:tcPr>
            <w:tcW w:w="837" w:type="dxa"/>
            <w:tcBorders>
              <w:top w:val="single" w:sz="6" w:space="0" w:color="000000"/>
              <w:left w:val="single" w:sz="6" w:space="0" w:color="000000"/>
              <w:bottom w:val="single" w:sz="6" w:space="0" w:color="000000"/>
              <w:right w:val="single" w:sz="6" w:space="0" w:color="000000"/>
            </w:tcBorders>
          </w:tcPr>
          <w:p w14:paraId="0C55E572" w14:textId="77777777" w:rsidR="002D58E4" w:rsidRDefault="00F721D4">
            <w:pPr>
              <w:spacing w:after="0"/>
              <w:rPr>
                <w:sz w:val="20"/>
                <w:szCs w:val="20"/>
              </w:rPr>
            </w:pPr>
            <w:r>
              <w:rPr>
                <w:sz w:val="20"/>
                <w:szCs w:val="20"/>
              </w:rPr>
              <w:t xml:space="preserve">RCT </w:t>
            </w:r>
            <w:r>
              <w:rPr>
                <w:sz w:val="20"/>
                <w:szCs w:val="20"/>
                <w:vertAlign w:val="superscript"/>
              </w:rPr>
              <w:t xml:space="preserve">2 </w:t>
            </w:r>
          </w:p>
        </w:tc>
        <w:tc>
          <w:tcPr>
            <w:tcW w:w="1005" w:type="dxa"/>
            <w:tcBorders>
              <w:top w:val="single" w:sz="6" w:space="0" w:color="000000"/>
              <w:left w:val="single" w:sz="6" w:space="0" w:color="000000"/>
              <w:bottom w:val="single" w:sz="6" w:space="0" w:color="000000"/>
              <w:right w:val="single" w:sz="6" w:space="0" w:color="000000"/>
            </w:tcBorders>
          </w:tcPr>
          <w:p w14:paraId="56500102"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56438537"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775A6080"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1350050"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4959F9F8" w14:textId="77777777" w:rsidR="002D58E4" w:rsidRDefault="00F721D4">
            <w:pPr>
              <w:spacing w:after="0"/>
              <w:rPr>
                <w:sz w:val="20"/>
                <w:szCs w:val="20"/>
              </w:rPr>
            </w:pPr>
            <w:r>
              <w:rPr>
                <w:sz w:val="20"/>
                <w:szCs w:val="20"/>
              </w:rPr>
              <w:t xml:space="preserve">none </w:t>
            </w:r>
          </w:p>
        </w:tc>
        <w:tc>
          <w:tcPr>
            <w:tcW w:w="1559" w:type="dxa"/>
            <w:tcBorders>
              <w:top w:val="single" w:sz="6" w:space="0" w:color="000000"/>
              <w:left w:val="single" w:sz="6" w:space="0" w:color="000000"/>
              <w:bottom w:val="single" w:sz="6" w:space="0" w:color="000000"/>
              <w:right w:val="single" w:sz="6" w:space="0" w:color="000000"/>
            </w:tcBorders>
          </w:tcPr>
          <w:p w14:paraId="1BD77111" w14:textId="77777777" w:rsidR="002D58E4" w:rsidRDefault="00F721D4">
            <w:pPr>
              <w:spacing w:after="0"/>
              <w:jc w:val="center"/>
              <w:rPr>
                <w:sz w:val="20"/>
                <w:szCs w:val="20"/>
              </w:rPr>
            </w:pPr>
            <w:r>
              <w:rPr>
                <w:sz w:val="20"/>
                <w:szCs w:val="20"/>
              </w:rPr>
              <w:t xml:space="preserve">2/69 </w:t>
            </w:r>
          </w:p>
          <w:p w14:paraId="33196814" w14:textId="77777777" w:rsidR="002D58E4" w:rsidRDefault="00F721D4">
            <w:pPr>
              <w:spacing w:after="0"/>
              <w:jc w:val="center"/>
              <w:rPr>
                <w:sz w:val="20"/>
                <w:szCs w:val="20"/>
              </w:rPr>
            </w:pPr>
            <w:r>
              <w:rPr>
                <w:sz w:val="20"/>
                <w:szCs w:val="20"/>
              </w:rPr>
              <w:t xml:space="preserve">(2.9%) </w:t>
            </w:r>
          </w:p>
        </w:tc>
        <w:tc>
          <w:tcPr>
            <w:tcW w:w="992" w:type="dxa"/>
            <w:tcBorders>
              <w:top w:val="single" w:sz="6" w:space="0" w:color="000000"/>
              <w:left w:val="single" w:sz="6" w:space="0" w:color="000000"/>
              <w:bottom w:val="single" w:sz="6" w:space="0" w:color="000000"/>
              <w:right w:val="single" w:sz="6" w:space="0" w:color="000000"/>
            </w:tcBorders>
          </w:tcPr>
          <w:p w14:paraId="70BA8501" w14:textId="77777777" w:rsidR="002D58E4" w:rsidRDefault="00F721D4">
            <w:pPr>
              <w:spacing w:after="0"/>
              <w:jc w:val="center"/>
              <w:rPr>
                <w:sz w:val="20"/>
                <w:szCs w:val="20"/>
              </w:rPr>
            </w:pPr>
            <w:r>
              <w:rPr>
                <w:sz w:val="20"/>
                <w:szCs w:val="20"/>
              </w:rPr>
              <w:t xml:space="preserve">2/66 </w:t>
            </w:r>
          </w:p>
          <w:p w14:paraId="3E8D6AFA" w14:textId="77777777" w:rsidR="002D58E4" w:rsidRDefault="00F721D4">
            <w:pPr>
              <w:spacing w:after="0"/>
              <w:jc w:val="center"/>
              <w:rPr>
                <w:sz w:val="20"/>
                <w:szCs w:val="20"/>
              </w:rPr>
            </w:pPr>
            <w:r>
              <w:rPr>
                <w:sz w:val="20"/>
                <w:szCs w:val="20"/>
              </w:rPr>
              <w:t xml:space="preserve">(3.0%) </w:t>
            </w:r>
          </w:p>
        </w:tc>
        <w:tc>
          <w:tcPr>
            <w:tcW w:w="1425" w:type="dxa"/>
            <w:tcBorders>
              <w:top w:val="single" w:sz="6" w:space="0" w:color="000000"/>
              <w:left w:val="single" w:sz="6" w:space="0" w:color="000000"/>
              <w:bottom w:val="single" w:sz="6" w:space="0" w:color="000000"/>
              <w:right w:val="single" w:sz="6" w:space="0" w:color="000000"/>
            </w:tcBorders>
          </w:tcPr>
          <w:p w14:paraId="524DDD26" w14:textId="77777777" w:rsidR="002D58E4" w:rsidRDefault="00F721D4">
            <w:pPr>
              <w:spacing w:after="0"/>
              <w:jc w:val="center"/>
              <w:rPr>
                <w:sz w:val="20"/>
                <w:szCs w:val="20"/>
              </w:rPr>
            </w:pPr>
            <w:r>
              <w:rPr>
                <w:sz w:val="20"/>
                <w:szCs w:val="20"/>
              </w:rPr>
              <w:t>RR 0.96</w:t>
            </w:r>
            <w:r>
              <w:rPr>
                <w:sz w:val="20"/>
                <w:szCs w:val="20"/>
              </w:rPr>
              <w:br/>
              <w:t xml:space="preserve">(0.14 to 6.59) </w:t>
            </w:r>
          </w:p>
        </w:tc>
        <w:tc>
          <w:tcPr>
            <w:tcW w:w="1913" w:type="dxa"/>
            <w:tcBorders>
              <w:top w:val="single" w:sz="6" w:space="0" w:color="000000"/>
              <w:left w:val="single" w:sz="6" w:space="0" w:color="000000"/>
              <w:bottom w:val="single" w:sz="6" w:space="0" w:color="000000"/>
              <w:right w:val="single" w:sz="6" w:space="0" w:color="000000"/>
            </w:tcBorders>
          </w:tcPr>
          <w:p w14:paraId="1029DCF7" w14:textId="77777777" w:rsidR="002D58E4" w:rsidRDefault="00F721D4">
            <w:pPr>
              <w:spacing w:after="0"/>
              <w:jc w:val="center"/>
              <w:rPr>
                <w:sz w:val="20"/>
                <w:szCs w:val="20"/>
              </w:rPr>
            </w:pPr>
            <w:r>
              <w:rPr>
                <w:sz w:val="20"/>
                <w:szCs w:val="20"/>
              </w:rPr>
              <w:t>1 fewer per 1,000</w:t>
            </w:r>
            <w:r>
              <w:rPr>
                <w:sz w:val="20"/>
                <w:szCs w:val="20"/>
              </w:rPr>
              <w:br/>
              <w:t xml:space="preserve">(from 26 fewer to 169 more) </w:t>
            </w:r>
          </w:p>
        </w:tc>
        <w:tc>
          <w:tcPr>
            <w:tcW w:w="1276" w:type="dxa"/>
            <w:tcBorders>
              <w:top w:val="single" w:sz="6" w:space="0" w:color="000000"/>
              <w:left w:val="single" w:sz="6" w:space="0" w:color="000000"/>
              <w:bottom w:val="single" w:sz="6" w:space="0" w:color="000000"/>
              <w:right w:val="single" w:sz="6" w:space="0" w:color="000000"/>
            </w:tcBorders>
          </w:tcPr>
          <w:p w14:paraId="310EA142"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98" w:type="dxa"/>
            <w:tcBorders>
              <w:top w:val="single" w:sz="6" w:space="0" w:color="000000"/>
              <w:left w:val="single" w:sz="6" w:space="0" w:color="000000"/>
              <w:bottom w:val="single" w:sz="6" w:space="0" w:color="000000"/>
              <w:right w:val="single" w:sz="6" w:space="0" w:color="000000"/>
            </w:tcBorders>
          </w:tcPr>
          <w:p w14:paraId="194D3D4A" w14:textId="77777777" w:rsidR="002D58E4" w:rsidRDefault="00F721D4">
            <w:pPr>
              <w:spacing w:after="0"/>
              <w:rPr>
                <w:sz w:val="20"/>
                <w:szCs w:val="20"/>
              </w:rPr>
            </w:pPr>
            <w:r>
              <w:rPr>
                <w:sz w:val="20"/>
                <w:szCs w:val="20"/>
              </w:rPr>
              <w:t>CRITICAL</w:t>
            </w:r>
          </w:p>
        </w:tc>
      </w:tr>
      <w:tr w:rsidR="002D58E4" w14:paraId="5DBC005F" w14:textId="77777777">
        <w:tc>
          <w:tcPr>
            <w:tcW w:w="15026"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65E6AE5D" w14:textId="77777777" w:rsidR="002D58E4" w:rsidRDefault="00F721D4">
            <w:pPr>
              <w:spacing w:after="0"/>
              <w:rPr>
                <w:sz w:val="20"/>
                <w:szCs w:val="20"/>
              </w:rPr>
            </w:pPr>
            <w:r>
              <w:rPr>
                <w:b/>
                <w:sz w:val="20"/>
                <w:szCs w:val="20"/>
              </w:rPr>
              <w:t>Diarrhea</w:t>
            </w:r>
          </w:p>
        </w:tc>
      </w:tr>
      <w:tr w:rsidR="002D58E4" w14:paraId="769B2E81" w14:textId="77777777">
        <w:tc>
          <w:tcPr>
            <w:tcW w:w="851" w:type="dxa"/>
            <w:tcBorders>
              <w:top w:val="single" w:sz="6" w:space="0" w:color="000000"/>
              <w:left w:val="single" w:sz="6" w:space="0" w:color="000000"/>
              <w:bottom w:val="single" w:sz="6" w:space="0" w:color="000000"/>
              <w:right w:val="single" w:sz="6" w:space="0" w:color="000000"/>
            </w:tcBorders>
          </w:tcPr>
          <w:p w14:paraId="10672D82" w14:textId="77777777" w:rsidR="002D58E4" w:rsidRDefault="00F721D4">
            <w:pPr>
              <w:spacing w:after="0"/>
              <w:rPr>
                <w:sz w:val="20"/>
                <w:szCs w:val="20"/>
              </w:rPr>
            </w:pPr>
            <w:r>
              <w:rPr>
                <w:sz w:val="20"/>
                <w:szCs w:val="20"/>
              </w:rPr>
              <w:t xml:space="preserve">1 </w:t>
            </w:r>
          </w:p>
        </w:tc>
        <w:tc>
          <w:tcPr>
            <w:tcW w:w="837" w:type="dxa"/>
            <w:tcBorders>
              <w:top w:val="single" w:sz="6" w:space="0" w:color="000000"/>
              <w:left w:val="single" w:sz="6" w:space="0" w:color="000000"/>
              <w:bottom w:val="single" w:sz="6" w:space="0" w:color="000000"/>
              <w:right w:val="single" w:sz="6" w:space="0" w:color="000000"/>
            </w:tcBorders>
          </w:tcPr>
          <w:p w14:paraId="61498467" w14:textId="77777777" w:rsidR="002D58E4" w:rsidRDefault="00F721D4">
            <w:pPr>
              <w:spacing w:after="0"/>
              <w:rPr>
                <w:sz w:val="20"/>
                <w:szCs w:val="20"/>
              </w:rPr>
            </w:pPr>
            <w:r>
              <w:rPr>
                <w:sz w:val="20"/>
                <w:szCs w:val="20"/>
              </w:rPr>
              <w:t xml:space="preserve">RCT </w:t>
            </w:r>
            <w:r>
              <w:rPr>
                <w:sz w:val="20"/>
                <w:szCs w:val="20"/>
                <w:vertAlign w:val="superscript"/>
              </w:rPr>
              <w:t xml:space="preserve">2 </w:t>
            </w:r>
          </w:p>
        </w:tc>
        <w:tc>
          <w:tcPr>
            <w:tcW w:w="1005" w:type="dxa"/>
            <w:tcBorders>
              <w:top w:val="single" w:sz="6" w:space="0" w:color="000000"/>
              <w:left w:val="single" w:sz="6" w:space="0" w:color="000000"/>
              <w:bottom w:val="single" w:sz="6" w:space="0" w:color="000000"/>
              <w:right w:val="single" w:sz="6" w:space="0" w:color="000000"/>
            </w:tcBorders>
          </w:tcPr>
          <w:p w14:paraId="5C695BC0"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50F1CA03" w14:textId="77777777" w:rsidR="002D58E4" w:rsidRDefault="00F721D4">
            <w:pPr>
              <w:spacing w:after="0"/>
              <w:rPr>
                <w:sz w:val="20"/>
                <w:szCs w:val="20"/>
              </w:rPr>
            </w:pPr>
            <w:r>
              <w:rPr>
                <w:sz w:val="20"/>
                <w:szCs w:val="20"/>
              </w:rPr>
              <w:t xml:space="preserve">not serious </w:t>
            </w:r>
          </w:p>
        </w:tc>
        <w:tc>
          <w:tcPr>
            <w:tcW w:w="993" w:type="dxa"/>
            <w:tcBorders>
              <w:top w:val="single" w:sz="6" w:space="0" w:color="000000"/>
              <w:left w:val="single" w:sz="6" w:space="0" w:color="000000"/>
              <w:bottom w:val="single" w:sz="6" w:space="0" w:color="000000"/>
              <w:right w:val="single" w:sz="6" w:space="0" w:color="000000"/>
            </w:tcBorders>
          </w:tcPr>
          <w:p w14:paraId="66DFB931"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2FD0806B"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6CDB46C2" w14:textId="77777777" w:rsidR="002D58E4" w:rsidRDefault="00F721D4">
            <w:pPr>
              <w:spacing w:after="0"/>
              <w:rPr>
                <w:sz w:val="20"/>
                <w:szCs w:val="20"/>
              </w:rPr>
            </w:pPr>
            <w:r>
              <w:rPr>
                <w:sz w:val="20"/>
                <w:szCs w:val="20"/>
              </w:rPr>
              <w:t xml:space="preserve">none </w:t>
            </w:r>
          </w:p>
        </w:tc>
        <w:tc>
          <w:tcPr>
            <w:tcW w:w="1559" w:type="dxa"/>
            <w:tcBorders>
              <w:top w:val="single" w:sz="6" w:space="0" w:color="000000"/>
              <w:left w:val="single" w:sz="6" w:space="0" w:color="000000"/>
              <w:bottom w:val="single" w:sz="6" w:space="0" w:color="000000"/>
              <w:right w:val="single" w:sz="6" w:space="0" w:color="000000"/>
            </w:tcBorders>
          </w:tcPr>
          <w:p w14:paraId="33368207" w14:textId="77777777" w:rsidR="002D58E4" w:rsidRDefault="00F721D4">
            <w:pPr>
              <w:spacing w:after="0"/>
              <w:jc w:val="center"/>
              <w:rPr>
                <w:sz w:val="20"/>
                <w:szCs w:val="20"/>
              </w:rPr>
            </w:pPr>
            <w:r>
              <w:rPr>
                <w:sz w:val="20"/>
                <w:szCs w:val="20"/>
              </w:rPr>
              <w:t>9/69</w:t>
            </w:r>
          </w:p>
          <w:p w14:paraId="4D2722A1" w14:textId="77777777" w:rsidR="002D58E4" w:rsidRDefault="00F721D4">
            <w:pPr>
              <w:spacing w:after="0"/>
              <w:jc w:val="center"/>
              <w:rPr>
                <w:sz w:val="20"/>
                <w:szCs w:val="20"/>
              </w:rPr>
            </w:pPr>
            <w:r>
              <w:rPr>
                <w:sz w:val="20"/>
                <w:szCs w:val="20"/>
              </w:rPr>
              <w:t xml:space="preserve"> (13.0%) </w:t>
            </w:r>
          </w:p>
        </w:tc>
        <w:tc>
          <w:tcPr>
            <w:tcW w:w="992" w:type="dxa"/>
            <w:tcBorders>
              <w:top w:val="single" w:sz="6" w:space="0" w:color="000000"/>
              <w:left w:val="single" w:sz="6" w:space="0" w:color="000000"/>
              <w:bottom w:val="single" w:sz="6" w:space="0" w:color="000000"/>
              <w:right w:val="single" w:sz="6" w:space="0" w:color="000000"/>
            </w:tcBorders>
          </w:tcPr>
          <w:p w14:paraId="71685D64" w14:textId="77777777" w:rsidR="002D58E4" w:rsidRDefault="00F721D4">
            <w:pPr>
              <w:spacing w:after="0"/>
              <w:jc w:val="center"/>
              <w:rPr>
                <w:sz w:val="20"/>
                <w:szCs w:val="20"/>
              </w:rPr>
            </w:pPr>
            <w:r>
              <w:rPr>
                <w:sz w:val="20"/>
                <w:szCs w:val="20"/>
              </w:rPr>
              <w:t xml:space="preserve">6/66 </w:t>
            </w:r>
          </w:p>
          <w:p w14:paraId="4BD3BC8A" w14:textId="77777777" w:rsidR="002D58E4" w:rsidRDefault="00F721D4">
            <w:pPr>
              <w:spacing w:after="0"/>
              <w:jc w:val="center"/>
              <w:rPr>
                <w:sz w:val="20"/>
                <w:szCs w:val="20"/>
              </w:rPr>
            </w:pPr>
            <w:r>
              <w:rPr>
                <w:sz w:val="20"/>
                <w:szCs w:val="20"/>
              </w:rPr>
              <w:t xml:space="preserve">(9.1%) </w:t>
            </w:r>
          </w:p>
        </w:tc>
        <w:tc>
          <w:tcPr>
            <w:tcW w:w="1425" w:type="dxa"/>
            <w:tcBorders>
              <w:top w:val="single" w:sz="6" w:space="0" w:color="000000"/>
              <w:left w:val="single" w:sz="6" w:space="0" w:color="000000"/>
              <w:bottom w:val="single" w:sz="6" w:space="0" w:color="000000"/>
              <w:right w:val="single" w:sz="6" w:space="0" w:color="000000"/>
            </w:tcBorders>
          </w:tcPr>
          <w:p w14:paraId="14F4D3AD" w14:textId="77777777" w:rsidR="002D58E4" w:rsidRDefault="00F721D4">
            <w:pPr>
              <w:spacing w:after="0"/>
              <w:jc w:val="center"/>
              <w:rPr>
                <w:sz w:val="20"/>
                <w:szCs w:val="20"/>
              </w:rPr>
            </w:pPr>
            <w:r>
              <w:rPr>
                <w:sz w:val="20"/>
                <w:szCs w:val="20"/>
              </w:rPr>
              <w:t>RR 1.43</w:t>
            </w:r>
            <w:r>
              <w:rPr>
                <w:sz w:val="20"/>
                <w:szCs w:val="20"/>
              </w:rPr>
              <w:br/>
              <w:t xml:space="preserve">(0.54 to 3.81) </w:t>
            </w:r>
          </w:p>
        </w:tc>
        <w:tc>
          <w:tcPr>
            <w:tcW w:w="1913" w:type="dxa"/>
            <w:tcBorders>
              <w:top w:val="single" w:sz="6" w:space="0" w:color="000000"/>
              <w:left w:val="single" w:sz="6" w:space="0" w:color="000000"/>
              <w:bottom w:val="single" w:sz="6" w:space="0" w:color="000000"/>
              <w:right w:val="single" w:sz="6" w:space="0" w:color="000000"/>
            </w:tcBorders>
          </w:tcPr>
          <w:p w14:paraId="0F6949A6" w14:textId="77777777" w:rsidR="002D58E4" w:rsidRDefault="00F721D4">
            <w:pPr>
              <w:spacing w:after="0"/>
              <w:jc w:val="center"/>
              <w:rPr>
                <w:sz w:val="20"/>
                <w:szCs w:val="20"/>
              </w:rPr>
            </w:pPr>
            <w:r>
              <w:rPr>
                <w:sz w:val="20"/>
                <w:szCs w:val="20"/>
              </w:rPr>
              <w:t>39 more per 1,000</w:t>
            </w:r>
            <w:r>
              <w:rPr>
                <w:sz w:val="20"/>
                <w:szCs w:val="20"/>
              </w:rPr>
              <w:br/>
              <w:t xml:space="preserve">(from 42 fewer to 255 more) </w:t>
            </w:r>
          </w:p>
        </w:tc>
        <w:tc>
          <w:tcPr>
            <w:tcW w:w="1276" w:type="dxa"/>
            <w:tcBorders>
              <w:top w:val="single" w:sz="6" w:space="0" w:color="000000"/>
              <w:left w:val="single" w:sz="6" w:space="0" w:color="000000"/>
              <w:bottom w:val="single" w:sz="6" w:space="0" w:color="000000"/>
              <w:right w:val="single" w:sz="6" w:space="0" w:color="000000"/>
            </w:tcBorders>
          </w:tcPr>
          <w:p w14:paraId="553B28D0"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98" w:type="dxa"/>
            <w:tcBorders>
              <w:top w:val="single" w:sz="6" w:space="0" w:color="000000"/>
              <w:left w:val="single" w:sz="6" w:space="0" w:color="000000"/>
              <w:bottom w:val="single" w:sz="6" w:space="0" w:color="000000"/>
              <w:right w:val="single" w:sz="6" w:space="0" w:color="000000"/>
            </w:tcBorders>
          </w:tcPr>
          <w:p w14:paraId="5999A6A7" w14:textId="77777777" w:rsidR="002D58E4" w:rsidRDefault="00F721D4">
            <w:pPr>
              <w:spacing w:after="0"/>
              <w:rPr>
                <w:sz w:val="20"/>
                <w:szCs w:val="20"/>
              </w:rPr>
            </w:pPr>
            <w:r>
              <w:rPr>
                <w:sz w:val="20"/>
                <w:szCs w:val="20"/>
              </w:rPr>
              <w:t xml:space="preserve">CRITICAL </w:t>
            </w:r>
          </w:p>
        </w:tc>
      </w:tr>
    </w:tbl>
    <w:p w14:paraId="3A5402E6" w14:textId="77777777" w:rsidR="002D58E4" w:rsidRDefault="00F721D4" w:rsidP="00171735">
      <w:pPr>
        <w:pBdr>
          <w:top w:val="nil"/>
          <w:left w:val="nil"/>
          <w:bottom w:val="nil"/>
          <w:right w:val="nil"/>
          <w:between w:val="nil"/>
        </w:pBdr>
        <w:spacing w:before="100" w:after="100" w:line="240" w:lineRule="auto"/>
        <w:ind w:right="-3980"/>
        <w:rPr>
          <w:color w:val="000000"/>
          <w:sz w:val="20"/>
          <w:szCs w:val="20"/>
        </w:rPr>
      </w:pPr>
      <w:r>
        <w:rPr>
          <w:color w:val="000000"/>
          <w:sz w:val="20"/>
          <w:szCs w:val="20"/>
        </w:rPr>
        <w:t xml:space="preserve">* Improvement of arthritis was defined as “full remission” or “partial remission” (presented with arthritis, but after treatment continued to have persistent arthralgia without signs of inflammation) (Hassler study) and as absence of objective evidence of arthritis (either relapsing or remitting) (Dattwyler study). </w:t>
      </w:r>
    </w:p>
    <w:p w14:paraId="44000B18"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77986765" w14:textId="77777777" w:rsidR="00171735" w:rsidRDefault="00171735" w:rsidP="00171735">
      <w:pPr>
        <w:spacing w:before="280" w:after="0"/>
        <w:rPr>
          <w:b/>
          <w:color w:val="000000"/>
          <w:sz w:val="24"/>
          <w:szCs w:val="24"/>
        </w:rPr>
      </w:pPr>
      <w:r>
        <w:rPr>
          <w:b/>
          <w:color w:val="000000"/>
          <w:sz w:val="24"/>
          <w:szCs w:val="24"/>
        </w:rPr>
        <w:t>Explanations</w:t>
      </w:r>
    </w:p>
    <w:p w14:paraId="50B673E1" w14:textId="77777777" w:rsidR="002D58E4" w:rsidRDefault="00F721D4">
      <w:pPr>
        <w:spacing w:after="0"/>
        <w:rPr>
          <w:color w:val="000000"/>
          <w:sz w:val="18"/>
          <w:szCs w:val="18"/>
        </w:rPr>
      </w:pPr>
      <w:r>
        <w:rPr>
          <w:color w:val="000000"/>
          <w:sz w:val="18"/>
          <w:szCs w:val="18"/>
        </w:rPr>
        <w:t xml:space="preserve">a. The entire randomized sample was not used for this outcome in Dattwyler study </w:t>
      </w:r>
    </w:p>
    <w:p w14:paraId="0288689E" w14:textId="77777777" w:rsidR="002D58E4" w:rsidRDefault="00F721D4">
      <w:pPr>
        <w:spacing w:after="0"/>
        <w:rPr>
          <w:color w:val="000000"/>
          <w:sz w:val="18"/>
          <w:szCs w:val="18"/>
        </w:rPr>
      </w:pPr>
      <w:r>
        <w:rPr>
          <w:color w:val="000000"/>
          <w:sz w:val="18"/>
          <w:szCs w:val="18"/>
        </w:rPr>
        <w:t>b. Fragility due to low event rate and small sample size</w:t>
      </w:r>
    </w:p>
    <w:p w14:paraId="46221BC3" w14:textId="77777777" w:rsidR="002D58E4" w:rsidRDefault="00F721D4">
      <w:pPr>
        <w:spacing w:after="0"/>
        <w:rPr>
          <w:color w:val="000000"/>
          <w:sz w:val="18"/>
          <w:szCs w:val="18"/>
        </w:rPr>
      </w:pPr>
      <w:r>
        <w:rPr>
          <w:color w:val="000000"/>
          <w:sz w:val="18"/>
          <w:szCs w:val="18"/>
        </w:rPr>
        <w:t>c. Inconsistency as measured by I</w:t>
      </w:r>
      <w:r>
        <w:rPr>
          <w:color w:val="000000"/>
          <w:sz w:val="18"/>
          <w:szCs w:val="18"/>
          <w:vertAlign w:val="superscript"/>
        </w:rPr>
        <w:t>2</w:t>
      </w:r>
      <w:r>
        <w:rPr>
          <w:color w:val="000000"/>
          <w:sz w:val="18"/>
          <w:szCs w:val="18"/>
        </w:rPr>
        <w:t xml:space="preserve">= 94% </w:t>
      </w:r>
    </w:p>
    <w:p w14:paraId="258FE1AF" w14:textId="77777777" w:rsidR="002D58E4" w:rsidRDefault="00F721D4">
      <w:pPr>
        <w:spacing w:after="160" w:line="259" w:lineRule="auto"/>
        <w:rPr>
          <w:b/>
          <w:sz w:val="32"/>
          <w:szCs w:val="32"/>
        </w:rPr>
      </w:pPr>
      <w:r>
        <w:br w:type="page"/>
      </w:r>
    </w:p>
    <w:p w14:paraId="1BD1B8E3" w14:textId="77777777" w:rsidR="002D58E4" w:rsidRDefault="00F721D4">
      <w:pPr>
        <w:rPr>
          <w:b/>
          <w:color w:val="000000"/>
          <w:u w:val="single"/>
        </w:rPr>
      </w:pPr>
      <w:r>
        <w:rPr>
          <w:b/>
          <w:color w:val="000000"/>
          <w:u w:val="single"/>
        </w:rPr>
        <w:t>DOXYCYCLINE vs. AMOXICILLIN</w:t>
      </w:r>
    </w:p>
    <w:p w14:paraId="57AEACC9" w14:textId="77777777" w:rsidR="002D58E4" w:rsidRDefault="00F721D4">
      <w:pPr>
        <w:spacing w:after="0"/>
        <w:rPr>
          <w:b/>
        </w:rPr>
      </w:pPr>
      <w:r>
        <w:rPr>
          <w:b/>
        </w:rPr>
        <w:t>In patients with Lyme arthritis, should doxycycline be used over amoxicillin?</w:t>
      </w:r>
    </w:p>
    <w:p w14:paraId="6327906E" w14:textId="77777777" w:rsidR="002D58E4" w:rsidRDefault="00F721D4">
      <w:pPr>
        <w:spacing w:after="0"/>
      </w:pPr>
      <w:r>
        <w:t>P: In patients with Lyme arthritis</w:t>
      </w:r>
    </w:p>
    <w:p w14:paraId="7FDCBE00" w14:textId="77777777" w:rsidR="002D58E4" w:rsidRDefault="00F721D4">
      <w:pPr>
        <w:spacing w:after="0"/>
      </w:pPr>
      <w:r>
        <w:t xml:space="preserve">I: Doxycycline </w:t>
      </w:r>
    </w:p>
    <w:p w14:paraId="5271F15F" w14:textId="77777777" w:rsidR="002D58E4" w:rsidRDefault="00F721D4">
      <w:pPr>
        <w:spacing w:after="0"/>
      </w:pPr>
      <w:r>
        <w:t>C: Amoxicillin</w:t>
      </w:r>
    </w:p>
    <w:p w14:paraId="11C74C03" w14:textId="77777777" w:rsidR="00171735" w:rsidRDefault="00171735">
      <w:pPr>
        <w:rPr>
          <w:b/>
          <w:color w:val="000000"/>
          <w:sz w:val="18"/>
          <w:szCs w:val="18"/>
        </w:rPr>
      </w:pPr>
    </w:p>
    <w:p w14:paraId="7845AE96" w14:textId="2264D836" w:rsidR="002D58E4" w:rsidRDefault="00F721D4">
      <w:pPr>
        <w:rPr>
          <w:color w:val="000000"/>
          <w:sz w:val="18"/>
          <w:szCs w:val="18"/>
        </w:rPr>
      </w:pPr>
      <w:r>
        <w:rPr>
          <w:b/>
          <w:color w:val="000000"/>
          <w:sz w:val="18"/>
          <w:szCs w:val="18"/>
        </w:rPr>
        <w:t>Bibliography</w:t>
      </w:r>
      <w:r>
        <w:rPr>
          <w:color w:val="000000"/>
          <w:sz w:val="18"/>
          <w:szCs w:val="18"/>
        </w:rPr>
        <w:t>: 1. Steere, et al.</w:t>
      </w:r>
      <w:r>
        <w:t xml:space="preserve"> </w:t>
      </w:r>
      <w:r>
        <w:rPr>
          <w:color w:val="000000"/>
          <w:sz w:val="18"/>
          <w:szCs w:val="18"/>
        </w:rPr>
        <w:t>Arthritis Rheum. 1994 Jun; 37(6): 878-88.</w:t>
      </w:r>
    </w:p>
    <w:tbl>
      <w:tblPr>
        <w:tblStyle w:val="afff2"/>
        <w:tblW w:w="14862"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4"/>
        <w:gridCol w:w="679"/>
        <w:gridCol w:w="1007"/>
        <w:gridCol w:w="1087"/>
        <w:gridCol w:w="992"/>
        <w:gridCol w:w="1071"/>
        <w:gridCol w:w="913"/>
        <w:gridCol w:w="1108"/>
        <w:gridCol w:w="1025"/>
        <w:gridCol w:w="1459"/>
        <w:gridCol w:w="2409"/>
        <w:gridCol w:w="1134"/>
        <w:gridCol w:w="1254"/>
      </w:tblGrid>
      <w:tr w:rsidR="002305C5" w14:paraId="0FD086FD" w14:textId="77777777" w:rsidTr="002305C5">
        <w:tc>
          <w:tcPr>
            <w:tcW w:w="6473" w:type="dxa"/>
            <w:gridSpan w:val="7"/>
            <w:tcBorders>
              <w:top w:val="single" w:sz="6" w:space="0" w:color="000000"/>
              <w:left w:val="single" w:sz="6" w:space="0" w:color="000000"/>
              <w:bottom w:val="single" w:sz="6" w:space="0" w:color="000000"/>
              <w:right w:val="single" w:sz="6" w:space="0" w:color="000000"/>
            </w:tcBorders>
            <w:shd w:val="clear" w:color="auto" w:fill="D9D9D9"/>
            <w:vAlign w:val="center"/>
          </w:tcPr>
          <w:p w14:paraId="2447B1F8" w14:textId="77777777" w:rsidR="002305C5" w:rsidRDefault="002305C5">
            <w:pPr>
              <w:spacing w:after="0"/>
              <w:jc w:val="center"/>
              <w:rPr>
                <w:b/>
                <w:sz w:val="20"/>
                <w:szCs w:val="20"/>
              </w:rPr>
            </w:pPr>
            <w:r>
              <w:rPr>
                <w:b/>
                <w:sz w:val="20"/>
                <w:szCs w:val="20"/>
              </w:rPr>
              <w:t>Certainty assessment</w:t>
            </w:r>
          </w:p>
        </w:tc>
        <w:tc>
          <w:tcPr>
            <w:tcW w:w="213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D834C23" w14:textId="77777777" w:rsidR="002305C5" w:rsidRDefault="002305C5">
            <w:pPr>
              <w:spacing w:after="0"/>
              <w:jc w:val="center"/>
              <w:rPr>
                <w:b/>
                <w:sz w:val="20"/>
                <w:szCs w:val="20"/>
              </w:rPr>
            </w:pPr>
            <w:r>
              <w:rPr>
                <w:b/>
                <w:sz w:val="20"/>
                <w:szCs w:val="20"/>
              </w:rPr>
              <w:t>№ of patients/№ of events</w:t>
            </w:r>
          </w:p>
        </w:tc>
        <w:tc>
          <w:tcPr>
            <w:tcW w:w="3868"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610CBAC5" w14:textId="77777777" w:rsidR="002305C5" w:rsidRDefault="002305C5">
            <w:pPr>
              <w:spacing w:after="0"/>
              <w:jc w:val="center"/>
              <w:rPr>
                <w:b/>
                <w:sz w:val="20"/>
                <w:szCs w:val="20"/>
              </w:rPr>
            </w:pPr>
            <w:r>
              <w:rPr>
                <w:b/>
                <w:sz w:val="20"/>
                <w:szCs w:val="20"/>
              </w:rPr>
              <w:t>Effect</w:t>
            </w:r>
          </w:p>
        </w:tc>
        <w:tc>
          <w:tcPr>
            <w:tcW w:w="1134" w:type="dxa"/>
            <w:vMerge w:val="restart"/>
            <w:tcBorders>
              <w:top w:val="single" w:sz="6" w:space="0" w:color="000000"/>
              <w:left w:val="single" w:sz="6" w:space="0" w:color="000000"/>
              <w:right w:val="single" w:sz="6" w:space="0" w:color="000000"/>
            </w:tcBorders>
            <w:shd w:val="clear" w:color="auto" w:fill="D9D9D9"/>
            <w:vAlign w:val="center"/>
          </w:tcPr>
          <w:p w14:paraId="406612AD" w14:textId="77777777" w:rsidR="002305C5" w:rsidRDefault="002305C5">
            <w:pPr>
              <w:spacing w:after="0"/>
              <w:jc w:val="center"/>
              <w:rPr>
                <w:b/>
                <w:sz w:val="20"/>
                <w:szCs w:val="20"/>
              </w:rPr>
            </w:pPr>
            <w:r>
              <w:rPr>
                <w:b/>
                <w:sz w:val="20"/>
                <w:szCs w:val="20"/>
              </w:rPr>
              <w:t>Certainty</w:t>
            </w:r>
          </w:p>
        </w:tc>
        <w:tc>
          <w:tcPr>
            <w:tcW w:w="1251" w:type="dxa"/>
            <w:vMerge w:val="restart"/>
            <w:tcBorders>
              <w:top w:val="single" w:sz="6" w:space="0" w:color="000000"/>
              <w:left w:val="single" w:sz="6" w:space="0" w:color="000000"/>
              <w:right w:val="single" w:sz="6" w:space="0" w:color="000000"/>
            </w:tcBorders>
            <w:shd w:val="clear" w:color="auto" w:fill="D9D9D9"/>
            <w:vAlign w:val="center"/>
          </w:tcPr>
          <w:p w14:paraId="26E73B09" w14:textId="77777777" w:rsidR="002305C5" w:rsidRDefault="002305C5">
            <w:pPr>
              <w:spacing w:after="0"/>
              <w:jc w:val="center"/>
              <w:rPr>
                <w:b/>
                <w:sz w:val="20"/>
                <w:szCs w:val="20"/>
              </w:rPr>
            </w:pPr>
            <w:r>
              <w:rPr>
                <w:b/>
                <w:sz w:val="20"/>
                <w:szCs w:val="20"/>
              </w:rPr>
              <w:t>Importance</w:t>
            </w:r>
          </w:p>
        </w:tc>
      </w:tr>
      <w:tr w:rsidR="002305C5" w14:paraId="6F87CA19" w14:textId="77777777" w:rsidTr="002305C5">
        <w:tc>
          <w:tcPr>
            <w:tcW w:w="72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DD74CA9" w14:textId="77777777" w:rsidR="002305C5" w:rsidRDefault="002305C5">
            <w:pPr>
              <w:spacing w:after="0"/>
              <w:jc w:val="center"/>
              <w:rPr>
                <w:b/>
                <w:sz w:val="20"/>
                <w:szCs w:val="20"/>
              </w:rPr>
            </w:pPr>
            <w:r>
              <w:rPr>
                <w:b/>
                <w:sz w:val="20"/>
                <w:szCs w:val="20"/>
              </w:rPr>
              <w:t>№ of studies</w:t>
            </w:r>
          </w:p>
        </w:tc>
        <w:tc>
          <w:tcPr>
            <w:tcW w:w="67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7A4C470" w14:textId="77777777" w:rsidR="002305C5" w:rsidRDefault="002305C5">
            <w:pPr>
              <w:spacing w:after="0"/>
              <w:jc w:val="center"/>
              <w:rPr>
                <w:b/>
                <w:sz w:val="20"/>
                <w:szCs w:val="20"/>
              </w:rPr>
            </w:pPr>
            <w:r>
              <w:rPr>
                <w:b/>
                <w:sz w:val="20"/>
                <w:szCs w:val="20"/>
              </w:rPr>
              <w:t>Study design</w:t>
            </w:r>
          </w:p>
        </w:tc>
        <w:tc>
          <w:tcPr>
            <w:tcW w:w="100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710DCBE" w14:textId="77777777" w:rsidR="002305C5" w:rsidRDefault="002305C5">
            <w:pPr>
              <w:spacing w:after="0"/>
              <w:jc w:val="center"/>
              <w:rPr>
                <w:b/>
                <w:sz w:val="20"/>
                <w:szCs w:val="20"/>
              </w:rPr>
            </w:pPr>
            <w:r>
              <w:rPr>
                <w:b/>
                <w:sz w:val="20"/>
                <w:szCs w:val="20"/>
              </w:rPr>
              <w:t>Risk of bias</w:t>
            </w:r>
          </w:p>
        </w:tc>
        <w:tc>
          <w:tcPr>
            <w:tcW w:w="10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CF15FFC" w14:textId="77777777" w:rsidR="002305C5" w:rsidRDefault="002305C5">
            <w:pPr>
              <w:spacing w:after="0"/>
              <w:jc w:val="center"/>
              <w:rPr>
                <w:b/>
                <w:sz w:val="20"/>
                <w:szCs w:val="20"/>
              </w:rPr>
            </w:pPr>
            <w:r>
              <w:rPr>
                <w:b/>
                <w:sz w:val="20"/>
                <w:szCs w:val="20"/>
              </w:rPr>
              <w:t>Inconsistency</w:t>
            </w:r>
          </w:p>
        </w:tc>
        <w:tc>
          <w:tcPr>
            <w:tcW w:w="9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2FBFCCC" w14:textId="77777777" w:rsidR="002305C5" w:rsidRDefault="002305C5">
            <w:pPr>
              <w:spacing w:after="0"/>
              <w:jc w:val="center"/>
              <w:rPr>
                <w:b/>
                <w:sz w:val="20"/>
                <w:szCs w:val="20"/>
              </w:rPr>
            </w:pPr>
            <w:r>
              <w:rPr>
                <w:b/>
                <w:sz w:val="20"/>
                <w:szCs w:val="20"/>
              </w:rPr>
              <w:t>Indirectness</w:t>
            </w:r>
          </w:p>
        </w:tc>
        <w:tc>
          <w:tcPr>
            <w:tcW w:w="107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81DE511" w14:textId="77777777" w:rsidR="002305C5" w:rsidRDefault="002305C5">
            <w:pPr>
              <w:spacing w:after="0"/>
              <w:jc w:val="center"/>
              <w:rPr>
                <w:b/>
                <w:sz w:val="20"/>
                <w:szCs w:val="20"/>
              </w:rPr>
            </w:pPr>
            <w:r>
              <w:rPr>
                <w:b/>
                <w:sz w:val="20"/>
                <w:szCs w:val="20"/>
              </w:rPr>
              <w:t>Imprecision</w:t>
            </w:r>
          </w:p>
        </w:tc>
        <w:tc>
          <w:tcPr>
            <w:tcW w:w="91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E99789" w14:textId="77777777" w:rsidR="002305C5" w:rsidRDefault="002305C5">
            <w:pPr>
              <w:spacing w:after="0"/>
              <w:jc w:val="center"/>
              <w:rPr>
                <w:b/>
                <w:sz w:val="20"/>
                <w:szCs w:val="20"/>
              </w:rPr>
            </w:pPr>
            <w:r>
              <w:rPr>
                <w:b/>
                <w:sz w:val="20"/>
                <w:szCs w:val="20"/>
              </w:rPr>
              <w:t>Other considerations</w:t>
            </w:r>
          </w:p>
        </w:tc>
        <w:tc>
          <w:tcPr>
            <w:tcW w:w="110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5676538" w14:textId="77777777" w:rsidR="002305C5" w:rsidRDefault="002305C5">
            <w:pPr>
              <w:spacing w:after="0"/>
              <w:jc w:val="center"/>
              <w:rPr>
                <w:b/>
                <w:sz w:val="20"/>
                <w:szCs w:val="20"/>
              </w:rPr>
            </w:pPr>
            <w:r>
              <w:rPr>
                <w:b/>
                <w:sz w:val="20"/>
                <w:szCs w:val="20"/>
              </w:rPr>
              <w:t>Doxycycline</w:t>
            </w:r>
          </w:p>
        </w:tc>
        <w:tc>
          <w:tcPr>
            <w:tcW w:w="10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AA2F853" w14:textId="77777777" w:rsidR="002305C5" w:rsidRDefault="002305C5">
            <w:pPr>
              <w:spacing w:after="0"/>
              <w:jc w:val="center"/>
              <w:rPr>
                <w:b/>
                <w:sz w:val="20"/>
                <w:szCs w:val="20"/>
              </w:rPr>
            </w:pPr>
            <w:r>
              <w:rPr>
                <w:b/>
                <w:sz w:val="20"/>
                <w:szCs w:val="20"/>
              </w:rPr>
              <w:t>Amoxicillin</w:t>
            </w:r>
          </w:p>
        </w:tc>
        <w:tc>
          <w:tcPr>
            <w:tcW w:w="145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91D5FF8" w14:textId="77777777" w:rsidR="002305C5" w:rsidRDefault="002305C5">
            <w:pPr>
              <w:spacing w:after="0"/>
              <w:jc w:val="center"/>
              <w:rPr>
                <w:b/>
                <w:sz w:val="20"/>
                <w:szCs w:val="20"/>
              </w:rPr>
            </w:pPr>
            <w:r>
              <w:rPr>
                <w:b/>
                <w:sz w:val="20"/>
                <w:szCs w:val="20"/>
              </w:rPr>
              <w:t>Relative</w:t>
            </w:r>
            <w:r>
              <w:rPr>
                <w:b/>
                <w:sz w:val="20"/>
                <w:szCs w:val="20"/>
              </w:rPr>
              <w:br/>
              <w:t>(95% CI)</w:t>
            </w:r>
          </w:p>
        </w:tc>
        <w:tc>
          <w:tcPr>
            <w:tcW w:w="24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6F78270" w14:textId="77777777" w:rsidR="002305C5" w:rsidRDefault="002305C5">
            <w:pPr>
              <w:spacing w:after="0"/>
              <w:jc w:val="center"/>
              <w:rPr>
                <w:b/>
                <w:sz w:val="20"/>
                <w:szCs w:val="20"/>
              </w:rPr>
            </w:pPr>
            <w:r>
              <w:rPr>
                <w:b/>
                <w:sz w:val="20"/>
                <w:szCs w:val="20"/>
              </w:rPr>
              <w:t>Absolute</w:t>
            </w:r>
            <w:r>
              <w:rPr>
                <w:b/>
                <w:sz w:val="20"/>
                <w:szCs w:val="20"/>
              </w:rPr>
              <w:br/>
              <w:t>(95% CI)</w:t>
            </w:r>
          </w:p>
        </w:tc>
        <w:tc>
          <w:tcPr>
            <w:tcW w:w="1134" w:type="dxa"/>
            <w:vMerge/>
            <w:tcBorders>
              <w:left w:val="single" w:sz="6" w:space="0" w:color="000000"/>
              <w:bottom w:val="single" w:sz="6" w:space="0" w:color="000000"/>
              <w:right w:val="single" w:sz="6" w:space="0" w:color="000000"/>
            </w:tcBorders>
            <w:shd w:val="clear" w:color="auto" w:fill="D9D9D9"/>
            <w:vAlign w:val="center"/>
          </w:tcPr>
          <w:p w14:paraId="5053D841" w14:textId="77777777" w:rsidR="002305C5" w:rsidRDefault="002305C5">
            <w:pPr>
              <w:spacing w:after="0"/>
              <w:rPr>
                <w:b/>
                <w:sz w:val="20"/>
                <w:szCs w:val="20"/>
              </w:rPr>
            </w:pPr>
          </w:p>
        </w:tc>
        <w:tc>
          <w:tcPr>
            <w:tcW w:w="1251" w:type="dxa"/>
            <w:vMerge/>
            <w:tcBorders>
              <w:left w:val="single" w:sz="6" w:space="0" w:color="000000"/>
              <w:bottom w:val="single" w:sz="6" w:space="0" w:color="000000"/>
              <w:right w:val="single" w:sz="6" w:space="0" w:color="000000"/>
            </w:tcBorders>
            <w:shd w:val="clear" w:color="auto" w:fill="D9D9D9"/>
            <w:vAlign w:val="center"/>
          </w:tcPr>
          <w:p w14:paraId="3B9C2016" w14:textId="77777777" w:rsidR="002305C5" w:rsidRDefault="002305C5">
            <w:pPr>
              <w:spacing w:after="0"/>
              <w:rPr>
                <w:b/>
                <w:sz w:val="20"/>
                <w:szCs w:val="20"/>
              </w:rPr>
            </w:pPr>
          </w:p>
        </w:tc>
      </w:tr>
      <w:tr w:rsidR="002D58E4" w14:paraId="7515B5F4" w14:textId="77777777" w:rsidTr="002305C5">
        <w:tc>
          <w:tcPr>
            <w:tcW w:w="14862"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76126AE" w14:textId="77777777" w:rsidR="002D58E4" w:rsidRDefault="00F721D4">
            <w:pPr>
              <w:spacing w:after="0"/>
              <w:rPr>
                <w:b/>
                <w:sz w:val="20"/>
                <w:szCs w:val="20"/>
              </w:rPr>
            </w:pPr>
            <w:r>
              <w:rPr>
                <w:b/>
                <w:sz w:val="20"/>
                <w:szCs w:val="20"/>
              </w:rPr>
              <w:t xml:space="preserve">Resolution of Arthritis </w:t>
            </w:r>
            <w:r>
              <w:rPr>
                <w:sz w:val="20"/>
                <w:szCs w:val="20"/>
              </w:rPr>
              <w:t>(within 3 months)</w:t>
            </w:r>
          </w:p>
        </w:tc>
      </w:tr>
      <w:tr w:rsidR="002D58E4" w14:paraId="6097BE09" w14:textId="77777777" w:rsidTr="002305C5">
        <w:tc>
          <w:tcPr>
            <w:tcW w:w="724" w:type="dxa"/>
            <w:tcBorders>
              <w:top w:val="single" w:sz="6" w:space="0" w:color="000000"/>
              <w:left w:val="single" w:sz="6" w:space="0" w:color="000000"/>
              <w:bottom w:val="single" w:sz="6" w:space="0" w:color="000000"/>
              <w:right w:val="single" w:sz="6" w:space="0" w:color="000000"/>
            </w:tcBorders>
          </w:tcPr>
          <w:p w14:paraId="5CF23C30" w14:textId="77777777" w:rsidR="002D58E4" w:rsidRDefault="00F721D4">
            <w:pPr>
              <w:spacing w:after="0"/>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53FBE2AA" w14:textId="77777777" w:rsidR="002D58E4" w:rsidRDefault="00F721D4">
            <w:pPr>
              <w:spacing w:after="0"/>
              <w:rPr>
                <w:sz w:val="20"/>
                <w:szCs w:val="20"/>
              </w:rPr>
            </w:pPr>
            <w:r>
              <w:rPr>
                <w:sz w:val="20"/>
                <w:szCs w:val="20"/>
              </w:rPr>
              <w:t xml:space="preserve">RCT </w:t>
            </w:r>
            <w:r>
              <w:rPr>
                <w:sz w:val="20"/>
                <w:szCs w:val="20"/>
                <w:vertAlign w:val="superscript"/>
              </w:rPr>
              <w:t>1</w:t>
            </w:r>
            <w:r>
              <w:rPr>
                <w:sz w:val="20"/>
                <w:szCs w:val="20"/>
              </w:rPr>
              <w:t xml:space="preserve"> </w:t>
            </w:r>
          </w:p>
        </w:tc>
        <w:tc>
          <w:tcPr>
            <w:tcW w:w="1007" w:type="dxa"/>
            <w:tcBorders>
              <w:top w:val="single" w:sz="6" w:space="0" w:color="000000"/>
              <w:left w:val="single" w:sz="6" w:space="0" w:color="000000"/>
              <w:bottom w:val="single" w:sz="6" w:space="0" w:color="000000"/>
              <w:right w:val="single" w:sz="6" w:space="0" w:color="000000"/>
            </w:tcBorders>
          </w:tcPr>
          <w:p w14:paraId="01337CD0"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1087" w:type="dxa"/>
            <w:tcBorders>
              <w:top w:val="single" w:sz="6" w:space="0" w:color="000000"/>
              <w:left w:val="single" w:sz="6" w:space="0" w:color="000000"/>
              <w:bottom w:val="single" w:sz="6" w:space="0" w:color="000000"/>
              <w:right w:val="single" w:sz="6" w:space="0" w:color="000000"/>
            </w:tcBorders>
          </w:tcPr>
          <w:p w14:paraId="2F47DE01" w14:textId="77777777" w:rsidR="002D58E4" w:rsidRDefault="00F721D4">
            <w:pPr>
              <w:spacing w:after="0"/>
              <w:rPr>
                <w:sz w:val="20"/>
                <w:szCs w:val="20"/>
              </w:rPr>
            </w:pPr>
            <w:r>
              <w:rPr>
                <w:sz w:val="20"/>
                <w:szCs w:val="20"/>
              </w:rPr>
              <w:t xml:space="preserve">not serious </w:t>
            </w:r>
          </w:p>
        </w:tc>
        <w:tc>
          <w:tcPr>
            <w:tcW w:w="992" w:type="dxa"/>
            <w:tcBorders>
              <w:top w:val="single" w:sz="6" w:space="0" w:color="000000"/>
              <w:left w:val="single" w:sz="6" w:space="0" w:color="000000"/>
              <w:bottom w:val="single" w:sz="6" w:space="0" w:color="000000"/>
              <w:right w:val="single" w:sz="6" w:space="0" w:color="000000"/>
            </w:tcBorders>
          </w:tcPr>
          <w:p w14:paraId="731C86CE"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286C8C41" w14:textId="77777777" w:rsidR="002D58E4" w:rsidRDefault="00F721D4">
            <w:pPr>
              <w:spacing w:after="0"/>
              <w:rPr>
                <w:sz w:val="20"/>
                <w:szCs w:val="20"/>
              </w:rPr>
            </w:pPr>
            <w:r>
              <w:rPr>
                <w:sz w:val="20"/>
                <w:szCs w:val="20"/>
              </w:rPr>
              <w:t xml:space="preserve">serious </w:t>
            </w:r>
            <w:r>
              <w:rPr>
                <w:sz w:val="20"/>
                <w:szCs w:val="20"/>
                <w:vertAlign w:val="superscript"/>
              </w:rPr>
              <w:t>b</w:t>
            </w:r>
            <w:r>
              <w:rPr>
                <w:sz w:val="20"/>
                <w:szCs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674D5BC6" w14:textId="77777777" w:rsidR="002D58E4" w:rsidRDefault="00F721D4">
            <w:pPr>
              <w:spacing w:after="0"/>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1DC6A3AF" w14:textId="77777777" w:rsidR="002D58E4" w:rsidRDefault="00F721D4">
            <w:pPr>
              <w:spacing w:after="0"/>
              <w:jc w:val="center"/>
              <w:rPr>
                <w:sz w:val="20"/>
                <w:szCs w:val="20"/>
              </w:rPr>
            </w:pPr>
            <w:r>
              <w:rPr>
                <w:sz w:val="20"/>
                <w:szCs w:val="20"/>
              </w:rPr>
              <w:t xml:space="preserve">18/20 (90.0%) </w:t>
            </w:r>
          </w:p>
        </w:tc>
        <w:tc>
          <w:tcPr>
            <w:tcW w:w="1025" w:type="dxa"/>
            <w:tcBorders>
              <w:top w:val="single" w:sz="6" w:space="0" w:color="000000"/>
              <w:left w:val="single" w:sz="6" w:space="0" w:color="000000"/>
              <w:bottom w:val="single" w:sz="6" w:space="0" w:color="000000"/>
              <w:right w:val="single" w:sz="6" w:space="0" w:color="000000"/>
            </w:tcBorders>
          </w:tcPr>
          <w:p w14:paraId="68822180" w14:textId="77777777" w:rsidR="002D58E4" w:rsidRDefault="00F721D4">
            <w:pPr>
              <w:spacing w:after="0"/>
              <w:jc w:val="center"/>
              <w:rPr>
                <w:sz w:val="20"/>
                <w:szCs w:val="20"/>
              </w:rPr>
            </w:pPr>
            <w:r>
              <w:rPr>
                <w:sz w:val="20"/>
                <w:szCs w:val="20"/>
              </w:rPr>
              <w:t xml:space="preserve">16/18 (88.9%) </w:t>
            </w:r>
          </w:p>
        </w:tc>
        <w:tc>
          <w:tcPr>
            <w:tcW w:w="1459" w:type="dxa"/>
            <w:tcBorders>
              <w:top w:val="single" w:sz="6" w:space="0" w:color="000000"/>
              <w:left w:val="single" w:sz="6" w:space="0" w:color="000000"/>
              <w:bottom w:val="single" w:sz="6" w:space="0" w:color="000000"/>
              <w:right w:val="single" w:sz="6" w:space="0" w:color="000000"/>
            </w:tcBorders>
          </w:tcPr>
          <w:p w14:paraId="634C1CCA" w14:textId="77777777" w:rsidR="002D58E4" w:rsidRDefault="00F721D4">
            <w:pPr>
              <w:spacing w:after="0"/>
              <w:jc w:val="center"/>
              <w:rPr>
                <w:sz w:val="20"/>
                <w:szCs w:val="20"/>
              </w:rPr>
            </w:pPr>
            <w:r>
              <w:rPr>
                <w:sz w:val="20"/>
                <w:szCs w:val="20"/>
              </w:rPr>
              <w:t>RR 1.01</w:t>
            </w:r>
            <w:r>
              <w:rPr>
                <w:sz w:val="20"/>
                <w:szCs w:val="20"/>
              </w:rPr>
              <w:br/>
              <w:t xml:space="preserve">(0.81 to 1.26) </w:t>
            </w:r>
          </w:p>
        </w:tc>
        <w:tc>
          <w:tcPr>
            <w:tcW w:w="2409" w:type="dxa"/>
            <w:tcBorders>
              <w:top w:val="single" w:sz="6" w:space="0" w:color="000000"/>
              <w:left w:val="single" w:sz="6" w:space="0" w:color="000000"/>
              <w:bottom w:val="single" w:sz="6" w:space="0" w:color="000000"/>
              <w:right w:val="single" w:sz="6" w:space="0" w:color="000000"/>
            </w:tcBorders>
          </w:tcPr>
          <w:p w14:paraId="79F963CC" w14:textId="77777777" w:rsidR="002D58E4" w:rsidRDefault="00F721D4">
            <w:pPr>
              <w:spacing w:after="0"/>
              <w:jc w:val="center"/>
              <w:rPr>
                <w:sz w:val="20"/>
                <w:szCs w:val="20"/>
              </w:rPr>
            </w:pPr>
            <w:r>
              <w:rPr>
                <w:sz w:val="20"/>
                <w:szCs w:val="20"/>
              </w:rPr>
              <w:t>9 more per 1,000</w:t>
            </w:r>
            <w:r>
              <w:rPr>
                <w:sz w:val="20"/>
                <w:szCs w:val="20"/>
              </w:rPr>
              <w:br/>
              <w:t xml:space="preserve">(from 169 fewer to 231 more) </w:t>
            </w:r>
          </w:p>
        </w:tc>
        <w:tc>
          <w:tcPr>
            <w:tcW w:w="1134" w:type="dxa"/>
            <w:tcBorders>
              <w:top w:val="single" w:sz="6" w:space="0" w:color="000000"/>
              <w:left w:val="single" w:sz="6" w:space="0" w:color="000000"/>
              <w:bottom w:val="single" w:sz="6" w:space="0" w:color="000000"/>
              <w:right w:val="single" w:sz="6" w:space="0" w:color="000000"/>
            </w:tcBorders>
          </w:tcPr>
          <w:p w14:paraId="6F7670F5"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251" w:type="dxa"/>
            <w:tcBorders>
              <w:top w:val="single" w:sz="6" w:space="0" w:color="000000"/>
              <w:left w:val="single" w:sz="6" w:space="0" w:color="000000"/>
              <w:bottom w:val="single" w:sz="6" w:space="0" w:color="000000"/>
              <w:right w:val="single" w:sz="6" w:space="0" w:color="000000"/>
            </w:tcBorders>
          </w:tcPr>
          <w:p w14:paraId="2DD85DEB" w14:textId="77777777" w:rsidR="002D58E4" w:rsidRDefault="00F721D4">
            <w:pPr>
              <w:spacing w:after="0"/>
              <w:rPr>
                <w:sz w:val="20"/>
                <w:szCs w:val="20"/>
              </w:rPr>
            </w:pPr>
            <w:r>
              <w:rPr>
                <w:sz w:val="20"/>
                <w:szCs w:val="20"/>
              </w:rPr>
              <w:t xml:space="preserve">CRITICAL </w:t>
            </w:r>
          </w:p>
        </w:tc>
      </w:tr>
      <w:tr w:rsidR="002D58E4" w14:paraId="2E073862" w14:textId="77777777" w:rsidTr="002305C5">
        <w:tc>
          <w:tcPr>
            <w:tcW w:w="14862"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38624BEB" w14:textId="77777777" w:rsidR="002D58E4" w:rsidRDefault="00F721D4">
            <w:pPr>
              <w:spacing w:after="0"/>
              <w:rPr>
                <w:b/>
                <w:sz w:val="20"/>
                <w:szCs w:val="20"/>
              </w:rPr>
            </w:pPr>
            <w:r>
              <w:rPr>
                <w:b/>
                <w:sz w:val="20"/>
                <w:szCs w:val="20"/>
              </w:rPr>
              <w:t>Objective Findings of Dissemination of Lyme Disease (Development of neuroborreliosis)</w:t>
            </w:r>
          </w:p>
        </w:tc>
      </w:tr>
      <w:tr w:rsidR="002D58E4" w14:paraId="0B5264CF" w14:textId="77777777" w:rsidTr="002305C5">
        <w:tc>
          <w:tcPr>
            <w:tcW w:w="724" w:type="dxa"/>
            <w:tcBorders>
              <w:top w:val="single" w:sz="6" w:space="0" w:color="000000"/>
              <w:left w:val="single" w:sz="6" w:space="0" w:color="000000"/>
              <w:bottom w:val="single" w:sz="6" w:space="0" w:color="000000"/>
              <w:right w:val="single" w:sz="6" w:space="0" w:color="000000"/>
            </w:tcBorders>
          </w:tcPr>
          <w:p w14:paraId="660AE26A" w14:textId="77777777" w:rsidR="002D58E4" w:rsidRDefault="00F721D4">
            <w:pPr>
              <w:spacing w:after="0"/>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4A9CDC0B" w14:textId="77777777" w:rsidR="002D58E4" w:rsidRDefault="00F721D4">
            <w:pPr>
              <w:spacing w:after="0"/>
              <w:rPr>
                <w:sz w:val="20"/>
                <w:szCs w:val="20"/>
              </w:rPr>
            </w:pPr>
            <w:r>
              <w:rPr>
                <w:sz w:val="20"/>
                <w:szCs w:val="20"/>
              </w:rPr>
              <w:t xml:space="preserve">RCT </w:t>
            </w:r>
            <w:r>
              <w:rPr>
                <w:sz w:val="20"/>
                <w:szCs w:val="20"/>
                <w:vertAlign w:val="superscript"/>
              </w:rPr>
              <w:t>1</w:t>
            </w:r>
            <w:r>
              <w:rPr>
                <w:sz w:val="20"/>
                <w:szCs w:val="20"/>
              </w:rPr>
              <w:t xml:space="preserve"> </w:t>
            </w:r>
          </w:p>
        </w:tc>
        <w:tc>
          <w:tcPr>
            <w:tcW w:w="1007" w:type="dxa"/>
            <w:tcBorders>
              <w:top w:val="single" w:sz="6" w:space="0" w:color="000000"/>
              <w:left w:val="single" w:sz="6" w:space="0" w:color="000000"/>
              <w:bottom w:val="single" w:sz="6" w:space="0" w:color="000000"/>
              <w:right w:val="single" w:sz="6" w:space="0" w:color="000000"/>
            </w:tcBorders>
          </w:tcPr>
          <w:p w14:paraId="7EB25C2C"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1087" w:type="dxa"/>
            <w:tcBorders>
              <w:top w:val="single" w:sz="6" w:space="0" w:color="000000"/>
              <w:left w:val="single" w:sz="6" w:space="0" w:color="000000"/>
              <w:bottom w:val="single" w:sz="6" w:space="0" w:color="000000"/>
              <w:right w:val="single" w:sz="6" w:space="0" w:color="000000"/>
            </w:tcBorders>
          </w:tcPr>
          <w:p w14:paraId="1B86FD72" w14:textId="77777777" w:rsidR="002D58E4" w:rsidRDefault="00F721D4">
            <w:pPr>
              <w:spacing w:after="0"/>
              <w:rPr>
                <w:sz w:val="20"/>
                <w:szCs w:val="20"/>
              </w:rPr>
            </w:pPr>
            <w:r>
              <w:rPr>
                <w:sz w:val="20"/>
                <w:szCs w:val="20"/>
              </w:rPr>
              <w:t>not serious</w:t>
            </w:r>
          </w:p>
        </w:tc>
        <w:tc>
          <w:tcPr>
            <w:tcW w:w="992" w:type="dxa"/>
            <w:tcBorders>
              <w:top w:val="single" w:sz="6" w:space="0" w:color="000000"/>
              <w:left w:val="single" w:sz="6" w:space="0" w:color="000000"/>
              <w:bottom w:val="single" w:sz="6" w:space="0" w:color="000000"/>
              <w:right w:val="single" w:sz="6" w:space="0" w:color="000000"/>
            </w:tcBorders>
          </w:tcPr>
          <w:p w14:paraId="24B5C2D3"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BFFEC45"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5418082E" w14:textId="77777777" w:rsidR="002D58E4" w:rsidRDefault="00F721D4">
            <w:pPr>
              <w:spacing w:after="0"/>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38FEA2F4" w14:textId="77777777" w:rsidR="002D58E4" w:rsidRDefault="00F721D4">
            <w:pPr>
              <w:spacing w:after="0"/>
              <w:jc w:val="center"/>
              <w:rPr>
                <w:sz w:val="20"/>
                <w:szCs w:val="20"/>
              </w:rPr>
            </w:pPr>
            <w:r>
              <w:rPr>
                <w:sz w:val="20"/>
                <w:szCs w:val="20"/>
              </w:rPr>
              <w:t xml:space="preserve">1/18 </w:t>
            </w:r>
          </w:p>
          <w:p w14:paraId="1BBE471B" w14:textId="77777777" w:rsidR="002D58E4" w:rsidRDefault="00F721D4">
            <w:pPr>
              <w:spacing w:after="0"/>
              <w:jc w:val="center"/>
              <w:rPr>
                <w:sz w:val="20"/>
                <w:szCs w:val="20"/>
              </w:rPr>
            </w:pPr>
            <w:r>
              <w:rPr>
                <w:sz w:val="20"/>
                <w:szCs w:val="20"/>
              </w:rPr>
              <w:t xml:space="preserve">(5.6%) </w:t>
            </w:r>
          </w:p>
        </w:tc>
        <w:tc>
          <w:tcPr>
            <w:tcW w:w="1025" w:type="dxa"/>
            <w:tcBorders>
              <w:top w:val="single" w:sz="6" w:space="0" w:color="000000"/>
              <w:left w:val="single" w:sz="6" w:space="0" w:color="000000"/>
              <w:bottom w:val="single" w:sz="6" w:space="0" w:color="000000"/>
              <w:right w:val="single" w:sz="6" w:space="0" w:color="000000"/>
            </w:tcBorders>
          </w:tcPr>
          <w:p w14:paraId="6DBA8FD4" w14:textId="77777777" w:rsidR="002D58E4" w:rsidRDefault="00F721D4">
            <w:pPr>
              <w:spacing w:after="0"/>
              <w:jc w:val="center"/>
              <w:rPr>
                <w:sz w:val="20"/>
                <w:szCs w:val="20"/>
              </w:rPr>
            </w:pPr>
            <w:r>
              <w:rPr>
                <w:sz w:val="20"/>
                <w:szCs w:val="20"/>
              </w:rPr>
              <w:t>4/16</w:t>
            </w:r>
          </w:p>
          <w:p w14:paraId="292C9A9F" w14:textId="77777777" w:rsidR="002D58E4" w:rsidRDefault="00F721D4">
            <w:pPr>
              <w:spacing w:after="0"/>
              <w:jc w:val="center"/>
              <w:rPr>
                <w:sz w:val="20"/>
                <w:szCs w:val="20"/>
              </w:rPr>
            </w:pPr>
            <w:r>
              <w:rPr>
                <w:sz w:val="20"/>
                <w:szCs w:val="20"/>
              </w:rPr>
              <w:t xml:space="preserve"> (25.0%) </w:t>
            </w:r>
          </w:p>
        </w:tc>
        <w:tc>
          <w:tcPr>
            <w:tcW w:w="1459" w:type="dxa"/>
            <w:tcBorders>
              <w:top w:val="single" w:sz="6" w:space="0" w:color="000000"/>
              <w:left w:val="single" w:sz="6" w:space="0" w:color="000000"/>
              <w:bottom w:val="single" w:sz="6" w:space="0" w:color="000000"/>
              <w:right w:val="single" w:sz="6" w:space="0" w:color="000000"/>
            </w:tcBorders>
          </w:tcPr>
          <w:p w14:paraId="2F34A11A" w14:textId="77777777" w:rsidR="002D58E4" w:rsidRDefault="00F721D4">
            <w:pPr>
              <w:spacing w:after="0"/>
              <w:jc w:val="center"/>
              <w:rPr>
                <w:sz w:val="20"/>
                <w:szCs w:val="20"/>
              </w:rPr>
            </w:pPr>
            <w:r>
              <w:rPr>
                <w:sz w:val="20"/>
                <w:szCs w:val="20"/>
              </w:rPr>
              <w:t>RR 0.22</w:t>
            </w:r>
            <w:r>
              <w:rPr>
                <w:sz w:val="20"/>
                <w:szCs w:val="20"/>
              </w:rPr>
              <w:br/>
              <w:t xml:space="preserve">(0.03 to 1.79) </w:t>
            </w:r>
          </w:p>
        </w:tc>
        <w:tc>
          <w:tcPr>
            <w:tcW w:w="2409" w:type="dxa"/>
            <w:tcBorders>
              <w:top w:val="single" w:sz="6" w:space="0" w:color="000000"/>
              <w:left w:val="single" w:sz="6" w:space="0" w:color="000000"/>
              <w:bottom w:val="single" w:sz="6" w:space="0" w:color="000000"/>
              <w:right w:val="single" w:sz="6" w:space="0" w:color="000000"/>
            </w:tcBorders>
          </w:tcPr>
          <w:p w14:paraId="11152609" w14:textId="77777777" w:rsidR="002D58E4" w:rsidRDefault="00F721D4">
            <w:pPr>
              <w:spacing w:after="0"/>
              <w:jc w:val="center"/>
              <w:rPr>
                <w:sz w:val="20"/>
                <w:szCs w:val="20"/>
              </w:rPr>
            </w:pPr>
            <w:r>
              <w:rPr>
                <w:sz w:val="20"/>
                <w:szCs w:val="20"/>
              </w:rPr>
              <w:t>195 fewer per 1,000</w:t>
            </w:r>
            <w:r>
              <w:rPr>
                <w:sz w:val="20"/>
                <w:szCs w:val="20"/>
              </w:rPr>
              <w:br/>
              <w:t xml:space="preserve">(from 198 more to 243 fewer) </w:t>
            </w:r>
          </w:p>
        </w:tc>
        <w:tc>
          <w:tcPr>
            <w:tcW w:w="1134" w:type="dxa"/>
            <w:tcBorders>
              <w:top w:val="single" w:sz="6" w:space="0" w:color="000000"/>
              <w:left w:val="single" w:sz="6" w:space="0" w:color="000000"/>
              <w:bottom w:val="single" w:sz="6" w:space="0" w:color="000000"/>
              <w:right w:val="single" w:sz="6" w:space="0" w:color="000000"/>
            </w:tcBorders>
          </w:tcPr>
          <w:p w14:paraId="7360D499"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51" w:type="dxa"/>
            <w:tcBorders>
              <w:top w:val="single" w:sz="6" w:space="0" w:color="000000"/>
              <w:left w:val="single" w:sz="6" w:space="0" w:color="000000"/>
              <w:bottom w:val="single" w:sz="6" w:space="0" w:color="000000"/>
              <w:right w:val="single" w:sz="6" w:space="0" w:color="000000"/>
            </w:tcBorders>
          </w:tcPr>
          <w:p w14:paraId="64C8EDA9" w14:textId="77777777" w:rsidR="002D58E4" w:rsidRDefault="00F721D4">
            <w:pPr>
              <w:spacing w:after="0"/>
              <w:rPr>
                <w:sz w:val="20"/>
                <w:szCs w:val="20"/>
              </w:rPr>
            </w:pPr>
            <w:r>
              <w:rPr>
                <w:sz w:val="20"/>
                <w:szCs w:val="20"/>
              </w:rPr>
              <w:t xml:space="preserve">CRITICAL </w:t>
            </w:r>
          </w:p>
        </w:tc>
      </w:tr>
      <w:tr w:rsidR="002D58E4" w14:paraId="4A44C160" w14:textId="77777777" w:rsidTr="002305C5">
        <w:tc>
          <w:tcPr>
            <w:tcW w:w="14862"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72F208B3" w14:textId="77777777" w:rsidR="002D58E4" w:rsidRDefault="00F721D4">
            <w:pPr>
              <w:spacing w:after="0"/>
              <w:rPr>
                <w:b/>
                <w:sz w:val="20"/>
                <w:szCs w:val="20"/>
              </w:rPr>
            </w:pPr>
            <w:r>
              <w:rPr>
                <w:b/>
                <w:sz w:val="20"/>
                <w:szCs w:val="20"/>
              </w:rPr>
              <w:t>Allergic Reaction</w:t>
            </w:r>
          </w:p>
        </w:tc>
      </w:tr>
      <w:tr w:rsidR="002D58E4" w14:paraId="5F0E9FC8" w14:textId="77777777" w:rsidTr="002305C5">
        <w:trPr>
          <w:trHeight w:val="611"/>
        </w:trPr>
        <w:tc>
          <w:tcPr>
            <w:tcW w:w="724" w:type="dxa"/>
            <w:tcBorders>
              <w:top w:val="single" w:sz="6" w:space="0" w:color="000000"/>
              <w:left w:val="single" w:sz="6" w:space="0" w:color="000000"/>
              <w:bottom w:val="single" w:sz="6" w:space="0" w:color="000000"/>
              <w:right w:val="single" w:sz="6" w:space="0" w:color="000000"/>
            </w:tcBorders>
          </w:tcPr>
          <w:p w14:paraId="4ABB4D93" w14:textId="77777777" w:rsidR="002D58E4" w:rsidRDefault="00F721D4">
            <w:pPr>
              <w:spacing w:after="0"/>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0E9BE81B" w14:textId="77777777" w:rsidR="002D58E4" w:rsidRDefault="00F721D4">
            <w:pPr>
              <w:spacing w:after="0"/>
              <w:rPr>
                <w:sz w:val="20"/>
                <w:szCs w:val="20"/>
              </w:rPr>
            </w:pPr>
            <w:r>
              <w:rPr>
                <w:sz w:val="20"/>
                <w:szCs w:val="20"/>
              </w:rPr>
              <w:t xml:space="preserve">RCT </w:t>
            </w:r>
            <w:r>
              <w:rPr>
                <w:sz w:val="20"/>
                <w:szCs w:val="20"/>
                <w:vertAlign w:val="superscript"/>
              </w:rPr>
              <w:t>1</w:t>
            </w:r>
            <w:r>
              <w:rPr>
                <w:sz w:val="20"/>
                <w:szCs w:val="20"/>
              </w:rPr>
              <w:t xml:space="preserve"> </w:t>
            </w:r>
          </w:p>
        </w:tc>
        <w:tc>
          <w:tcPr>
            <w:tcW w:w="1007" w:type="dxa"/>
            <w:tcBorders>
              <w:top w:val="single" w:sz="6" w:space="0" w:color="000000"/>
              <w:left w:val="single" w:sz="6" w:space="0" w:color="000000"/>
              <w:bottom w:val="single" w:sz="6" w:space="0" w:color="000000"/>
              <w:right w:val="single" w:sz="6" w:space="0" w:color="000000"/>
            </w:tcBorders>
          </w:tcPr>
          <w:p w14:paraId="0E241646"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1087" w:type="dxa"/>
            <w:tcBorders>
              <w:top w:val="single" w:sz="6" w:space="0" w:color="000000"/>
              <w:left w:val="single" w:sz="6" w:space="0" w:color="000000"/>
              <w:bottom w:val="single" w:sz="6" w:space="0" w:color="000000"/>
              <w:right w:val="single" w:sz="6" w:space="0" w:color="000000"/>
            </w:tcBorders>
          </w:tcPr>
          <w:p w14:paraId="19773354" w14:textId="77777777" w:rsidR="002D58E4" w:rsidRDefault="00F721D4">
            <w:pPr>
              <w:spacing w:after="0"/>
              <w:rPr>
                <w:sz w:val="20"/>
                <w:szCs w:val="20"/>
              </w:rPr>
            </w:pPr>
            <w:r>
              <w:rPr>
                <w:sz w:val="20"/>
                <w:szCs w:val="20"/>
              </w:rPr>
              <w:t>not serious</w:t>
            </w:r>
          </w:p>
        </w:tc>
        <w:tc>
          <w:tcPr>
            <w:tcW w:w="992" w:type="dxa"/>
            <w:tcBorders>
              <w:top w:val="single" w:sz="6" w:space="0" w:color="000000"/>
              <w:left w:val="single" w:sz="6" w:space="0" w:color="000000"/>
              <w:bottom w:val="single" w:sz="6" w:space="0" w:color="000000"/>
              <w:right w:val="single" w:sz="6" w:space="0" w:color="000000"/>
            </w:tcBorders>
          </w:tcPr>
          <w:p w14:paraId="0CF8E454"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435C1094"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3DF4E218" w14:textId="77777777" w:rsidR="002D58E4" w:rsidRDefault="00F721D4">
            <w:pPr>
              <w:spacing w:after="0"/>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769294DF" w14:textId="77777777" w:rsidR="002D58E4" w:rsidRDefault="00F721D4">
            <w:pPr>
              <w:spacing w:after="0"/>
              <w:jc w:val="center"/>
              <w:rPr>
                <w:sz w:val="20"/>
                <w:szCs w:val="20"/>
              </w:rPr>
            </w:pPr>
            <w:r>
              <w:rPr>
                <w:sz w:val="20"/>
                <w:szCs w:val="20"/>
              </w:rPr>
              <w:t>0/20</w:t>
            </w:r>
          </w:p>
          <w:p w14:paraId="70662D43" w14:textId="77777777" w:rsidR="002D58E4" w:rsidRDefault="00F721D4">
            <w:pPr>
              <w:spacing w:after="0"/>
              <w:jc w:val="center"/>
              <w:rPr>
                <w:sz w:val="20"/>
                <w:szCs w:val="20"/>
              </w:rPr>
            </w:pPr>
            <w:r>
              <w:rPr>
                <w:sz w:val="20"/>
                <w:szCs w:val="20"/>
              </w:rPr>
              <w:t xml:space="preserve"> (0.0%) </w:t>
            </w:r>
          </w:p>
        </w:tc>
        <w:tc>
          <w:tcPr>
            <w:tcW w:w="1025" w:type="dxa"/>
            <w:tcBorders>
              <w:top w:val="single" w:sz="6" w:space="0" w:color="000000"/>
              <w:left w:val="single" w:sz="6" w:space="0" w:color="000000"/>
              <w:bottom w:val="single" w:sz="6" w:space="0" w:color="000000"/>
              <w:right w:val="single" w:sz="6" w:space="0" w:color="000000"/>
            </w:tcBorders>
          </w:tcPr>
          <w:p w14:paraId="1AE36618" w14:textId="77777777" w:rsidR="002D58E4" w:rsidRDefault="00F721D4">
            <w:pPr>
              <w:spacing w:after="0"/>
              <w:jc w:val="center"/>
              <w:rPr>
                <w:sz w:val="20"/>
                <w:szCs w:val="20"/>
              </w:rPr>
            </w:pPr>
            <w:r>
              <w:rPr>
                <w:sz w:val="20"/>
                <w:szCs w:val="20"/>
              </w:rPr>
              <w:t xml:space="preserve">4/20 </w:t>
            </w:r>
          </w:p>
          <w:p w14:paraId="20D058D9" w14:textId="77777777" w:rsidR="002D58E4" w:rsidRDefault="00F721D4">
            <w:pPr>
              <w:spacing w:after="0"/>
              <w:jc w:val="center"/>
              <w:rPr>
                <w:sz w:val="20"/>
                <w:szCs w:val="20"/>
              </w:rPr>
            </w:pPr>
            <w:r>
              <w:rPr>
                <w:sz w:val="20"/>
                <w:szCs w:val="20"/>
              </w:rPr>
              <w:t xml:space="preserve">(20.0%) </w:t>
            </w:r>
          </w:p>
        </w:tc>
        <w:tc>
          <w:tcPr>
            <w:tcW w:w="1459" w:type="dxa"/>
            <w:tcBorders>
              <w:top w:val="single" w:sz="6" w:space="0" w:color="000000"/>
              <w:left w:val="single" w:sz="6" w:space="0" w:color="000000"/>
              <w:bottom w:val="single" w:sz="6" w:space="0" w:color="000000"/>
              <w:right w:val="single" w:sz="6" w:space="0" w:color="000000"/>
            </w:tcBorders>
          </w:tcPr>
          <w:p w14:paraId="348E6B01" w14:textId="2DE2C10A" w:rsidR="002D58E4" w:rsidRDefault="00F721D4" w:rsidP="002305C5">
            <w:pPr>
              <w:spacing w:after="0"/>
              <w:jc w:val="center"/>
              <w:rPr>
                <w:sz w:val="20"/>
                <w:szCs w:val="20"/>
              </w:rPr>
            </w:pPr>
            <w:r>
              <w:rPr>
                <w:sz w:val="20"/>
                <w:szCs w:val="20"/>
              </w:rPr>
              <w:t xml:space="preserve">NA </w:t>
            </w:r>
            <w:r>
              <w:rPr>
                <w:sz w:val="20"/>
                <w:szCs w:val="20"/>
                <w:vertAlign w:val="superscript"/>
              </w:rPr>
              <w:t>c</w:t>
            </w:r>
            <w:r>
              <w:rPr>
                <w:sz w:val="20"/>
                <w:szCs w:val="20"/>
              </w:rPr>
              <w:t xml:space="preserve"> </w:t>
            </w:r>
          </w:p>
        </w:tc>
        <w:tc>
          <w:tcPr>
            <w:tcW w:w="2409" w:type="dxa"/>
            <w:tcBorders>
              <w:top w:val="single" w:sz="6" w:space="0" w:color="000000"/>
              <w:left w:val="single" w:sz="6" w:space="0" w:color="000000"/>
              <w:bottom w:val="single" w:sz="6" w:space="0" w:color="000000"/>
              <w:right w:val="single" w:sz="6" w:space="0" w:color="000000"/>
            </w:tcBorders>
          </w:tcPr>
          <w:p w14:paraId="56ABCAD2" w14:textId="5AAB452B" w:rsidR="002D58E4" w:rsidRDefault="00F721D4">
            <w:pPr>
              <w:spacing w:after="0"/>
              <w:jc w:val="center"/>
              <w:rPr>
                <w:sz w:val="20"/>
                <w:szCs w:val="20"/>
              </w:rPr>
            </w:pPr>
            <w:r>
              <w:rPr>
                <w:sz w:val="20"/>
                <w:szCs w:val="20"/>
              </w:rPr>
              <w:t>200 fewer per 1,00</w:t>
            </w:r>
            <w:r w:rsidR="002305C5">
              <w:rPr>
                <w:sz w:val="20"/>
                <w:szCs w:val="20"/>
              </w:rPr>
              <w:t>0</w:t>
            </w:r>
          </w:p>
        </w:tc>
        <w:tc>
          <w:tcPr>
            <w:tcW w:w="1134" w:type="dxa"/>
            <w:tcBorders>
              <w:top w:val="single" w:sz="6" w:space="0" w:color="000000"/>
              <w:left w:val="single" w:sz="6" w:space="0" w:color="000000"/>
              <w:bottom w:val="single" w:sz="6" w:space="0" w:color="000000"/>
              <w:right w:val="single" w:sz="6" w:space="0" w:color="000000"/>
            </w:tcBorders>
          </w:tcPr>
          <w:p w14:paraId="1790C2BE"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51" w:type="dxa"/>
            <w:tcBorders>
              <w:top w:val="single" w:sz="6" w:space="0" w:color="000000"/>
              <w:left w:val="single" w:sz="6" w:space="0" w:color="000000"/>
              <w:bottom w:val="single" w:sz="6" w:space="0" w:color="000000"/>
              <w:right w:val="single" w:sz="6" w:space="0" w:color="000000"/>
            </w:tcBorders>
          </w:tcPr>
          <w:p w14:paraId="34B00077" w14:textId="77896E37" w:rsidR="002D58E4" w:rsidRDefault="00F721D4">
            <w:pPr>
              <w:spacing w:after="0"/>
              <w:rPr>
                <w:sz w:val="20"/>
                <w:szCs w:val="20"/>
              </w:rPr>
            </w:pPr>
            <w:r>
              <w:rPr>
                <w:sz w:val="20"/>
                <w:szCs w:val="20"/>
              </w:rPr>
              <w:t xml:space="preserve">CRITICAL </w:t>
            </w:r>
          </w:p>
        </w:tc>
      </w:tr>
      <w:tr w:rsidR="002D58E4" w14:paraId="67EDEA4F" w14:textId="77777777" w:rsidTr="002305C5">
        <w:tc>
          <w:tcPr>
            <w:tcW w:w="14862" w:type="dxa"/>
            <w:gridSpan w:val="13"/>
            <w:tcBorders>
              <w:top w:val="single" w:sz="6" w:space="0" w:color="000000"/>
              <w:left w:val="single" w:sz="6" w:space="0" w:color="000000"/>
              <w:bottom w:val="single" w:sz="6" w:space="0" w:color="000000"/>
              <w:right w:val="single" w:sz="6" w:space="0" w:color="000000"/>
            </w:tcBorders>
            <w:shd w:val="clear" w:color="auto" w:fill="EDEDED"/>
            <w:vAlign w:val="center"/>
          </w:tcPr>
          <w:p w14:paraId="4F14B198" w14:textId="77777777" w:rsidR="002D58E4" w:rsidRDefault="00F721D4">
            <w:pPr>
              <w:spacing w:after="0"/>
              <w:rPr>
                <w:b/>
                <w:sz w:val="20"/>
                <w:szCs w:val="20"/>
              </w:rPr>
            </w:pPr>
            <w:r>
              <w:rPr>
                <w:b/>
                <w:sz w:val="20"/>
                <w:szCs w:val="20"/>
              </w:rPr>
              <w:t>Gastrointestinal Adverse Events</w:t>
            </w:r>
          </w:p>
        </w:tc>
      </w:tr>
      <w:tr w:rsidR="002D58E4" w14:paraId="51DE6DE1" w14:textId="77777777" w:rsidTr="002305C5">
        <w:tc>
          <w:tcPr>
            <w:tcW w:w="724" w:type="dxa"/>
            <w:tcBorders>
              <w:top w:val="single" w:sz="6" w:space="0" w:color="000000"/>
              <w:left w:val="single" w:sz="6" w:space="0" w:color="000000"/>
              <w:bottom w:val="single" w:sz="6" w:space="0" w:color="000000"/>
              <w:right w:val="single" w:sz="6" w:space="0" w:color="000000"/>
            </w:tcBorders>
          </w:tcPr>
          <w:p w14:paraId="2D42CD97" w14:textId="77777777" w:rsidR="002D58E4" w:rsidRDefault="00F721D4">
            <w:pPr>
              <w:spacing w:after="0"/>
              <w:rPr>
                <w:sz w:val="20"/>
                <w:szCs w:val="20"/>
              </w:rPr>
            </w:pPr>
            <w:r>
              <w:rPr>
                <w:sz w:val="20"/>
                <w:szCs w:val="20"/>
              </w:rPr>
              <w:t xml:space="preserve">1 </w:t>
            </w:r>
          </w:p>
        </w:tc>
        <w:tc>
          <w:tcPr>
            <w:tcW w:w="679" w:type="dxa"/>
            <w:tcBorders>
              <w:top w:val="single" w:sz="6" w:space="0" w:color="000000"/>
              <w:left w:val="single" w:sz="6" w:space="0" w:color="000000"/>
              <w:bottom w:val="single" w:sz="6" w:space="0" w:color="000000"/>
              <w:right w:val="single" w:sz="6" w:space="0" w:color="000000"/>
            </w:tcBorders>
          </w:tcPr>
          <w:p w14:paraId="76D5DB1D" w14:textId="77777777" w:rsidR="002D58E4" w:rsidRDefault="00F721D4">
            <w:pPr>
              <w:spacing w:after="0"/>
              <w:rPr>
                <w:sz w:val="20"/>
                <w:szCs w:val="20"/>
              </w:rPr>
            </w:pPr>
            <w:r>
              <w:rPr>
                <w:sz w:val="20"/>
                <w:szCs w:val="20"/>
              </w:rPr>
              <w:t xml:space="preserve">RCT </w:t>
            </w:r>
            <w:r>
              <w:rPr>
                <w:sz w:val="20"/>
                <w:szCs w:val="20"/>
                <w:vertAlign w:val="superscript"/>
              </w:rPr>
              <w:t xml:space="preserve">1 </w:t>
            </w:r>
          </w:p>
        </w:tc>
        <w:tc>
          <w:tcPr>
            <w:tcW w:w="1007" w:type="dxa"/>
            <w:tcBorders>
              <w:top w:val="single" w:sz="6" w:space="0" w:color="000000"/>
              <w:left w:val="single" w:sz="6" w:space="0" w:color="000000"/>
              <w:bottom w:val="single" w:sz="6" w:space="0" w:color="000000"/>
              <w:right w:val="single" w:sz="6" w:space="0" w:color="000000"/>
            </w:tcBorders>
          </w:tcPr>
          <w:p w14:paraId="0543EFC2"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1087" w:type="dxa"/>
            <w:tcBorders>
              <w:top w:val="single" w:sz="6" w:space="0" w:color="000000"/>
              <w:left w:val="single" w:sz="6" w:space="0" w:color="000000"/>
              <w:bottom w:val="single" w:sz="6" w:space="0" w:color="000000"/>
              <w:right w:val="single" w:sz="6" w:space="0" w:color="000000"/>
            </w:tcBorders>
          </w:tcPr>
          <w:p w14:paraId="1A51A1A6" w14:textId="77777777" w:rsidR="002D58E4" w:rsidRDefault="00F721D4">
            <w:pPr>
              <w:spacing w:after="0"/>
              <w:rPr>
                <w:sz w:val="20"/>
                <w:szCs w:val="20"/>
              </w:rPr>
            </w:pPr>
            <w:r>
              <w:rPr>
                <w:sz w:val="20"/>
                <w:szCs w:val="20"/>
              </w:rPr>
              <w:t>not serious</w:t>
            </w:r>
          </w:p>
        </w:tc>
        <w:tc>
          <w:tcPr>
            <w:tcW w:w="992" w:type="dxa"/>
            <w:tcBorders>
              <w:top w:val="single" w:sz="6" w:space="0" w:color="000000"/>
              <w:left w:val="single" w:sz="6" w:space="0" w:color="000000"/>
              <w:bottom w:val="single" w:sz="6" w:space="0" w:color="000000"/>
              <w:right w:val="single" w:sz="6" w:space="0" w:color="000000"/>
            </w:tcBorders>
          </w:tcPr>
          <w:p w14:paraId="48B30B4F" w14:textId="77777777" w:rsidR="002D58E4" w:rsidRDefault="00F721D4">
            <w:pPr>
              <w:spacing w:after="0"/>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17C5C3C6"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13" w:type="dxa"/>
            <w:tcBorders>
              <w:top w:val="single" w:sz="6" w:space="0" w:color="000000"/>
              <w:left w:val="single" w:sz="6" w:space="0" w:color="000000"/>
              <w:bottom w:val="single" w:sz="6" w:space="0" w:color="000000"/>
              <w:right w:val="single" w:sz="6" w:space="0" w:color="000000"/>
            </w:tcBorders>
          </w:tcPr>
          <w:p w14:paraId="18F42FE4" w14:textId="77777777" w:rsidR="002D58E4" w:rsidRDefault="00F721D4">
            <w:pPr>
              <w:spacing w:after="0"/>
              <w:rPr>
                <w:sz w:val="20"/>
                <w:szCs w:val="20"/>
              </w:rPr>
            </w:pPr>
            <w:r>
              <w:rPr>
                <w:sz w:val="20"/>
                <w:szCs w:val="20"/>
              </w:rPr>
              <w:t xml:space="preserve">none </w:t>
            </w:r>
          </w:p>
        </w:tc>
        <w:tc>
          <w:tcPr>
            <w:tcW w:w="1108" w:type="dxa"/>
            <w:tcBorders>
              <w:top w:val="single" w:sz="6" w:space="0" w:color="000000"/>
              <w:left w:val="single" w:sz="6" w:space="0" w:color="000000"/>
              <w:bottom w:val="single" w:sz="6" w:space="0" w:color="000000"/>
              <w:right w:val="single" w:sz="6" w:space="0" w:color="000000"/>
            </w:tcBorders>
          </w:tcPr>
          <w:p w14:paraId="6ADDF0B4" w14:textId="77777777" w:rsidR="002D58E4" w:rsidRDefault="00F721D4">
            <w:pPr>
              <w:spacing w:after="0"/>
              <w:jc w:val="center"/>
              <w:rPr>
                <w:sz w:val="20"/>
                <w:szCs w:val="20"/>
              </w:rPr>
            </w:pPr>
            <w:r>
              <w:rPr>
                <w:sz w:val="20"/>
                <w:szCs w:val="20"/>
              </w:rPr>
              <w:t xml:space="preserve">0/20 </w:t>
            </w:r>
          </w:p>
          <w:p w14:paraId="5F68100A" w14:textId="77777777" w:rsidR="002D58E4" w:rsidRDefault="00F721D4">
            <w:pPr>
              <w:spacing w:after="0"/>
              <w:jc w:val="center"/>
              <w:rPr>
                <w:sz w:val="20"/>
                <w:szCs w:val="20"/>
              </w:rPr>
            </w:pPr>
            <w:r>
              <w:rPr>
                <w:sz w:val="20"/>
                <w:szCs w:val="20"/>
              </w:rPr>
              <w:t xml:space="preserve">(0.0%) </w:t>
            </w:r>
          </w:p>
        </w:tc>
        <w:tc>
          <w:tcPr>
            <w:tcW w:w="1025" w:type="dxa"/>
            <w:tcBorders>
              <w:top w:val="single" w:sz="6" w:space="0" w:color="000000"/>
              <w:left w:val="single" w:sz="6" w:space="0" w:color="000000"/>
              <w:bottom w:val="single" w:sz="6" w:space="0" w:color="000000"/>
              <w:right w:val="single" w:sz="6" w:space="0" w:color="000000"/>
            </w:tcBorders>
          </w:tcPr>
          <w:p w14:paraId="363C4A24" w14:textId="77777777" w:rsidR="002D58E4" w:rsidRDefault="00F721D4">
            <w:pPr>
              <w:spacing w:after="0"/>
              <w:jc w:val="center"/>
              <w:rPr>
                <w:sz w:val="20"/>
                <w:szCs w:val="20"/>
              </w:rPr>
            </w:pPr>
            <w:r>
              <w:rPr>
                <w:sz w:val="20"/>
                <w:szCs w:val="20"/>
              </w:rPr>
              <w:t xml:space="preserve">3/20 </w:t>
            </w:r>
          </w:p>
          <w:p w14:paraId="41F5203E" w14:textId="77777777" w:rsidR="002D58E4" w:rsidRDefault="00F721D4">
            <w:pPr>
              <w:spacing w:after="0"/>
              <w:jc w:val="center"/>
              <w:rPr>
                <w:sz w:val="20"/>
                <w:szCs w:val="20"/>
              </w:rPr>
            </w:pPr>
            <w:r>
              <w:rPr>
                <w:sz w:val="20"/>
                <w:szCs w:val="20"/>
              </w:rPr>
              <w:t xml:space="preserve">(15.0%) </w:t>
            </w:r>
          </w:p>
        </w:tc>
        <w:tc>
          <w:tcPr>
            <w:tcW w:w="1459" w:type="dxa"/>
            <w:tcBorders>
              <w:top w:val="single" w:sz="6" w:space="0" w:color="000000"/>
              <w:left w:val="single" w:sz="6" w:space="0" w:color="000000"/>
              <w:bottom w:val="single" w:sz="6" w:space="0" w:color="000000"/>
              <w:right w:val="single" w:sz="6" w:space="0" w:color="000000"/>
            </w:tcBorders>
          </w:tcPr>
          <w:p w14:paraId="73E2CA34" w14:textId="77777777" w:rsidR="002D58E4" w:rsidRDefault="00F721D4">
            <w:pPr>
              <w:spacing w:after="0"/>
              <w:jc w:val="center"/>
              <w:rPr>
                <w:sz w:val="20"/>
                <w:szCs w:val="20"/>
              </w:rPr>
            </w:pPr>
            <w:r>
              <w:rPr>
                <w:sz w:val="20"/>
                <w:szCs w:val="20"/>
              </w:rPr>
              <w:t xml:space="preserve">NA </w:t>
            </w:r>
            <w:r>
              <w:rPr>
                <w:sz w:val="20"/>
                <w:szCs w:val="20"/>
                <w:vertAlign w:val="superscript"/>
              </w:rPr>
              <w:t>c</w:t>
            </w:r>
            <w:r>
              <w:rPr>
                <w:sz w:val="20"/>
                <w:szCs w:val="20"/>
              </w:rPr>
              <w:t xml:space="preserve"> </w:t>
            </w:r>
          </w:p>
        </w:tc>
        <w:tc>
          <w:tcPr>
            <w:tcW w:w="2409" w:type="dxa"/>
            <w:tcBorders>
              <w:top w:val="single" w:sz="6" w:space="0" w:color="000000"/>
              <w:left w:val="single" w:sz="6" w:space="0" w:color="000000"/>
              <w:bottom w:val="single" w:sz="6" w:space="0" w:color="000000"/>
              <w:right w:val="single" w:sz="6" w:space="0" w:color="000000"/>
            </w:tcBorders>
          </w:tcPr>
          <w:p w14:paraId="5E742B5E" w14:textId="30570AE4" w:rsidR="002D58E4" w:rsidRDefault="00F721D4">
            <w:pPr>
              <w:spacing w:after="0"/>
              <w:jc w:val="center"/>
              <w:rPr>
                <w:sz w:val="20"/>
                <w:szCs w:val="20"/>
              </w:rPr>
            </w:pPr>
            <w:r>
              <w:rPr>
                <w:sz w:val="20"/>
                <w:szCs w:val="20"/>
              </w:rPr>
              <w:t>150 fewer per 1,000</w:t>
            </w:r>
          </w:p>
        </w:tc>
        <w:tc>
          <w:tcPr>
            <w:tcW w:w="1134" w:type="dxa"/>
            <w:tcBorders>
              <w:top w:val="single" w:sz="6" w:space="0" w:color="000000"/>
              <w:left w:val="single" w:sz="6" w:space="0" w:color="000000"/>
              <w:bottom w:val="single" w:sz="6" w:space="0" w:color="000000"/>
              <w:right w:val="single" w:sz="6" w:space="0" w:color="000000"/>
            </w:tcBorders>
          </w:tcPr>
          <w:p w14:paraId="29B0A65E"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51" w:type="dxa"/>
            <w:tcBorders>
              <w:top w:val="single" w:sz="6" w:space="0" w:color="000000"/>
              <w:left w:val="single" w:sz="6" w:space="0" w:color="000000"/>
              <w:bottom w:val="single" w:sz="6" w:space="0" w:color="000000"/>
              <w:right w:val="single" w:sz="6" w:space="0" w:color="000000"/>
            </w:tcBorders>
          </w:tcPr>
          <w:p w14:paraId="7099A867" w14:textId="16499596" w:rsidR="002D58E4" w:rsidRDefault="00F721D4">
            <w:pPr>
              <w:spacing w:after="0"/>
              <w:rPr>
                <w:sz w:val="20"/>
                <w:szCs w:val="20"/>
              </w:rPr>
            </w:pPr>
            <w:r>
              <w:rPr>
                <w:sz w:val="20"/>
                <w:szCs w:val="20"/>
              </w:rPr>
              <w:t xml:space="preserve">CRITICAL </w:t>
            </w:r>
          </w:p>
        </w:tc>
      </w:tr>
    </w:tbl>
    <w:p w14:paraId="36B2F5CD" w14:textId="7C93AE56" w:rsidR="002D58E4" w:rsidRDefault="00F721D4">
      <w:pPr>
        <w:spacing w:after="0"/>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 </w:t>
      </w:r>
    </w:p>
    <w:p w14:paraId="6F1465D6" w14:textId="77777777" w:rsidR="002305C5" w:rsidRDefault="002305C5" w:rsidP="002305C5">
      <w:pPr>
        <w:spacing w:before="280" w:after="0"/>
        <w:rPr>
          <w:b/>
          <w:color w:val="000000"/>
          <w:sz w:val="24"/>
          <w:szCs w:val="24"/>
        </w:rPr>
      </w:pPr>
      <w:r>
        <w:rPr>
          <w:b/>
          <w:color w:val="000000"/>
          <w:sz w:val="24"/>
          <w:szCs w:val="24"/>
        </w:rPr>
        <w:t>Explanations</w:t>
      </w:r>
    </w:p>
    <w:p w14:paraId="0A8C793D" w14:textId="50BD9333" w:rsidR="002D58E4" w:rsidRDefault="00F721D4" w:rsidP="00171735">
      <w:pPr>
        <w:spacing w:after="0"/>
        <w:ind w:right="-3980"/>
        <w:rPr>
          <w:color w:val="000000"/>
          <w:sz w:val="18"/>
          <w:szCs w:val="18"/>
        </w:rPr>
      </w:pPr>
      <w:r>
        <w:rPr>
          <w:color w:val="000000"/>
          <w:sz w:val="18"/>
          <w:szCs w:val="18"/>
        </w:rPr>
        <w:t xml:space="preserve">a. Study received a High risk of bias rating due to the high number of participants excluded from final analysis due to inability to </w:t>
      </w:r>
      <w:r w:rsidR="002305C5">
        <w:rPr>
          <w:color w:val="000000"/>
          <w:sz w:val="18"/>
          <w:szCs w:val="18"/>
        </w:rPr>
        <w:t>a</w:t>
      </w:r>
      <w:r>
        <w:rPr>
          <w:color w:val="000000"/>
          <w:sz w:val="18"/>
          <w:szCs w:val="18"/>
        </w:rPr>
        <w:t>ssess the outcome of interest and to lost to follow-up (8 out of 48 randomized patients)</w:t>
      </w:r>
      <w:r w:rsidR="00171735">
        <w:rPr>
          <w:color w:val="000000"/>
          <w:sz w:val="18"/>
          <w:szCs w:val="18"/>
        </w:rPr>
        <w:t>.</w:t>
      </w:r>
      <w:r>
        <w:rPr>
          <w:color w:val="000000"/>
          <w:sz w:val="18"/>
          <w:szCs w:val="18"/>
        </w:rPr>
        <w:t xml:space="preserve"> </w:t>
      </w:r>
    </w:p>
    <w:p w14:paraId="4A13E2BD" w14:textId="31742BB5" w:rsidR="002D58E4" w:rsidRDefault="00F721D4">
      <w:pPr>
        <w:spacing w:after="0"/>
        <w:rPr>
          <w:color w:val="000000"/>
          <w:sz w:val="18"/>
          <w:szCs w:val="18"/>
        </w:rPr>
      </w:pPr>
      <w:r>
        <w:rPr>
          <w:color w:val="000000"/>
          <w:sz w:val="18"/>
          <w:szCs w:val="18"/>
        </w:rPr>
        <w:t>b. Small number of events</w:t>
      </w:r>
      <w:r w:rsidR="00171735">
        <w:rPr>
          <w:color w:val="000000"/>
          <w:sz w:val="18"/>
          <w:szCs w:val="18"/>
        </w:rPr>
        <w:t>.</w:t>
      </w:r>
    </w:p>
    <w:p w14:paraId="6E60E3BB" w14:textId="06F9BE6E" w:rsidR="002305C5" w:rsidRPr="002305C5" w:rsidRDefault="00F721D4" w:rsidP="002305C5">
      <w:pPr>
        <w:spacing w:after="0"/>
        <w:rPr>
          <w:color w:val="000000"/>
          <w:sz w:val="18"/>
          <w:szCs w:val="18"/>
        </w:rPr>
      </w:pPr>
      <w:r>
        <w:rPr>
          <w:color w:val="000000"/>
          <w:sz w:val="18"/>
          <w:szCs w:val="18"/>
        </w:rPr>
        <w:t>c. One arm has zero events; unable to estimate relative risks.</w:t>
      </w:r>
    </w:p>
    <w:p w14:paraId="64FA1348" w14:textId="77777777" w:rsidR="002305C5" w:rsidRDefault="002305C5">
      <w:pPr>
        <w:rPr>
          <w:b/>
          <w:color w:val="000000"/>
          <w:u w:val="single"/>
        </w:rPr>
      </w:pPr>
      <w:r>
        <w:rPr>
          <w:b/>
          <w:color w:val="000000"/>
          <w:u w:val="single"/>
        </w:rPr>
        <w:br w:type="page"/>
      </w:r>
    </w:p>
    <w:p w14:paraId="0D35959A" w14:textId="360B2793" w:rsidR="002D58E4" w:rsidRDefault="00F721D4">
      <w:pPr>
        <w:rPr>
          <w:b/>
        </w:rPr>
      </w:pPr>
      <w:r>
        <w:rPr>
          <w:b/>
          <w:color w:val="000000"/>
          <w:u w:val="single"/>
        </w:rPr>
        <w:t xml:space="preserve">CEFTRIAXONE 14-days vs. 28-days </w:t>
      </w:r>
    </w:p>
    <w:p w14:paraId="5BB8FE99" w14:textId="77777777" w:rsidR="002D58E4" w:rsidRDefault="00F721D4">
      <w:pPr>
        <w:spacing w:after="0"/>
        <w:rPr>
          <w:b/>
        </w:rPr>
      </w:pPr>
      <w:r>
        <w:rPr>
          <w:b/>
        </w:rPr>
        <w:t>In patients with Lyme arthritis, should 14 days of IV ceftriaxone be used rather than 28 days of IV ceftriaxone?</w:t>
      </w:r>
    </w:p>
    <w:p w14:paraId="630C22A0" w14:textId="77777777" w:rsidR="002D58E4" w:rsidRDefault="00F721D4">
      <w:pPr>
        <w:spacing w:after="0"/>
      </w:pPr>
      <w:r>
        <w:t>P: In patients with Lyme arthritis</w:t>
      </w:r>
    </w:p>
    <w:p w14:paraId="6399354E" w14:textId="77777777" w:rsidR="002D58E4" w:rsidRDefault="00F721D4">
      <w:pPr>
        <w:spacing w:after="0"/>
      </w:pPr>
      <w:r>
        <w:t xml:space="preserve">I: 14 days of ceftriaxone </w:t>
      </w:r>
    </w:p>
    <w:p w14:paraId="079EE1BB" w14:textId="77777777" w:rsidR="002D58E4" w:rsidRDefault="00F721D4">
      <w:pPr>
        <w:spacing w:after="0"/>
      </w:pPr>
      <w:r>
        <w:t>C: 28 days of ceftriaxone</w:t>
      </w:r>
    </w:p>
    <w:p w14:paraId="245AB747" w14:textId="77777777" w:rsidR="00171735" w:rsidRDefault="00171735">
      <w:pPr>
        <w:rPr>
          <w:b/>
          <w:color w:val="000000"/>
          <w:sz w:val="18"/>
          <w:szCs w:val="18"/>
        </w:rPr>
      </w:pPr>
    </w:p>
    <w:p w14:paraId="75468817" w14:textId="583FD852" w:rsidR="002D58E4" w:rsidRDefault="00F721D4">
      <w:pPr>
        <w:rPr>
          <w:color w:val="000000"/>
          <w:sz w:val="18"/>
          <w:szCs w:val="18"/>
        </w:rPr>
      </w:pPr>
      <w:r>
        <w:rPr>
          <w:b/>
          <w:color w:val="000000"/>
          <w:sz w:val="18"/>
          <w:szCs w:val="18"/>
        </w:rPr>
        <w:t>Bibliography</w:t>
      </w:r>
      <w:r>
        <w:rPr>
          <w:color w:val="000000"/>
          <w:sz w:val="18"/>
          <w:szCs w:val="18"/>
        </w:rPr>
        <w:t>: 1. Dattwyler, et al. Wien Klin Wochenschr. 2005 Jun; 117(11-12): 393-7.</w:t>
      </w:r>
    </w:p>
    <w:tbl>
      <w:tblPr>
        <w:tblStyle w:val="afff3"/>
        <w:tblW w:w="15026"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5"/>
        <w:gridCol w:w="835"/>
        <w:gridCol w:w="992"/>
        <w:gridCol w:w="850"/>
        <w:gridCol w:w="1024"/>
        <w:gridCol w:w="1041"/>
        <w:gridCol w:w="962"/>
        <w:gridCol w:w="20"/>
        <w:gridCol w:w="1206"/>
        <w:gridCol w:w="1276"/>
        <w:gridCol w:w="1530"/>
        <w:gridCol w:w="2155"/>
        <w:gridCol w:w="1120"/>
        <w:gridCol w:w="1290"/>
      </w:tblGrid>
      <w:tr w:rsidR="002305C5" w14:paraId="71668F78" w14:textId="77777777" w:rsidTr="002305C5">
        <w:tc>
          <w:tcPr>
            <w:tcW w:w="6449" w:type="dxa"/>
            <w:gridSpan w:val="8"/>
            <w:tcBorders>
              <w:top w:val="single" w:sz="6" w:space="0" w:color="000000"/>
              <w:left w:val="single" w:sz="6" w:space="0" w:color="000000"/>
              <w:bottom w:val="single" w:sz="6" w:space="0" w:color="000000"/>
              <w:right w:val="single" w:sz="6" w:space="0" w:color="000000"/>
            </w:tcBorders>
            <w:shd w:val="clear" w:color="auto" w:fill="D9D9D9"/>
            <w:vAlign w:val="center"/>
          </w:tcPr>
          <w:p w14:paraId="2DDFCD4C" w14:textId="77777777" w:rsidR="002305C5" w:rsidRDefault="002305C5">
            <w:pPr>
              <w:spacing w:after="0"/>
              <w:jc w:val="center"/>
              <w:rPr>
                <w:b/>
                <w:sz w:val="20"/>
                <w:szCs w:val="20"/>
              </w:rPr>
            </w:pPr>
            <w:r>
              <w:rPr>
                <w:b/>
                <w:sz w:val="20"/>
                <w:szCs w:val="20"/>
              </w:rPr>
              <w:t>Certainty assessment</w:t>
            </w:r>
          </w:p>
        </w:tc>
        <w:tc>
          <w:tcPr>
            <w:tcW w:w="248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7DD3A8A8" w14:textId="77777777" w:rsidR="002305C5" w:rsidRDefault="002305C5">
            <w:pPr>
              <w:spacing w:after="0"/>
              <w:jc w:val="center"/>
              <w:rPr>
                <w:b/>
                <w:sz w:val="20"/>
                <w:szCs w:val="20"/>
              </w:rPr>
            </w:pPr>
            <w:r>
              <w:rPr>
                <w:b/>
                <w:sz w:val="20"/>
                <w:szCs w:val="20"/>
              </w:rPr>
              <w:t>№ of patients/№ of events</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BFA433F" w14:textId="77777777" w:rsidR="002305C5" w:rsidRDefault="002305C5">
            <w:pPr>
              <w:spacing w:after="0"/>
              <w:jc w:val="center"/>
              <w:rPr>
                <w:b/>
                <w:sz w:val="20"/>
                <w:szCs w:val="20"/>
              </w:rPr>
            </w:pPr>
            <w:r>
              <w:rPr>
                <w:b/>
                <w:sz w:val="20"/>
                <w:szCs w:val="20"/>
              </w:rPr>
              <w:t>Effect</w:t>
            </w:r>
          </w:p>
        </w:tc>
        <w:tc>
          <w:tcPr>
            <w:tcW w:w="1120" w:type="dxa"/>
            <w:vMerge w:val="restart"/>
            <w:tcBorders>
              <w:top w:val="single" w:sz="6" w:space="0" w:color="000000"/>
              <w:left w:val="single" w:sz="6" w:space="0" w:color="000000"/>
              <w:right w:val="single" w:sz="6" w:space="0" w:color="000000"/>
            </w:tcBorders>
            <w:shd w:val="clear" w:color="auto" w:fill="D9D9D9"/>
            <w:vAlign w:val="center"/>
          </w:tcPr>
          <w:p w14:paraId="0AF29870" w14:textId="77777777" w:rsidR="002305C5" w:rsidRDefault="002305C5">
            <w:pPr>
              <w:spacing w:after="0"/>
              <w:jc w:val="center"/>
              <w:rPr>
                <w:b/>
                <w:sz w:val="20"/>
                <w:szCs w:val="20"/>
              </w:rPr>
            </w:pPr>
            <w:r>
              <w:rPr>
                <w:b/>
                <w:sz w:val="20"/>
                <w:szCs w:val="20"/>
              </w:rPr>
              <w:t>Certainty</w:t>
            </w:r>
          </w:p>
        </w:tc>
        <w:tc>
          <w:tcPr>
            <w:tcW w:w="1290" w:type="dxa"/>
            <w:vMerge w:val="restart"/>
            <w:tcBorders>
              <w:top w:val="single" w:sz="6" w:space="0" w:color="000000"/>
              <w:left w:val="single" w:sz="6" w:space="0" w:color="000000"/>
              <w:right w:val="single" w:sz="6" w:space="0" w:color="000000"/>
            </w:tcBorders>
            <w:shd w:val="clear" w:color="auto" w:fill="D9D9D9"/>
            <w:vAlign w:val="center"/>
          </w:tcPr>
          <w:p w14:paraId="17CEBE48" w14:textId="77777777" w:rsidR="002305C5" w:rsidRDefault="002305C5">
            <w:pPr>
              <w:spacing w:after="0"/>
              <w:jc w:val="center"/>
              <w:rPr>
                <w:b/>
                <w:sz w:val="20"/>
                <w:szCs w:val="20"/>
              </w:rPr>
            </w:pPr>
            <w:r>
              <w:rPr>
                <w:b/>
                <w:sz w:val="20"/>
                <w:szCs w:val="20"/>
              </w:rPr>
              <w:t>Importance</w:t>
            </w:r>
          </w:p>
        </w:tc>
      </w:tr>
      <w:tr w:rsidR="002305C5" w14:paraId="254B8626" w14:textId="77777777" w:rsidTr="002305C5">
        <w:tc>
          <w:tcPr>
            <w:tcW w:w="7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9ADB18" w14:textId="77777777" w:rsidR="002305C5" w:rsidRDefault="002305C5">
            <w:pPr>
              <w:spacing w:after="0"/>
              <w:jc w:val="center"/>
              <w:rPr>
                <w:b/>
                <w:sz w:val="20"/>
                <w:szCs w:val="20"/>
              </w:rPr>
            </w:pPr>
            <w:r>
              <w:rPr>
                <w:b/>
                <w:sz w:val="20"/>
                <w:szCs w:val="20"/>
              </w:rPr>
              <w:t>№ of studies</w:t>
            </w:r>
          </w:p>
        </w:tc>
        <w:tc>
          <w:tcPr>
            <w:tcW w:w="83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DD3DBCA" w14:textId="77777777" w:rsidR="002305C5" w:rsidRDefault="002305C5">
            <w:pPr>
              <w:spacing w:after="0"/>
              <w:jc w:val="center"/>
              <w:rPr>
                <w:b/>
                <w:sz w:val="20"/>
                <w:szCs w:val="20"/>
              </w:rPr>
            </w:pPr>
            <w:r>
              <w:rPr>
                <w:b/>
                <w:sz w:val="20"/>
                <w:szCs w:val="20"/>
              </w:rPr>
              <w:t>Study design</w:t>
            </w:r>
          </w:p>
        </w:tc>
        <w:tc>
          <w:tcPr>
            <w:tcW w:w="99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A3DDCD" w14:textId="77777777" w:rsidR="002305C5" w:rsidRDefault="002305C5">
            <w:pPr>
              <w:spacing w:after="0"/>
              <w:jc w:val="center"/>
              <w:rPr>
                <w:b/>
                <w:sz w:val="20"/>
                <w:szCs w:val="20"/>
              </w:rPr>
            </w:pPr>
            <w:r>
              <w:rPr>
                <w:b/>
                <w:sz w:val="20"/>
                <w:szCs w:val="20"/>
              </w:rPr>
              <w:t>Risk of bias</w:t>
            </w:r>
          </w:p>
        </w:tc>
        <w:tc>
          <w:tcPr>
            <w:tcW w:w="85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80E069" w14:textId="77777777" w:rsidR="002305C5" w:rsidRDefault="002305C5">
            <w:pPr>
              <w:spacing w:after="0"/>
              <w:jc w:val="center"/>
              <w:rPr>
                <w:b/>
                <w:sz w:val="20"/>
                <w:szCs w:val="20"/>
              </w:rPr>
            </w:pPr>
            <w:r>
              <w:rPr>
                <w:b/>
                <w:sz w:val="20"/>
                <w:szCs w:val="20"/>
              </w:rPr>
              <w:t>Inconsistency</w:t>
            </w:r>
          </w:p>
        </w:tc>
        <w:tc>
          <w:tcPr>
            <w:tcW w:w="102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B2DD4F0" w14:textId="77777777" w:rsidR="002305C5" w:rsidRDefault="002305C5">
            <w:pPr>
              <w:spacing w:after="0"/>
              <w:jc w:val="center"/>
              <w:rPr>
                <w:b/>
                <w:sz w:val="20"/>
                <w:szCs w:val="20"/>
              </w:rPr>
            </w:pPr>
            <w:r>
              <w:rPr>
                <w:b/>
                <w:sz w:val="20"/>
                <w:szCs w:val="20"/>
              </w:rPr>
              <w:t>Indirectness</w:t>
            </w:r>
          </w:p>
        </w:tc>
        <w:tc>
          <w:tcPr>
            <w:tcW w:w="104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4EEF40" w14:textId="77777777" w:rsidR="002305C5" w:rsidRDefault="002305C5">
            <w:pPr>
              <w:spacing w:after="0"/>
              <w:jc w:val="center"/>
              <w:rPr>
                <w:b/>
                <w:sz w:val="20"/>
                <w:szCs w:val="20"/>
              </w:rPr>
            </w:pPr>
            <w:r>
              <w:rPr>
                <w:b/>
                <w:sz w:val="20"/>
                <w:szCs w:val="20"/>
              </w:rPr>
              <w:t>Imprecision</w:t>
            </w:r>
          </w:p>
        </w:tc>
        <w:tc>
          <w:tcPr>
            <w:tcW w:w="96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73D5D90" w14:textId="77777777" w:rsidR="002305C5" w:rsidRDefault="002305C5">
            <w:pPr>
              <w:spacing w:after="0"/>
              <w:jc w:val="center"/>
              <w:rPr>
                <w:b/>
                <w:sz w:val="20"/>
                <w:szCs w:val="20"/>
              </w:rPr>
            </w:pPr>
            <w:r>
              <w:rPr>
                <w:b/>
                <w:sz w:val="20"/>
                <w:szCs w:val="20"/>
              </w:rPr>
              <w:t>Other considerations</w:t>
            </w:r>
          </w:p>
        </w:tc>
        <w:tc>
          <w:tcPr>
            <w:tcW w:w="1226"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383B4C0F" w14:textId="77777777" w:rsidR="002305C5" w:rsidRDefault="002305C5">
            <w:pPr>
              <w:spacing w:after="0"/>
              <w:jc w:val="center"/>
              <w:rPr>
                <w:b/>
                <w:sz w:val="20"/>
                <w:szCs w:val="20"/>
              </w:rPr>
            </w:pPr>
            <w:r>
              <w:rPr>
                <w:b/>
                <w:sz w:val="20"/>
                <w:szCs w:val="20"/>
              </w:rPr>
              <w:t>14 days IV Ceftriaxone</w:t>
            </w:r>
          </w:p>
        </w:tc>
        <w:tc>
          <w:tcPr>
            <w:tcW w:w="12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5E1A0C2" w14:textId="77777777" w:rsidR="002305C5" w:rsidRDefault="002305C5">
            <w:pPr>
              <w:spacing w:after="0"/>
              <w:jc w:val="center"/>
              <w:rPr>
                <w:b/>
                <w:sz w:val="20"/>
                <w:szCs w:val="20"/>
              </w:rPr>
            </w:pPr>
            <w:r>
              <w:rPr>
                <w:b/>
                <w:sz w:val="20"/>
                <w:szCs w:val="20"/>
              </w:rPr>
              <w:t>28 days IV Ceftriaxone</w:t>
            </w:r>
          </w:p>
        </w:tc>
        <w:tc>
          <w:tcPr>
            <w:tcW w:w="153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BE10CFD" w14:textId="77777777" w:rsidR="002305C5" w:rsidRDefault="002305C5">
            <w:pPr>
              <w:spacing w:after="0"/>
              <w:jc w:val="center"/>
              <w:rPr>
                <w:b/>
                <w:sz w:val="20"/>
                <w:szCs w:val="20"/>
              </w:rPr>
            </w:pPr>
            <w:r>
              <w:rPr>
                <w:b/>
                <w:sz w:val="20"/>
                <w:szCs w:val="20"/>
              </w:rPr>
              <w:t>Relative</w:t>
            </w:r>
            <w:r>
              <w:rPr>
                <w:b/>
                <w:sz w:val="20"/>
                <w:szCs w:val="20"/>
              </w:rPr>
              <w:br/>
              <w:t>(95% CI)</w:t>
            </w:r>
          </w:p>
        </w:tc>
        <w:tc>
          <w:tcPr>
            <w:tcW w:w="215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3BC2FF0" w14:textId="77777777" w:rsidR="002305C5" w:rsidRDefault="002305C5">
            <w:pPr>
              <w:spacing w:after="0"/>
              <w:jc w:val="center"/>
              <w:rPr>
                <w:b/>
                <w:sz w:val="20"/>
                <w:szCs w:val="20"/>
              </w:rPr>
            </w:pPr>
            <w:r>
              <w:rPr>
                <w:b/>
                <w:sz w:val="20"/>
                <w:szCs w:val="20"/>
              </w:rPr>
              <w:t>Absolute</w:t>
            </w:r>
            <w:r>
              <w:rPr>
                <w:b/>
                <w:sz w:val="20"/>
                <w:szCs w:val="20"/>
              </w:rPr>
              <w:br/>
              <w:t>(95% CI)</w:t>
            </w:r>
          </w:p>
        </w:tc>
        <w:tc>
          <w:tcPr>
            <w:tcW w:w="1120" w:type="dxa"/>
            <w:vMerge/>
            <w:tcBorders>
              <w:left w:val="single" w:sz="6" w:space="0" w:color="000000"/>
              <w:bottom w:val="single" w:sz="6" w:space="0" w:color="000000"/>
              <w:right w:val="single" w:sz="6" w:space="0" w:color="000000"/>
            </w:tcBorders>
            <w:shd w:val="clear" w:color="auto" w:fill="D9D9D9"/>
            <w:vAlign w:val="center"/>
          </w:tcPr>
          <w:p w14:paraId="3587BE7D" w14:textId="77777777" w:rsidR="002305C5" w:rsidRDefault="002305C5">
            <w:pPr>
              <w:spacing w:after="0"/>
              <w:rPr>
                <w:b/>
                <w:sz w:val="20"/>
                <w:szCs w:val="20"/>
              </w:rPr>
            </w:pPr>
          </w:p>
        </w:tc>
        <w:tc>
          <w:tcPr>
            <w:tcW w:w="1290" w:type="dxa"/>
            <w:vMerge/>
            <w:tcBorders>
              <w:left w:val="single" w:sz="6" w:space="0" w:color="000000"/>
              <w:bottom w:val="single" w:sz="6" w:space="0" w:color="000000"/>
              <w:right w:val="single" w:sz="6" w:space="0" w:color="000000"/>
            </w:tcBorders>
            <w:shd w:val="clear" w:color="auto" w:fill="D9D9D9"/>
            <w:vAlign w:val="center"/>
          </w:tcPr>
          <w:p w14:paraId="33A39302" w14:textId="77777777" w:rsidR="002305C5" w:rsidRDefault="002305C5">
            <w:pPr>
              <w:spacing w:after="0"/>
              <w:rPr>
                <w:b/>
                <w:sz w:val="20"/>
                <w:szCs w:val="20"/>
              </w:rPr>
            </w:pPr>
          </w:p>
        </w:tc>
      </w:tr>
      <w:tr w:rsidR="002D58E4" w14:paraId="349ECD8C" w14:textId="77777777" w:rsidTr="002305C5">
        <w:tc>
          <w:tcPr>
            <w:tcW w:w="15026"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5D663226" w14:textId="77777777" w:rsidR="002D58E4" w:rsidRDefault="00F721D4">
            <w:pPr>
              <w:spacing w:after="0"/>
              <w:rPr>
                <w:sz w:val="20"/>
                <w:szCs w:val="20"/>
              </w:rPr>
            </w:pPr>
            <w:r>
              <w:rPr>
                <w:b/>
                <w:sz w:val="20"/>
                <w:szCs w:val="20"/>
              </w:rPr>
              <w:t xml:space="preserve">Resolution of Arthritis </w:t>
            </w:r>
            <w:r>
              <w:rPr>
                <w:sz w:val="20"/>
                <w:szCs w:val="20"/>
              </w:rPr>
              <w:t>(at 3 months) *</w:t>
            </w:r>
          </w:p>
        </w:tc>
      </w:tr>
      <w:tr w:rsidR="002D58E4" w14:paraId="68C74226" w14:textId="77777777" w:rsidTr="002305C5">
        <w:tc>
          <w:tcPr>
            <w:tcW w:w="725" w:type="dxa"/>
            <w:tcBorders>
              <w:top w:val="single" w:sz="6" w:space="0" w:color="000000"/>
              <w:left w:val="single" w:sz="6" w:space="0" w:color="000000"/>
              <w:bottom w:val="single" w:sz="6" w:space="0" w:color="000000"/>
              <w:right w:val="single" w:sz="6" w:space="0" w:color="000000"/>
            </w:tcBorders>
          </w:tcPr>
          <w:p w14:paraId="4B40435C" w14:textId="77777777" w:rsidR="002D58E4" w:rsidRDefault="00F721D4">
            <w:pPr>
              <w:spacing w:after="0"/>
              <w:rPr>
                <w:sz w:val="20"/>
                <w:szCs w:val="20"/>
              </w:rPr>
            </w:pPr>
            <w:r>
              <w:rPr>
                <w:sz w:val="20"/>
                <w:szCs w:val="20"/>
              </w:rPr>
              <w:t xml:space="preserve">1 </w:t>
            </w:r>
          </w:p>
        </w:tc>
        <w:tc>
          <w:tcPr>
            <w:tcW w:w="835" w:type="dxa"/>
            <w:tcBorders>
              <w:top w:val="single" w:sz="6" w:space="0" w:color="000000"/>
              <w:left w:val="single" w:sz="6" w:space="0" w:color="000000"/>
              <w:bottom w:val="single" w:sz="6" w:space="0" w:color="000000"/>
              <w:right w:val="single" w:sz="6" w:space="0" w:color="000000"/>
            </w:tcBorders>
          </w:tcPr>
          <w:p w14:paraId="7B64EF8B"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992" w:type="dxa"/>
            <w:tcBorders>
              <w:top w:val="single" w:sz="6" w:space="0" w:color="000000"/>
              <w:left w:val="single" w:sz="6" w:space="0" w:color="000000"/>
              <w:bottom w:val="single" w:sz="6" w:space="0" w:color="000000"/>
              <w:right w:val="single" w:sz="6" w:space="0" w:color="000000"/>
            </w:tcBorders>
          </w:tcPr>
          <w:p w14:paraId="6A46A081"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50" w:type="dxa"/>
            <w:tcBorders>
              <w:top w:val="single" w:sz="6" w:space="0" w:color="000000"/>
              <w:left w:val="single" w:sz="6" w:space="0" w:color="000000"/>
              <w:bottom w:val="single" w:sz="6" w:space="0" w:color="000000"/>
              <w:right w:val="single" w:sz="6" w:space="0" w:color="000000"/>
            </w:tcBorders>
          </w:tcPr>
          <w:p w14:paraId="32885C31" w14:textId="77777777" w:rsidR="002D58E4" w:rsidRDefault="00F721D4">
            <w:pPr>
              <w:spacing w:after="0"/>
              <w:rPr>
                <w:sz w:val="20"/>
                <w:szCs w:val="20"/>
              </w:rPr>
            </w:pPr>
            <w:r>
              <w:rPr>
                <w:sz w:val="20"/>
                <w:szCs w:val="20"/>
              </w:rPr>
              <w:t>not serious</w:t>
            </w:r>
          </w:p>
        </w:tc>
        <w:tc>
          <w:tcPr>
            <w:tcW w:w="1024" w:type="dxa"/>
            <w:tcBorders>
              <w:top w:val="single" w:sz="6" w:space="0" w:color="000000"/>
              <w:left w:val="single" w:sz="6" w:space="0" w:color="000000"/>
              <w:bottom w:val="single" w:sz="6" w:space="0" w:color="000000"/>
              <w:right w:val="single" w:sz="6" w:space="0" w:color="000000"/>
            </w:tcBorders>
          </w:tcPr>
          <w:p w14:paraId="344589C9" w14:textId="77777777" w:rsidR="002D58E4" w:rsidRDefault="00F721D4">
            <w:pPr>
              <w:spacing w:after="0"/>
              <w:rPr>
                <w:sz w:val="20"/>
                <w:szCs w:val="20"/>
              </w:rPr>
            </w:pPr>
            <w:r>
              <w:rPr>
                <w:sz w:val="20"/>
                <w:szCs w:val="20"/>
              </w:rPr>
              <w:t xml:space="preserve">not serious </w:t>
            </w:r>
          </w:p>
        </w:tc>
        <w:tc>
          <w:tcPr>
            <w:tcW w:w="1041" w:type="dxa"/>
            <w:tcBorders>
              <w:top w:val="single" w:sz="6" w:space="0" w:color="000000"/>
              <w:left w:val="single" w:sz="6" w:space="0" w:color="000000"/>
              <w:bottom w:val="single" w:sz="6" w:space="0" w:color="000000"/>
              <w:right w:val="single" w:sz="6" w:space="0" w:color="000000"/>
            </w:tcBorders>
          </w:tcPr>
          <w:p w14:paraId="6AC3B085" w14:textId="77777777" w:rsidR="002D58E4" w:rsidRDefault="00F721D4">
            <w:pPr>
              <w:spacing w:after="0"/>
              <w:rPr>
                <w:sz w:val="20"/>
                <w:szCs w:val="20"/>
              </w:rPr>
            </w:pPr>
            <w:r>
              <w:rPr>
                <w:sz w:val="20"/>
                <w:szCs w:val="20"/>
              </w:rPr>
              <w:t xml:space="preserve">serious </w:t>
            </w:r>
            <w:r>
              <w:rPr>
                <w:sz w:val="20"/>
                <w:szCs w:val="20"/>
                <w:vertAlign w:val="superscript"/>
              </w:rPr>
              <w:t>b</w:t>
            </w:r>
            <w:r>
              <w:rPr>
                <w:sz w:val="20"/>
                <w:szCs w:val="20"/>
              </w:rPr>
              <w:t xml:space="preserve">  </w:t>
            </w:r>
          </w:p>
        </w:tc>
        <w:tc>
          <w:tcPr>
            <w:tcW w:w="962" w:type="dxa"/>
            <w:tcBorders>
              <w:top w:val="single" w:sz="6" w:space="0" w:color="000000"/>
              <w:left w:val="single" w:sz="6" w:space="0" w:color="000000"/>
              <w:bottom w:val="single" w:sz="6" w:space="0" w:color="000000"/>
              <w:right w:val="single" w:sz="6" w:space="0" w:color="000000"/>
            </w:tcBorders>
          </w:tcPr>
          <w:p w14:paraId="7057C99C" w14:textId="77777777" w:rsidR="002D58E4" w:rsidRDefault="00F721D4">
            <w:pPr>
              <w:spacing w:after="0"/>
              <w:rPr>
                <w:sz w:val="20"/>
                <w:szCs w:val="20"/>
              </w:rPr>
            </w:pPr>
            <w:r>
              <w:rPr>
                <w:sz w:val="20"/>
                <w:szCs w:val="20"/>
              </w:rPr>
              <w:t xml:space="preserve">none </w:t>
            </w:r>
          </w:p>
        </w:tc>
        <w:tc>
          <w:tcPr>
            <w:tcW w:w="1226" w:type="dxa"/>
            <w:gridSpan w:val="2"/>
            <w:tcBorders>
              <w:top w:val="single" w:sz="6" w:space="0" w:color="000000"/>
              <w:left w:val="single" w:sz="6" w:space="0" w:color="000000"/>
              <w:bottom w:val="single" w:sz="6" w:space="0" w:color="000000"/>
              <w:right w:val="single" w:sz="6" w:space="0" w:color="000000"/>
            </w:tcBorders>
          </w:tcPr>
          <w:p w14:paraId="72DE6A11" w14:textId="77777777" w:rsidR="002D58E4" w:rsidRDefault="00F721D4">
            <w:pPr>
              <w:spacing w:after="0"/>
              <w:jc w:val="center"/>
              <w:rPr>
                <w:sz w:val="20"/>
                <w:szCs w:val="20"/>
              </w:rPr>
            </w:pPr>
            <w:r>
              <w:rPr>
                <w:sz w:val="20"/>
                <w:szCs w:val="20"/>
              </w:rPr>
              <w:t xml:space="preserve">45/76 </w:t>
            </w:r>
          </w:p>
          <w:p w14:paraId="59980CE1" w14:textId="77777777" w:rsidR="002D58E4" w:rsidRDefault="00F721D4">
            <w:pPr>
              <w:spacing w:after="0"/>
              <w:jc w:val="center"/>
              <w:rPr>
                <w:sz w:val="20"/>
                <w:szCs w:val="20"/>
              </w:rPr>
            </w:pPr>
            <w:r>
              <w:rPr>
                <w:sz w:val="20"/>
                <w:szCs w:val="20"/>
              </w:rPr>
              <w:t xml:space="preserve">(59.2%) </w:t>
            </w:r>
          </w:p>
        </w:tc>
        <w:tc>
          <w:tcPr>
            <w:tcW w:w="1276" w:type="dxa"/>
            <w:tcBorders>
              <w:top w:val="single" w:sz="6" w:space="0" w:color="000000"/>
              <w:left w:val="single" w:sz="6" w:space="0" w:color="000000"/>
              <w:bottom w:val="single" w:sz="6" w:space="0" w:color="000000"/>
              <w:right w:val="single" w:sz="6" w:space="0" w:color="000000"/>
            </w:tcBorders>
          </w:tcPr>
          <w:p w14:paraId="3932F393" w14:textId="77777777" w:rsidR="002D58E4" w:rsidRDefault="00F721D4">
            <w:pPr>
              <w:spacing w:after="0"/>
              <w:jc w:val="center"/>
              <w:rPr>
                <w:sz w:val="20"/>
                <w:szCs w:val="20"/>
              </w:rPr>
            </w:pPr>
            <w:r>
              <w:rPr>
                <w:sz w:val="20"/>
                <w:szCs w:val="20"/>
              </w:rPr>
              <w:t xml:space="preserve">38/53 </w:t>
            </w:r>
          </w:p>
          <w:p w14:paraId="72B70E17" w14:textId="77777777" w:rsidR="002D58E4" w:rsidRDefault="00F721D4">
            <w:pPr>
              <w:spacing w:after="0"/>
              <w:jc w:val="center"/>
              <w:rPr>
                <w:sz w:val="20"/>
                <w:szCs w:val="20"/>
              </w:rPr>
            </w:pPr>
            <w:r>
              <w:rPr>
                <w:sz w:val="20"/>
                <w:szCs w:val="20"/>
              </w:rPr>
              <w:t xml:space="preserve">(71.7%) </w:t>
            </w:r>
          </w:p>
        </w:tc>
        <w:tc>
          <w:tcPr>
            <w:tcW w:w="1530" w:type="dxa"/>
            <w:tcBorders>
              <w:top w:val="single" w:sz="6" w:space="0" w:color="000000"/>
              <w:left w:val="single" w:sz="6" w:space="0" w:color="000000"/>
              <w:bottom w:val="single" w:sz="6" w:space="0" w:color="000000"/>
              <w:right w:val="single" w:sz="6" w:space="0" w:color="000000"/>
            </w:tcBorders>
          </w:tcPr>
          <w:p w14:paraId="73A47154" w14:textId="77777777" w:rsidR="002D58E4" w:rsidRDefault="00F721D4">
            <w:pPr>
              <w:spacing w:after="0"/>
              <w:jc w:val="center"/>
              <w:rPr>
                <w:sz w:val="20"/>
                <w:szCs w:val="20"/>
              </w:rPr>
            </w:pPr>
            <w:r>
              <w:rPr>
                <w:sz w:val="20"/>
                <w:szCs w:val="20"/>
              </w:rPr>
              <w:t>RR 0.83</w:t>
            </w:r>
            <w:r>
              <w:rPr>
                <w:sz w:val="20"/>
                <w:szCs w:val="20"/>
              </w:rPr>
              <w:br/>
              <w:t xml:space="preserve">(0.64 to 1.06) </w:t>
            </w:r>
          </w:p>
        </w:tc>
        <w:tc>
          <w:tcPr>
            <w:tcW w:w="2155" w:type="dxa"/>
            <w:tcBorders>
              <w:top w:val="single" w:sz="6" w:space="0" w:color="000000"/>
              <w:left w:val="single" w:sz="6" w:space="0" w:color="000000"/>
              <w:bottom w:val="single" w:sz="6" w:space="0" w:color="000000"/>
              <w:right w:val="single" w:sz="6" w:space="0" w:color="000000"/>
            </w:tcBorders>
          </w:tcPr>
          <w:p w14:paraId="069C8FCA" w14:textId="77777777" w:rsidR="002D58E4" w:rsidRDefault="00F721D4">
            <w:pPr>
              <w:spacing w:after="0"/>
              <w:jc w:val="center"/>
              <w:rPr>
                <w:sz w:val="20"/>
                <w:szCs w:val="20"/>
              </w:rPr>
            </w:pPr>
            <w:r>
              <w:rPr>
                <w:sz w:val="20"/>
                <w:szCs w:val="20"/>
              </w:rPr>
              <w:t>122 fewer per 1,000</w:t>
            </w:r>
            <w:r>
              <w:rPr>
                <w:sz w:val="20"/>
                <w:szCs w:val="20"/>
              </w:rPr>
              <w:br/>
              <w:t xml:space="preserve">(from 43 more to 258 fewer) </w:t>
            </w:r>
          </w:p>
        </w:tc>
        <w:tc>
          <w:tcPr>
            <w:tcW w:w="1120" w:type="dxa"/>
            <w:tcBorders>
              <w:top w:val="single" w:sz="6" w:space="0" w:color="000000"/>
              <w:left w:val="single" w:sz="6" w:space="0" w:color="000000"/>
              <w:bottom w:val="single" w:sz="6" w:space="0" w:color="000000"/>
              <w:right w:val="single" w:sz="6" w:space="0" w:color="000000"/>
            </w:tcBorders>
          </w:tcPr>
          <w:p w14:paraId="3F44FDFE"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290" w:type="dxa"/>
            <w:tcBorders>
              <w:top w:val="single" w:sz="6" w:space="0" w:color="000000"/>
              <w:left w:val="single" w:sz="6" w:space="0" w:color="000000"/>
              <w:bottom w:val="single" w:sz="6" w:space="0" w:color="000000"/>
              <w:right w:val="single" w:sz="6" w:space="0" w:color="000000"/>
            </w:tcBorders>
          </w:tcPr>
          <w:p w14:paraId="54D0C94C" w14:textId="77777777" w:rsidR="002D58E4" w:rsidRDefault="00F721D4">
            <w:pPr>
              <w:spacing w:after="0"/>
              <w:rPr>
                <w:sz w:val="20"/>
                <w:szCs w:val="20"/>
              </w:rPr>
            </w:pPr>
            <w:r>
              <w:rPr>
                <w:sz w:val="20"/>
                <w:szCs w:val="20"/>
              </w:rPr>
              <w:t xml:space="preserve">CRITICAL </w:t>
            </w:r>
          </w:p>
        </w:tc>
      </w:tr>
      <w:tr w:rsidR="002D58E4" w14:paraId="5009F89A" w14:textId="77777777" w:rsidTr="002305C5">
        <w:tc>
          <w:tcPr>
            <w:tcW w:w="15026"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3F4187F8" w14:textId="77777777" w:rsidR="002D58E4" w:rsidRDefault="00F721D4">
            <w:pPr>
              <w:spacing w:after="0"/>
              <w:rPr>
                <w:sz w:val="20"/>
                <w:szCs w:val="20"/>
              </w:rPr>
            </w:pPr>
            <w:r>
              <w:rPr>
                <w:b/>
                <w:sz w:val="20"/>
                <w:szCs w:val="20"/>
              </w:rPr>
              <w:t xml:space="preserve">Resolution of Arthritis </w:t>
            </w:r>
            <w:r>
              <w:rPr>
                <w:sz w:val="20"/>
                <w:szCs w:val="20"/>
              </w:rPr>
              <w:t xml:space="preserve">(at 12 months) * </w:t>
            </w:r>
          </w:p>
        </w:tc>
      </w:tr>
      <w:tr w:rsidR="002D58E4" w14:paraId="61D0B6AC" w14:textId="77777777" w:rsidTr="002305C5">
        <w:tc>
          <w:tcPr>
            <w:tcW w:w="725" w:type="dxa"/>
            <w:tcBorders>
              <w:top w:val="single" w:sz="6" w:space="0" w:color="000000"/>
              <w:left w:val="single" w:sz="6" w:space="0" w:color="000000"/>
              <w:bottom w:val="single" w:sz="6" w:space="0" w:color="000000"/>
              <w:right w:val="single" w:sz="6" w:space="0" w:color="000000"/>
            </w:tcBorders>
          </w:tcPr>
          <w:p w14:paraId="29931F09" w14:textId="77777777" w:rsidR="002D58E4" w:rsidRDefault="00F721D4">
            <w:pPr>
              <w:spacing w:after="0"/>
              <w:rPr>
                <w:sz w:val="20"/>
                <w:szCs w:val="20"/>
              </w:rPr>
            </w:pPr>
            <w:r>
              <w:rPr>
                <w:sz w:val="20"/>
                <w:szCs w:val="20"/>
              </w:rPr>
              <w:t xml:space="preserve">1 </w:t>
            </w:r>
          </w:p>
        </w:tc>
        <w:tc>
          <w:tcPr>
            <w:tcW w:w="835" w:type="dxa"/>
            <w:tcBorders>
              <w:top w:val="single" w:sz="6" w:space="0" w:color="000000"/>
              <w:left w:val="single" w:sz="6" w:space="0" w:color="000000"/>
              <w:bottom w:val="single" w:sz="6" w:space="0" w:color="000000"/>
              <w:right w:val="single" w:sz="6" w:space="0" w:color="000000"/>
            </w:tcBorders>
          </w:tcPr>
          <w:p w14:paraId="0C1A761D"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992" w:type="dxa"/>
            <w:tcBorders>
              <w:top w:val="single" w:sz="6" w:space="0" w:color="000000"/>
              <w:left w:val="single" w:sz="6" w:space="0" w:color="000000"/>
              <w:bottom w:val="single" w:sz="6" w:space="0" w:color="000000"/>
              <w:right w:val="single" w:sz="6" w:space="0" w:color="000000"/>
            </w:tcBorders>
          </w:tcPr>
          <w:p w14:paraId="6E31E1D7"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50" w:type="dxa"/>
            <w:tcBorders>
              <w:top w:val="single" w:sz="6" w:space="0" w:color="000000"/>
              <w:left w:val="single" w:sz="6" w:space="0" w:color="000000"/>
              <w:bottom w:val="single" w:sz="6" w:space="0" w:color="000000"/>
              <w:right w:val="single" w:sz="6" w:space="0" w:color="000000"/>
            </w:tcBorders>
          </w:tcPr>
          <w:p w14:paraId="0AB1F4DD" w14:textId="77777777" w:rsidR="002D58E4" w:rsidRDefault="00F721D4">
            <w:pPr>
              <w:spacing w:after="0"/>
              <w:rPr>
                <w:sz w:val="20"/>
                <w:szCs w:val="20"/>
              </w:rPr>
            </w:pPr>
            <w:r>
              <w:rPr>
                <w:sz w:val="20"/>
                <w:szCs w:val="20"/>
              </w:rPr>
              <w:t>not serious</w:t>
            </w:r>
          </w:p>
        </w:tc>
        <w:tc>
          <w:tcPr>
            <w:tcW w:w="1024" w:type="dxa"/>
            <w:tcBorders>
              <w:top w:val="single" w:sz="6" w:space="0" w:color="000000"/>
              <w:left w:val="single" w:sz="6" w:space="0" w:color="000000"/>
              <w:bottom w:val="single" w:sz="6" w:space="0" w:color="000000"/>
              <w:right w:val="single" w:sz="6" w:space="0" w:color="000000"/>
            </w:tcBorders>
          </w:tcPr>
          <w:p w14:paraId="680B6A38" w14:textId="77777777" w:rsidR="002D58E4" w:rsidRDefault="00F721D4">
            <w:pPr>
              <w:spacing w:after="0"/>
              <w:rPr>
                <w:sz w:val="20"/>
                <w:szCs w:val="20"/>
              </w:rPr>
            </w:pPr>
            <w:r>
              <w:rPr>
                <w:sz w:val="20"/>
                <w:szCs w:val="20"/>
              </w:rPr>
              <w:t xml:space="preserve">not serious </w:t>
            </w:r>
          </w:p>
        </w:tc>
        <w:tc>
          <w:tcPr>
            <w:tcW w:w="1041" w:type="dxa"/>
            <w:tcBorders>
              <w:top w:val="single" w:sz="6" w:space="0" w:color="000000"/>
              <w:left w:val="single" w:sz="6" w:space="0" w:color="000000"/>
              <w:bottom w:val="single" w:sz="6" w:space="0" w:color="000000"/>
              <w:right w:val="single" w:sz="6" w:space="0" w:color="000000"/>
            </w:tcBorders>
          </w:tcPr>
          <w:p w14:paraId="18F6DF6E" w14:textId="77777777" w:rsidR="002D58E4" w:rsidRDefault="00F721D4">
            <w:pPr>
              <w:spacing w:after="0"/>
              <w:rPr>
                <w:sz w:val="20"/>
                <w:szCs w:val="20"/>
              </w:rPr>
            </w:pPr>
            <w:r>
              <w:rPr>
                <w:sz w:val="20"/>
                <w:szCs w:val="20"/>
              </w:rPr>
              <w:t xml:space="preserve">serious </w:t>
            </w:r>
            <w:r>
              <w:rPr>
                <w:sz w:val="20"/>
                <w:szCs w:val="20"/>
                <w:vertAlign w:val="superscript"/>
              </w:rPr>
              <w:t>b</w:t>
            </w:r>
            <w:r>
              <w:rPr>
                <w:sz w:val="20"/>
                <w:szCs w:val="20"/>
              </w:rPr>
              <w:t xml:space="preserve">  </w:t>
            </w:r>
          </w:p>
        </w:tc>
        <w:tc>
          <w:tcPr>
            <w:tcW w:w="962" w:type="dxa"/>
            <w:tcBorders>
              <w:top w:val="single" w:sz="6" w:space="0" w:color="000000"/>
              <w:left w:val="single" w:sz="6" w:space="0" w:color="000000"/>
              <w:bottom w:val="single" w:sz="6" w:space="0" w:color="000000"/>
              <w:right w:val="single" w:sz="6" w:space="0" w:color="000000"/>
            </w:tcBorders>
          </w:tcPr>
          <w:p w14:paraId="51E646D1" w14:textId="77777777" w:rsidR="002D58E4" w:rsidRDefault="00F721D4">
            <w:pPr>
              <w:spacing w:after="0"/>
              <w:rPr>
                <w:sz w:val="20"/>
                <w:szCs w:val="20"/>
              </w:rPr>
            </w:pPr>
            <w:r>
              <w:rPr>
                <w:sz w:val="20"/>
                <w:szCs w:val="20"/>
              </w:rPr>
              <w:t xml:space="preserve">none </w:t>
            </w:r>
          </w:p>
        </w:tc>
        <w:tc>
          <w:tcPr>
            <w:tcW w:w="1226" w:type="dxa"/>
            <w:gridSpan w:val="2"/>
            <w:tcBorders>
              <w:top w:val="single" w:sz="6" w:space="0" w:color="000000"/>
              <w:left w:val="single" w:sz="6" w:space="0" w:color="000000"/>
              <w:bottom w:val="single" w:sz="6" w:space="0" w:color="000000"/>
              <w:right w:val="single" w:sz="6" w:space="0" w:color="000000"/>
            </w:tcBorders>
          </w:tcPr>
          <w:p w14:paraId="0A37A130" w14:textId="77777777" w:rsidR="002D58E4" w:rsidRDefault="00F721D4">
            <w:pPr>
              <w:spacing w:after="0"/>
              <w:jc w:val="center"/>
              <w:rPr>
                <w:sz w:val="20"/>
                <w:szCs w:val="20"/>
              </w:rPr>
            </w:pPr>
            <w:r>
              <w:rPr>
                <w:sz w:val="20"/>
                <w:szCs w:val="20"/>
              </w:rPr>
              <w:t xml:space="preserve">54/65 </w:t>
            </w:r>
          </w:p>
          <w:p w14:paraId="132F5913" w14:textId="77777777" w:rsidR="002D58E4" w:rsidRDefault="00F721D4">
            <w:pPr>
              <w:spacing w:after="0"/>
              <w:jc w:val="center"/>
              <w:rPr>
                <w:sz w:val="20"/>
                <w:szCs w:val="20"/>
              </w:rPr>
            </w:pPr>
            <w:r>
              <w:rPr>
                <w:sz w:val="20"/>
                <w:szCs w:val="20"/>
              </w:rPr>
              <w:t xml:space="preserve">(83.1%) </w:t>
            </w:r>
          </w:p>
        </w:tc>
        <w:tc>
          <w:tcPr>
            <w:tcW w:w="1276" w:type="dxa"/>
            <w:tcBorders>
              <w:top w:val="single" w:sz="6" w:space="0" w:color="000000"/>
              <w:left w:val="single" w:sz="6" w:space="0" w:color="000000"/>
              <w:bottom w:val="single" w:sz="6" w:space="0" w:color="000000"/>
              <w:right w:val="single" w:sz="6" w:space="0" w:color="000000"/>
            </w:tcBorders>
          </w:tcPr>
          <w:p w14:paraId="1A78EEF1" w14:textId="77777777" w:rsidR="002D58E4" w:rsidRDefault="00F721D4">
            <w:pPr>
              <w:spacing w:after="0"/>
              <w:jc w:val="center"/>
              <w:rPr>
                <w:sz w:val="20"/>
                <w:szCs w:val="20"/>
              </w:rPr>
            </w:pPr>
            <w:r>
              <w:rPr>
                <w:sz w:val="20"/>
                <w:szCs w:val="20"/>
              </w:rPr>
              <w:t xml:space="preserve">34/43 </w:t>
            </w:r>
          </w:p>
          <w:p w14:paraId="2C736081" w14:textId="77777777" w:rsidR="002D58E4" w:rsidRDefault="00F721D4">
            <w:pPr>
              <w:spacing w:after="0"/>
              <w:jc w:val="center"/>
              <w:rPr>
                <w:sz w:val="20"/>
                <w:szCs w:val="20"/>
              </w:rPr>
            </w:pPr>
            <w:r>
              <w:rPr>
                <w:sz w:val="20"/>
                <w:szCs w:val="20"/>
              </w:rPr>
              <w:t xml:space="preserve">(79.1%) </w:t>
            </w:r>
          </w:p>
        </w:tc>
        <w:tc>
          <w:tcPr>
            <w:tcW w:w="1530" w:type="dxa"/>
            <w:tcBorders>
              <w:top w:val="single" w:sz="6" w:space="0" w:color="000000"/>
              <w:left w:val="single" w:sz="6" w:space="0" w:color="000000"/>
              <w:bottom w:val="single" w:sz="6" w:space="0" w:color="000000"/>
              <w:right w:val="single" w:sz="6" w:space="0" w:color="000000"/>
            </w:tcBorders>
          </w:tcPr>
          <w:p w14:paraId="6149FD3E" w14:textId="77777777" w:rsidR="002D58E4" w:rsidRDefault="00F721D4">
            <w:pPr>
              <w:spacing w:after="0"/>
              <w:jc w:val="center"/>
              <w:rPr>
                <w:sz w:val="20"/>
                <w:szCs w:val="20"/>
              </w:rPr>
            </w:pPr>
            <w:r>
              <w:rPr>
                <w:sz w:val="20"/>
                <w:szCs w:val="20"/>
              </w:rPr>
              <w:t>RR 1.05</w:t>
            </w:r>
            <w:r>
              <w:rPr>
                <w:sz w:val="20"/>
                <w:szCs w:val="20"/>
              </w:rPr>
              <w:br/>
              <w:t xml:space="preserve">(0.87 to 1.27) </w:t>
            </w:r>
          </w:p>
        </w:tc>
        <w:tc>
          <w:tcPr>
            <w:tcW w:w="2155" w:type="dxa"/>
            <w:tcBorders>
              <w:top w:val="single" w:sz="6" w:space="0" w:color="000000"/>
              <w:left w:val="single" w:sz="6" w:space="0" w:color="000000"/>
              <w:bottom w:val="single" w:sz="6" w:space="0" w:color="000000"/>
              <w:right w:val="single" w:sz="6" w:space="0" w:color="000000"/>
            </w:tcBorders>
          </w:tcPr>
          <w:p w14:paraId="6E851F31" w14:textId="77777777" w:rsidR="002D58E4" w:rsidRDefault="00F721D4">
            <w:pPr>
              <w:spacing w:after="0"/>
              <w:jc w:val="center"/>
              <w:rPr>
                <w:sz w:val="20"/>
                <w:szCs w:val="20"/>
              </w:rPr>
            </w:pPr>
            <w:r>
              <w:rPr>
                <w:sz w:val="20"/>
                <w:szCs w:val="20"/>
              </w:rPr>
              <w:t>40 more per 1,000</w:t>
            </w:r>
            <w:r>
              <w:rPr>
                <w:sz w:val="20"/>
                <w:szCs w:val="20"/>
              </w:rPr>
              <w:br/>
              <w:t xml:space="preserve">(from 103 fewer to 213 more) </w:t>
            </w:r>
          </w:p>
        </w:tc>
        <w:tc>
          <w:tcPr>
            <w:tcW w:w="1120" w:type="dxa"/>
            <w:tcBorders>
              <w:top w:val="single" w:sz="6" w:space="0" w:color="000000"/>
              <w:left w:val="single" w:sz="6" w:space="0" w:color="000000"/>
              <w:bottom w:val="single" w:sz="6" w:space="0" w:color="000000"/>
              <w:right w:val="single" w:sz="6" w:space="0" w:color="000000"/>
            </w:tcBorders>
          </w:tcPr>
          <w:p w14:paraId="040A9BAE"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290" w:type="dxa"/>
            <w:tcBorders>
              <w:top w:val="single" w:sz="6" w:space="0" w:color="000000"/>
              <w:left w:val="single" w:sz="6" w:space="0" w:color="000000"/>
              <w:bottom w:val="single" w:sz="6" w:space="0" w:color="000000"/>
              <w:right w:val="single" w:sz="6" w:space="0" w:color="000000"/>
            </w:tcBorders>
          </w:tcPr>
          <w:p w14:paraId="260325E0" w14:textId="77777777" w:rsidR="002D58E4" w:rsidRDefault="00F721D4">
            <w:pPr>
              <w:spacing w:after="0"/>
              <w:rPr>
                <w:sz w:val="20"/>
                <w:szCs w:val="20"/>
              </w:rPr>
            </w:pPr>
            <w:r>
              <w:rPr>
                <w:sz w:val="20"/>
                <w:szCs w:val="20"/>
              </w:rPr>
              <w:t xml:space="preserve">CRITICAL </w:t>
            </w:r>
          </w:p>
        </w:tc>
      </w:tr>
      <w:tr w:rsidR="002D58E4" w14:paraId="65A1D3D5" w14:textId="77777777" w:rsidTr="002305C5">
        <w:tc>
          <w:tcPr>
            <w:tcW w:w="15026"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1EFCDC72" w14:textId="77777777" w:rsidR="002D58E4" w:rsidRDefault="00F721D4">
            <w:pPr>
              <w:spacing w:after="0"/>
              <w:rPr>
                <w:sz w:val="20"/>
                <w:szCs w:val="20"/>
              </w:rPr>
            </w:pPr>
            <w:r>
              <w:rPr>
                <w:b/>
                <w:sz w:val="20"/>
                <w:szCs w:val="20"/>
              </w:rPr>
              <w:t>Joint Pain and Swelling</w:t>
            </w:r>
            <w:r>
              <w:rPr>
                <w:sz w:val="20"/>
                <w:szCs w:val="20"/>
              </w:rPr>
              <w:t xml:space="preserve"> (at last evaluation) </w:t>
            </w:r>
          </w:p>
        </w:tc>
      </w:tr>
      <w:tr w:rsidR="002D58E4" w14:paraId="2AB0D474" w14:textId="77777777" w:rsidTr="002305C5">
        <w:tc>
          <w:tcPr>
            <w:tcW w:w="725" w:type="dxa"/>
            <w:tcBorders>
              <w:top w:val="single" w:sz="6" w:space="0" w:color="000000"/>
              <w:left w:val="single" w:sz="6" w:space="0" w:color="000000"/>
              <w:bottom w:val="single" w:sz="6" w:space="0" w:color="000000"/>
              <w:right w:val="single" w:sz="6" w:space="0" w:color="000000"/>
            </w:tcBorders>
          </w:tcPr>
          <w:p w14:paraId="0C488B18" w14:textId="77777777" w:rsidR="002D58E4" w:rsidRDefault="00F721D4">
            <w:pPr>
              <w:spacing w:after="0"/>
              <w:rPr>
                <w:sz w:val="20"/>
                <w:szCs w:val="20"/>
              </w:rPr>
            </w:pPr>
            <w:r>
              <w:rPr>
                <w:sz w:val="20"/>
                <w:szCs w:val="20"/>
              </w:rPr>
              <w:t xml:space="preserve">1 </w:t>
            </w:r>
          </w:p>
        </w:tc>
        <w:tc>
          <w:tcPr>
            <w:tcW w:w="835" w:type="dxa"/>
            <w:tcBorders>
              <w:top w:val="single" w:sz="6" w:space="0" w:color="000000"/>
              <w:left w:val="single" w:sz="6" w:space="0" w:color="000000"/>
              <w:bottom w:val="single" w:sz="6" w:space="0" w:color="000000"/>
              <w:right w:val="single" w:sz="6" w:space="0" w:color="000000"/>
            </w:tcBorders>
          </w:tcPr>
          <w:p w14:paraId="560CBCBB"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992" w:type="dxa"/>
            <w:tcBorders>
              <w:top w:val="single" w:sz="6" w:space="0" w:color="000000"/>
              <w:left w:val="single" w:sz="6" w:space="0" w:color="000000"/>
              <w:bottom w:val="single" w:sz="6" w:space="0" w:color="000000"/>
              <w:right w:val="single" w:sz="6" w:space="0" w:color="000000"/>
            </w:tcBorders>
          </w:tcPr>
          <w:p w14:paraId="41B147CC"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50" w:type="dxa"/>
            <w:tcBorders>
              <w:top w:val="single" w:sz="6" w:space="0" w:color="000000"/>
              <w:left w:val="single" w:sz="6" w:space="0" w:color="000000"/>
              <w:bottom w:val="single" w:sz="6" w:space="0" w:color="000000"/>
              <w:right w:val="single" w:sz="6" w:space="0" w:color="000000"/>
            </w:tcBorders>
          </w:tcPr>
          <w:p w14:paraId="491C2C3C" w14:textId="77777777" w:rsidR="002D58E4" w:rsidRDefault="00F721D4">
            <w:pPr>
              <w:spacing w:after="0"/>
              <w:rPr>
                <w:sz w:val="20"/>
                <w:szCs w:val="20"/>
              </w:rPr>
            </w:pPr>
            <w:r>
              <w:rPr>
                <w:sz w:val="20"/>
                <w:szCs w:val="20"/>
              </w:rPr>
              <w:t>not serious</w:t>
            </w:r>
          </w:p>
        </w:tc>
        <w:tc>
          <w:tcPr>
            <w:tcW w:w="1024" w:type="dxa"/>
            <w:tcBorders>
              <w:top w:val="single" w:sz="6" w:space="0" w:color="000000"/>
              <w:left w:val="single" w:sz="6" w:space="0" w:color="000000"/>
              <w:bottom w:val="single" w:sz="6" w:space="0" w:color="000000"/>
              <w:right w:val="single" w:sz="6" w:space="0" w:color="000000"/>
            </w:tcBorders>
          </w:tcPr>
          <w:p w14:paraId="58D9CC71" w14:textId="77777777" w:rsidR="002D58E4" w:rsidRDefault="00F721D4">
            <w:pPr>
              <w:spacing w:after="0"/>
              <w:rPr>
                <w:sz w:val="20"/>
                <w:szCs w:val="20"/>
              </w:rPr>
            </w:pPr>
            <w:r>
              <w:rPr>
                <w:sz w:val="20"/>
                <w:szCs w:val="20"/>
              </w:rPr>
              <w:t xml:space="preserve">not serious </w:t>
            </w:r>
          </w:p>
        </w:tc>
        <w:tc>
          <w:tcPr>
            <w:tcW w:w="1041" w:type="dxa"/>
            <w:tcBorders>
              <w:top w:val="single" w:sz="6" w:space="0" w:color="000000"/>
              <w:left w:val="single" w:sz="6" w:space="0" w:color="000000"/>
              <w:bottom w:val="single" w:sz="6" w:space="0" w:color="000000"/>
              <w:right w:val="single" w:sz="6" w:space="0" w:color="000000"/>
            </w:tcBorders>
          </w:tcPr>
          <w:p w14:paraId="3684F24E"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62" w:type="dxa"/>
            <w:tcBorders>
              <w:top w:val="single" w:sz="6" w:space="0" w:color="000000"/>
              <w:left w:val="single" w:sz="6" w:space="0" w:color="000000"/>
              <w:bottom w:val="single" w:sz="6" w:space="0" w:color="000000"/>
              <w:right w:val="single" w:sz="6" w:space="0" w:color="000000"/>
            </w:tcBorders>
          </w:tcPr>
          <w:p w14:paraId="2550595A" w14:textId="77777777" w:rsidR="002D58E4" w:rsidRDefault="00F721D4">
            <w:pPr>
              <w:spacing w:after="0"/>
              <w:rPr>
                <w:sz w:val="20"/>
                <w:szCs w:val="20"/>
              </w:rPr>
            </w:pPr>
            <w:r>
              <w:rPr>
                <w:sz w:val="20"/>
                <w:szCs w:val="20"/>
              </w:rPr>
              <w:t xml:space="preserve">none </w:t>
            </w:r>
          </w:p>
        </w:tc>
        <w:tc>
          <w:tcPr>
            <w:tcW w:w="1226" w:type="dxa"/>
            <w:gridSpan w:val="2"/>
            <w:tcBorders>
              <w:top w:val="single" w:sz="6" w:space="0" w:color="000000"/>
              <w:left w:val="single" w:sz="6" w:space="0" w:color="000000"/>
              <w:bottom w:val="single" w:sz="6" w:space="0" w:color="000000"/>
              <w:right w:val="single" w:sz="6" w:space="0" w:color="000000"/>
            </w:tcBorders>
          </w:tcPr>
          <w:p w14:paraId="1680A252" w14:textId="77777777" w:rsidR="002D58E4" w:rsidRDefault="00F721D4">
            <w:pPr>
              <w:spacing w:after="0"/>
              <w:jc w:val="center"/>
              <w:rPr>
                <w:sz w:val="20"/>
                <w:szCs w:val="20"/>
              </w:rPr>
            </w:pPr>
            <w:r>
              <w:rPr>
                <w:sz w:val="20"/>
                <w:szCs w:val="20"/>
              </w:rPr>
              <w:t xml:space="preserve">5/80 </w:t>
            </w:r>
          </w:p>
          <w:p w14:paraId="5FDFE859" w14:textId="77777777" w:rsidR="002D58E4" w:rsidRDefault="00F721D4">
            <w:pPr>
              <w:spacing w:after="0"/>
              <w:jc w:val="center"/>
              <w:rPr>
                <w:sz w:val="20"/>
                <w:szCs w:val="20"/>
              </w:rPr>
            </w:pPr>
            <w:r>
              <w:rPr>
                <w:sz w:val="20"/>
                <w:szCs w:val="20"/>
              </w:rPr>
              <w:t xml:space="preserve">(6.3%) </w:t>
            </w:r>
          </w:p>
        </w:tc>
        <w:tc>
          <w:tcPr>
            <w:tcW w:w="1276" w:type="dxa"/>
            <w:tcBorders>
              <w:top w:val="single" w:sz="6" w:space="0" w:color="000000"/>
              <w:left w:val="single" w:sz="6" w:space="0" w:color="000000"/>
              <w:bottom w:val="single" w:sz="6" w:space="0" w:color="000000"/>
              <w:right w:val="single" w:sz="6" w:space="0" w:color="000000"/>
            </w:tcBorders>
          </w:tcPr>
          <w:p w14:paraId="2BE17FE4" w14:textId="77777777" w:rsidR="002D58E4" w:rsidRDefault="00F721D4">
            <w:pPr>
              <w:spacing w:after="0"/>
              <w:jc w:val="center"/>
              <w:rPr>
                <w:sz w:val="20"/>
                <w:szCs w:val="20"/>
              </w:rPr>
            </w:pPr>
            <w:r>
              <w:rPr>
                <w:sz w:val="20"/>
                <w:szCs w:val="20"/>
              </w:rPr>
              <w:t xml:space="preserve">2/63 </w:t>
            </w:r>
          </w:p>
          <w:p w14:paraId="04F41457" w14:textId="77777777" w:rsidR="002D58E4" w:rsidRDefault="00F721D4">
            <w:pPr>
              <w:spacing w:after="0"/>
              <w:jc w:val="center"/>
              <w:rPr>
                <w:sz w:val="20"/>
                <w:szCs w:val="20"/>
              </w:rPr>
            </w:pPr>
            <w:r>
              <w:rPr>
                <w:sz w:val="20"/>
                <w:szCs w:val="20"/>
              </w:rPr>
              <w:t xml:space="preserve">(3.2%) </w:t>
            </w:r>
          </w:p>
        </w:tc>
        <w:tc>
          <w:tcPr>
            <w:tcW w:w="1530" w:type="dxa"/>
            <w:tcBorders>
              <w:top w:val="single" w:sz="6" w:space="0" w:color="000000"/>
              <w:left w:val="single" w:sz="6" w:space="0" w:color="000000"/>
              <w:bottom w:val="single" w:sz="6" w:space="0" w:color="000000"/>
              <w:right w:val="single" w:sz="6" w:space="0" w:color="000000"/>
            </w:tcBorders>
          </w:tcPr>
          <w:p w14:paraId="22BCFE29" w14:textId="77777777" w:rsidR="002D58E4" w:rsidRDefault="00F721D4">
            <w:pPr>
              <w:spacing w:after="0"/>
              <w:jc w:val="center"/>
              <w:rPr>
                <w:sz w:val="20"/>
                <w:szCs w:val="20"/>
              </w:rPr>
            </w:pPr>
            <w:r>
              <w:rPr>
                <w:sz w:val="20"/>
                <w:szCs w:val="20"/>
              </w:rPr>
              <w:t>RR 1.97</w:t>
            </w:r>
            <w:r>
              <w:rPr>
                <w:sz w:val="20"/>
                <w:szCs w:val="20"/>
              </w:rPr>
              <w:br/>
              <w:t xml:space="preserve">(0.40 to 9.81) </w:t>
            </w:r>
          </w:p>
        </w:tc>
        <w:tc>
          <w:tcPr>
            <w:tcW w:w="2155" w:type="dxa"/>
            <w:tcBorders>
              <w:top w:val="single" w:sz="6" w:space="0" w:color="000000"/>
              <w:left w:val="single" w:sz="6" w:space="0" w:color="000000"/>
              <w:bottom w:val="single" w:sz="6" w:space="0" w:color="000000"/>
              <w:right w:val="single" w:sz="6" w:space="0" w:color="000000"/>
            </w:tcBorders>
          </w:tcPr>
          <w:p w14:paraId="476F3958" w14:textId="77777777" w:rsidR="002D58E4" w:rsidRDefault="00F721D4">
            <w:pPr>
              <w:spacing w:after="0"/>
              <w:jc w:val="center"/>
              <w:rPr>
                <w:sz w:val="20"/>
                <w:szCs w:val="20"/>
              </w:rPr>
            </w:pPr>
            <w:r>
              <w:rPr>
                <w:sz w:val="20"/>
                <w:szCs w:val="20"/>
              </w:rPr>
              <w:t>31 more per 1,000</w:t>
            </w:r>
            <w:r>
              <w:rPr>
                <w:sz w:val="20"/>
                <w:szCs w:val="20"/>
              </w:rPr>
              <w:br/>
              <w:t xml:space="preserve">(from 19 fewer to 280 more) </w:t>
            </w:r>
          </w:p>
        </w:tc>
        <w:tc>
          <w:tcPr>
            <w:tcW w:w="1120" w:type="dxa"/>
            <w:tcBorders>
              <w:top w:val="single" w:sz="6" w:space="0" w:color="000000"/>
              <w:left w:val="single" w:sz="6" w:space="0" w:color="000000"/>
              <w:bottom w:val="single" w:sz="6" w:space="0" w:color="000000"/>
              <w:right w:val="single" w:sz="6" w:space="0" w:color="000000"/>
            </w:tcBorders>
          </w:tcPr>
          <w:p w14:paraId="10F7C5A1"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90" w:type="dxa"/>
            <w:tcBorders>
              <w:top w:val="single" w:sz="6" w:space="0" w:color="000000"/>
              <w:left w:val="single" w:sz="6" w:space="0" w:color="000000"/>
              <w:bottom w:val="single" w:sz="6" w:space="0" w:color="000000"/>
              <w:right w:val="single" w:sz="6" w:space="0" w:color="000000"/>
            </w:tcBorders>
          </w:tcPr>
          <w:p w14:paraId="0C65711B" w14:textId="77777777" w:rsidR="002D58E4" w:rsidRDefault="00F721D4">
            <w:pPr>
              <w:spacing w:after="0"/>
              <w:rPr>
                <w:sz w:val="20"/>
                <w:szCs w:val="20"/>
              </w:rPr>
            </w:pPr>
            <w:r>
              <w:rPr>
                <w:sz w:val="20"/>
                <w:szCs w:val="20"/>
              </w:rPr>
              <w:t xml:space="preserve">CRITICAL </w:t>
            </w:r>
          </w:p>
        </w:tc>
      </w:tr>
      <w:tr w:rsidR="002D58E4" w14:paraId="2CE8ED46" w14:textId="77777777" w:rsidTr="002305C5">
        <w:tc>
          <w:tcPr>
            <w:tcW w:w="15026"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5CD33018" w14:textId="77777777" w:rsidR="002D58E4" w:rsidRDefault="00F721D4">
            <w:pPr>
              <w:spacing w:after="0"/>
              <w:rPr>
                <w:b/>
                <w:sz w:val="20"/>
                <w:szCs w:val="20"/>
              </w:rPr>
            </w:pPr>
            <w:r>
              <w:rPr>
                <w:b/>
                <w:sz w:val="20"/>
                <w:szCs w:val="20"/>
              </w:rPr>
              <w:t>Total Adverse Events</w:t>
            </w:r>
          </w:p>
        </w:tc>
      </w:tr>
      <w:tr w:rsidR="002D58E4" w14:paraId="77F80D2F" w14:textId="77777777" w:rsidTr="002305C5">
        <w:tc>
          <w:tcPr>
            <w:tcW w:w="725" w:type="dxa"/>
            <w:tcBorders>
              <w:top w:val="single" w:sz="6" w:space="0" w:color="000000"/>
              <w:left w:val="single" w:sz="6" w:space="0" w:color="000000"/>
              <w:bottom w:val="single" w:sz="6" w:space="0" w:color="000000"/>
              <w:right w:val="single" w:sz="6" w:space="0" w:color="000000"/>
            </w:tcBorders>
          </w:tcPr>
          <w:p w14:paraId="7EE36720" w14:textId="77777777" w:rsidR="002D58E4" w:rsidRDefault="00F721D4">
            <w:pPr>
              <w:spacing w:after="0"/>
              <w:rPr>
                <w:sz w:val="20"/>
                <w:szCs w:val="20"/>
              </w:rPr>
            </w:pPr>
            <w:r>
              <w:rPr>
                <w:sz w:val="20"/>
                <w:szCs w:val="20"/>
              </w:rPr>
              <w:t xml:space="preserve">1 </w:t>
            </w:r>
          </w:p>
        </w:tc>
        <w:tc>
          <w:tcPr>
            <w:tcW w:w="835" w:type="dxa"/>
            <w:tcBorders>
              <w:top w:val="single" w:sz="6" w:space="0" w:color="000000"/>
              <w:left w:val="single" w:sz="6" w:space="0" w:color="000000"/>
              <w:bottom w:val="single" w:sz="6" w:space="0" w:color="000000"/>
              <w:right w:val="single" w:sz="6" w:space="0" w:color="000000"/>
            </w:tcBorders>
          </w:tcPr>
          <w:p w14:paraId="74F82883"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992" w:type="dxa"/>
            <w:tcBorders>
              <w:top w:val="single" w:sz="6" w:space="0" w:color="000000"/>
              <w:left w:val="single" w:sz="6" w:space="0" w:color="000000"/>
              <w:bottom w:val="single" w:sz="6" w:space="0" w:color="000000"/>
              <w:right w:val="single" w:sz="6" w:space="0" w:color="000000"/>
            </w:tcBorders>
          </w:tcPr>
          <w:p w14:paraId="6F372D63"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50" w:type="dxa"/>
            <w:tcBorders>
              <w:top w:val="single" w:sz="6" w:space="0" w:color="000000"/>
              <w:left w:val="single" w:sz="6" w:space="0" w:color="000000"/>
              <w:bottom w:val="single" w:sz="6" w:space="0" w:color="000000"/>
              <w:right w:val="single" w:sz="6" w:space="0" w:color="000000"/>
            </w:tcBorders>
          </w:tcPr>
          <w:p w14:paraId="32D51C49" w14:textId="77777777" w:rsidR="002D58E4" w:rsidRDefault="00F721D4">
            <w:pPr>
              <w:spacing w:after="0"/>
              <w:rPr>
                <w:sz w:val="20"/>
                <w:szCs w:val="20"/>
              </w:rPr>
            </w:pPr>
            <w:r>
              <w:rPr>
                <w:sz w:val="20"/>
                <w:szCs w:val="20"/>
              </w:rPr>
              <w:t>not serious</w:t>
            </w:r>
          </w:p>
        </w:tc>
        <w:tc>
          <w:tcPr>
            <w:tcW w:w="1024" w:type="dxa"/>
            <w:tcBorders>
              <w:top w:val="single" w:sz="6" w:space="0" w:color="000000"/>
              <w:left w:val="single" w:sz="6" w:space="0" w:color="000000"/>
              <w:bottom w:val="single" w:sz="6" w:space="0" w:color="000000"/>
              <w:right w:val="single" w:sz="6" w:space="0" w:color="000000"/>
            </w:tcBorders>
          </w:tcPr>
          <w:p w14:paraId="34AAF6F6" w14:textId="77777777" w:rsidR="002D58E4" w:rsidRDefault="00F721D4">
            <w:pPr>
              <w:spacing w:after="0"/>
              <w:rPr>
                <w:sz w:val="20"/>
                <w:szCs w:val="20"/>
              </w:rPr>
            </w:pPr>
            <w:r>
              <w:rPr>
                <w:sz w:val="20"/>
                <w:szCs w:val="20"/>
              </w:rPr>
              <w:t xml:space="preserve">not serious </w:t>
            </w:r>
          </w:p>
        </w:tc>
        <w:tc>
          <w:tcPr>
            <w:tcW w:w="1041" w:type="dxa"/>
            <w:tcBorders>
              <w:top w:val="single" w:sz="6" w:space="0" w:color="000000"/>
              <w:left w:val="single" w:sz="6" w:space="0" w:color="000000"/>
              <w:bottom w:val="single" w:sz="6" w:space="0" w:color="000000"/>
              <w:right w:val="single" w:sz="6" w:space="0" w:color="000000"/>
            </w:tcBorders>
          </w:tcPr>
          <w:p w14:paraId="1DD0F810" w14:textId="77777777" w:rsidR="002D58E4" w:rsidRDefault="00F721D4">
            <w:pPr>
              <w:spacing w:after="0"/>
              <w:rPr>
                <w:sz w:val="20"/>
                <w:szCs w:val="20"/>
              </w:rPr>
            </w:pPr>
            <w:r>
              <w:rPr>
                <w:sz w:val="20"/>
                <w:szCs w:val="20"/>
              </w:rPr>
              <w:t xml:space="preserve">serious </w:t>
            </w:r>
            <w:r>
              <w:rPr>
                <w:sz w:val="20"/>
                <w:szCs w:val="20"/>
                <w:vertAlign w:val="superscript"/>
              </w:rPr>
              <w:t>b</w:t>
            </w:r>
            <w:r>
              <w:rPr>
                <w:sz w:val="20"/>
                <w:szCs w:val="20"/>
              </w:rPr>
              <w:t xml:space="preserve"> </w:t>
            </w:r>
          </w:p>
        </w:tc>
        <w:tc>
          <w:tcPr>
            <w:tcW w:w="962" w:type="dxa"/>
            <w:tcBorders>
              <w:top w:val="single" w:sz="6" w:space="0" w:color="000000"/>
              <w:left w:val="single" w:sz="6" w:space="0" w:color="000000"/>
              <w:bottom w:val="single" w:sz="6" w:space="0" w:color="000000"/>
              <w:right w:val="single" w:sz="6" w:space="0" w:color="000000"/>
            </w:tcBorders>
          </w:tcPr>
          <w:p w14:paraId="74C9363B" w14:textId="77777777" w:rsidR="002D58E4" w:rsidRDefault="00F721D4">
            <w:pPr>
              <w:spacing w:after="0"/>
              <w:rPr>
                <w:sz w:val="20"/>
                <w:szCs w:val="20"/>
              </w:rPr>
            </w:pPr>
            <w:r>
              <w:rPr>
                <w:sz w:val="20"/>
                <w:szCs w:val="20"/>
              </w:rPr>
              <w:t xml:space="preserve">none </w:t>
            </w:r>
          </w:p>
        </w:tc>
        <w:tc>
          <w:tcPr>
            <w:tcW w:w="1226" w:type="dxa"/>
            <w:gridSpan w:val="2"/>
            <w:tcBorders>
              <w:top w:val="single" w:sz="6" w:space="0" w:color="000000"/>
              <w:left w:val="single" w:sz="6" w:space="0" w:color="000000"/>
              <w:bottom w:val="single" w:sz="6" w:space="0" w:color="000000"/>
              <w:right w:val="single" w:sz="6" w:space="0" w:color="000000"/>
            </w:tcBorders>
          </w:tcPr>
          <w:p w14:paraId="66326D04" w14:textId="77777777" w:rsidR="002D58E4" w:rsidRDefault="00F721D4">
            <w:pPr>
              <w:spacing w:after="0"/>
              <w:jc w:val="center"/>
              <w:rPr>
                <w:sz w:val="20"/>
                <w:szCs w:val="20"/>
              </w:rPr>
            </w:pPr>
            <w:r>
              <w:rPr>
                <w:sz w:val="20"/>
                <w:szCs w:val="20"/>
              </w:rPr>
              <w:t xml:space="preserve">42/80 </w:t>
            </w:r>
          </w:p>
          <w:p w14:paraId="378D2EC3" w14:textId="77777777" w:rsidR="002D58E4" w:rsidRDefault="00F721D4">
            <w:pPr>
              <w:spacing w:after="0"/>
              <w:jc w:val="center"/>
              <w:rPr>
                <w:sz w:val="20"/>
                <w:szCs w:val="20"/>
              </w:rPr>
            </w:pPr>
            <w:r>
              <w:rPr>
                <w:sz w:val="20"/>
                <w:szCs w:val="20"/>
              </w:rPr>
              <w:t xml:space="preserve">(52.5%) </w:t>
            </w:r>
          </w:p>
        </w:tc>
        <w:tc>
          <w:tcPr>
            <w:tcW w:w="1276" w:type="dxa"/>
            <w:tcBorders>
              <w:top w:val="single" w:sz="6" w:space="0" w:color="000000"/>
              <w:left w:val="single" w:sz="6" w:space="0" w:color="000000"/>
              <w:bottom w:val="single" w:sz="6" w:space="0" w:color="000000"/>
              <w:right w:val="single" w:sz="6" w:space="0" w:color="000000"/>
            </w:tcBorders>
          </w:tcPr>
          <w:p w14:paraId="3E47AF6E" w14:textId="77777777" w:rsidR="002D58E4" w:rsidRDefault="00F721D4">
            <w:pPr>
              <w:spacing w:after="0"/>
              <w:jc w:val="center"/>
              <w:rPr>
                <w:sz w:val="20"/>
                <w:szCs w:val="20"/>
              </w:rPr>
            </w:pPr>
            <w:r>
              <w:rPr>
                <w:sz w:val="20"/>
                <w:szCs w:val="20"/>
              </w:rPr>
              <w:t xml:space="preserve">37/63 </w:t>
            </w:r>
          </w:p>
          <w:p w14:paraId="5F21D877" w14:textId="77777777" w:rsidR="002D58E4" w:rsidRDefault="00F721D4">
            <w:pPr>
              <w:spacing w:after="0"/>
              <w:jc w:val="center"/>
              <w:rPr>
                <w:sz w:val="20"/>
                <w:szCs w:val="20"/>
              </w:rPr>
            </w:pPr>
            <w:r>
              <w:rPr>
                <w:sz w:val="20"/>
                <w:szCs w:val="20"/>
              </w:rPr>
              <w:t xml:space="preserve">(58.7%) </w:t>
            </w:r>
          </w:p>
        </w:tc>
        <w:tc>
          <w:tcPr>
            <w:tcW w:w="1530" w:type="dxa"/>
            <w:tcBorders>
              <w:top w:val="single" w:sz="6" w:space="0" w:color="000000"/>
              <w:left w:val="single" w:sz="6" w:space="0" w:color="000000"/>
              <w:bottom w:val="single" w:sz="6" w:space="0" w:color="000000"/>
              <w:right w:val="single" w:sz="6" w:space="0" w:color="000000"/>
            </w:tcBorders>
          </w:tcPr>
          <w:p w14:paraId="307A2E57" w14:textId="77777777" w:rsidR="002D58E4" w:rsidRDefault="00F721D4">
            <w:pPr>
              <w:spacing w:after="0"/>
              <w:jc w:val="center"/>
              <w:rPr>
                <w:sz w:val="20"/>
                <w:szCs w:val="20"/>
              </w:rPr>
            </w:pPr>
            <w:r>
              <w:rPr>
                <w:sz w:val="20"/>
                <w:szCs w:val="20"/>
              </w:rPr>
              <w:t>RR 0.89</w:t>
            </w:r>
            <w:r>
              <w:rPr>
                <w:sz w:val="20"/>
                <w:szCs w:val="20"/>
              </w:rPr>
              <w:br/>
              <w:t xml:space="preserve">(0.67 to 1.20) </w:t>
            </w:r>
          </w:p>
        </w:tc>
        <w:tc>
          <w:tcPr>
            <w:tcW w:w="2155" w:type="dxa"/>
            <w:tcBorders>
              <w:top w:val="single" w:sz="6" w:space="0" w:color="000000"/>
              <w:left w:val="single" w:sz="6" w:space="0" w:color="000000"/>
              <w:bottom w:val="single" w:sz="6" w:space="0" w:color="000000"/>
              <w:right w:val="single" w:sz="6" w:space="0" w:color="000000"/>
            </w:tcBorders>
          </w:tcPr>
          <w:p w14:paraId="5A5082AA" w14:textId="77777777" w:rsidR="002D58E4" w:rsidRDefault="00F721D4">
            <w:pPr>
              <w:spacing w:after="0"/>
              <w:jc w:val="center"/>
              <w:rPr>
                <w:sz w:val="20"/>
                <w:szCs w:val="20"/>
              </w:rPr>
            </w:pPr>
            <w:r>
              <w:rPr>
                <w:sz w:val="20"/>
                <w:szCs w:val="20"/>
              </w:rPr>
              <w:t>65 fewer per 1,000</w:t>
            </w:r>
            <w:r>
              <w:rPr>
                <w:sz w:val="20"/>
                <w:szCs w:val="20"/>
              </w:rPr>
              <w:br/>
              <w:t xml:space="preserve">(from 117 more to 194 fewer) </w:t>
            </w:r>
          </w:p>
        </w:tc>
        <w:tc>
          <w:tcPr>
            <w:tcW w:w="1120" w:type="dxa"/>
            <w:tcBorders>
              <w:top w:val="single" w:sz="6" w:space="0" w:color="000000"/>
              <w:left w:val="single" w:sz="6" w:space="0" w:color="000000"/>
              <w:bottom w:val="single" w:sz="6" w:space="0" w:color="000000"/>
              <w:right w:val="single" w:sz="6" w:space="0" w:color="000000"/>
            </w:tcBorders>
          </w:tcPr>
          <w:p w14:paraId="5DB1A366"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290" w:type="dxa"/>
            <w:tcBorders>
              <w:top w:val="single" w:sz="6" w:space="0" w:color="000000"/>
              <w:left w:val="single" w:sz="6" w:space="0" w:color="000000"/>
              <w:bottom w:val="single" w:sz="6" w:space="0" w:color="000000"/>
              <w:right w:val="single" w:sz="6" w:space="0" w:color="000000"/>
            </w:tcBorders>
          </w:tcPr>
          <w:p w14:paraId="02D672A0" w14:textId="77777777" w:rsidR="002D58E4" w:rsidRDefault="00F721D4">
            <w:pPr>
              <w:spacing w:after="0"/>
              <w:rPr>
                <w:sz w:val="20"/>
                <w:szCs w:val="20"/>
              </w:rPr>
            </w:pPr>
            <w:r>
              <w:rPr>
                <w:sz w:val="20"/>
                <w:szCs w:val="20"/>
              </w:rPr>
              <w:t xml:space="preserve">CRITICAL </w:t>
            </w:r>
          </w:p>
        </w:tc>
      </w:tr>
      <w:tr w:rsidR="002D58E4" w14:paraId="6EB65EFC" w14:textId="77777777" w:rsidTr="002305C5">
        <w:tc>
          <w:tcPr>
            <w:tcW w:w="15026"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021EB29A" w14:textId="77777777" w:rsidR="002D58E4" w:rsidRDefault="00F721D4">
            <w:pPr>
              <w:spacing w:after="0"/>
              <w:rPr>
                <w:b/>
                <w:sz w:val="20"/>
                <w:szCs w:val="20"/>
              </w:rPr>
            </w:pPr>
            <w:r>
              <w:rPr>
                <w:b/>
                <w:sz w:val="20"/>
                <w:szCs w:val="20"/>
              </w:rPr>
              <w:t>Withdrawal due to Adverse Event</w:t>
            </w:r>
          </w:p>
        </w:tc>
      </w:tr>
      <w:tr w:rsidR="002D58E4" w14:paraId="0C564A81" w14:textId="77777777" w:rsidTr="002305C5">
        <w:tc>
          <w:tcPr>
            <w:tcW w:w="725" w:type="dxa"/>
            <w:tcBorders>
              <w:top w:val="single" w:sz="6" w:space="0" w:color="000000"/>
              <w:left w:val="single" w:sz="6" w:space="0" w:color="000000"/>
              <w:bottom w:val="single" w:sz="6" w:space="0" w:color="000000"/>
              <w:right w:val="single" w:sz="6" w:space="0" w:color="000000"/>
            </w:tcBorders>
          </w:tcPr>
          <w:p w14:paraId="6566EDB9" w14:textId="77777777" w:rsidR="002D58E4" w:rsidRDefault="00F721D4">
            <w:pPr>
              <w:spacing w:after="0"/>
              <w:rPr>
                <w:sz w:val="20"/>
                <w:szCs w:val="20"/>
              </w:rPr>
            </w:pPr>
            <w:r>
              <w:rPr>
                <w:sz w:val="20"/>
                <w:szCs w:val="20"/>
              </w:rPr>
              <w:t xml:space="preserve">1 </w:t>
            </w:r>
          </w:p>
        </w:tc>
        <w:tc>
          <w:tcPr>
            <w:tcW w:w="835" w:type="dxa"/>
            <w:tcBorders>
              <w:top w:val="single" w:sz="6" w:space="0" w:color="000000"/>
              <w:left w:val="single" w:sz="6" w:space="0" w:color="000000"/>
              <w:bottom w:val="single" w:sz="6" w:space="0" w:color="000000"/>
              <w:right w:val="single" w:sz="6" w:space="0" w:color="000000"/>
            </w:tcBorders>
          </w:tcPr>
          <w:p w14:paraId="38BAACA5"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992" w:type="dxa"/>
            <w:tcBorders>
              <w:top w:val="single" w:sz="6" w:space="0" w:color="000000"/>
              <w:left w:val="single" w:sz="6" w:space="0" w:color="000000"/>
              <w:bottom w:val="single" w:sz="6" w:space="0" w:color="000000"/>
              <w:right w:val="single" w:sz="6" w:space="0" w:color="000000"/>
            </w:tcBorders>
          </w:tcPr>
          <w:p w14:paraId="6C7E18FF"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50" w:type="dxa"/>
            <w:tcBorders>
              <w:top w:val="single" w:sz="6" w:space="0" w:color="000000"/>
              <w:left w:val="single" w:sz="6" w:space="0" w:color="000000"/>
              <w:bottom w:val="single" w:sz="6" w:space="0" w:color="000000"/>
              <w:right w:val="single" w:sz="6" w:space="0" w:color="000000"/>
            </w:tcBorders>
          </w:tcPr>
          <w:p w14:paraId="3C91CD6C" w14:textId="77777777" w:rsidR="002D58E4" w:rsidRDefault="00F721D4">
            <w:pPr>
              <w:spacing w:after="0"/>
              <w:rPr>
                <w:sz w:val="20"/>
                <w:szCs w:val="20"/>
              </w:rPr>
            </w:pPr>
            <w:r>
              <w:rPr>
                <w:sz w:val="20"/>
                <w:szCs w:val="20"/>
              </w:rPr>
              <w:t>not serious</w:t>
            </w:r>
          </w:p>
        </w:tc>
        <w:tc>
          <w:tcPr>
            <w:tcW w:w="1024" w:type="dxa"/>
            <w:tcBorders>
              <w:top w:val="single" w:sz="6" w:space="0" w:color="000000"/>
              <w:left w:val="single" w:sz="6" w:space="0" w:color="000000"/>
              <w:bottom w:val="single" w:sz="6" w:space="0" w:color="000000"/>
              <w:right w:val="single" w:sz="6" w:space="0" w:color="000000"/>
            </w:tcBorders>
          </w:tcPr>
          <w:p w14:paraId="40827988" w14:textId="77777777" w:rsidR="002D58E4" w:rsidRDefault="00F721D4">
            <w:pPr>
              <w:spacing w:after="0"/>
              <w:rPr>
                <w:sz w:val="20"/>
                <w:szCs w:val="20"/>
              </w:rPr>
            </w:pPr>
            <w:r>
              <w:rPr>
                <w:sz w:val="20"/>
                <w:szCs w:val="20"/>
              </w:rPr>
              <w:t xml:space="preserve">not serious </w:t>
            </w:r>
          </w:p>
        </w:tc>
        <w:tc>
          <w:tcPr>
            <w:tcW w:w="1041" w:type="dxa"/>
            <w:tcBorders>
              <w:top w:val="single" w:sz="6" w:space="0" w:color="000000"/>
              <w:left w:val="single" w:sz="6" w:space="0" w:color="000000"/>
              <w:bottom w:val="single" w:sz="6" w:space="0" w:color="000000"/>
              <w:right w:val="single" w:sz="6" w:space="0" w:color="000000"/>
            </w:tcBorders>
          </w:tcPr>
          <w:p w14:paraId="687D3351" w14:textId="77777777" w:rsidR="002D58E4" w:rsidRDefault="00F721D4">
            <w:pPr>
              <w:spacing w:after="0"/>
              <w:rPr>
                <w:sz w:val="20"/>
                <w:szCs w:val="20"/>
              </w:rPr>
            </w:pPr>
            <w:r>
              <w:rPr>
                <w:sz w:val="20"/>
                <w:szCs w:val="20"/>
              </w:rPr>
              <w:t xml:space="preserve">serious </w:t>
            </w:r>
            <w:r>
              <w:rPr>
                <w:sz w:val="20"/>
                <w:szCs w:val="20"/>
                <w:vertAlign w:val="superscript"/>
              </w:rPr>
              <w:t>c</w:t>
            </w:r>
            <w:r>
              <w:rPr>
                <w:sz w:val="20"/>
                <w:szCs w:val="20"/>
              </w:rPr>
              <w:t xml:space="preserve"> </w:t>
            </w:r>
          </w:p>
        </w:tc>
        <w:tc>
          <w:tcPr>
            <w:tcW w:w="962" w:type="dxa"/>
            <w:tcBorders>
              <w:top w:val="single" w:sz="6" w:space="0" w:color="000000"/>
              <w:left w:val="single" w:sz="6" w:space="0" w:color="000000"/>
              <w:bottom w:val="single" w:sz="6" w:space="0" w:color="000000"/>
              <w:right w:val="single" w:sz="6" w:space="0" w:color="000000"/>
            </w:tcBorders>
          </w:tcPr>
          <w:p w14:paraId="26268D42" w14:textId="77777777" w:rsidR="002D58E4" w:rsidRDefault="00F721D4">
            <w:pPr>
              <w:spacing w:after="0"/>
              <w:rPr>
                <w:sz w:val="20"/>
                <w:szCs w:val="20"/>
              </w:rPr>
            </w:pPr>
            <w:r>
              <w:rPr>
                <w:sz w:val="20"/>
                <w:szCs w:val="20"/>
              </w:rPr>
              <w:t xml:space="preserve">none </w:t>
            </w:r>
          </w:p>
        </w:tc>
        <w:tc>
          <w:tcPr>
            <w:tcW w:w="1226" w:type="dxa"/>
            <w:gridSpan w:val="2"/>
            <w:tcBorders>
              <w:top w:val="single" w:sz="6" w:space="0" w:color="000000"/>
              <w:left w:val="single" w:sz="6" w:space="0" w:color="000000"/>
              <w:bottom w:val="single" w:sz="6" w:space="0" w:color="000000"/>
              <w:right w:val="single" w:sz="6" w:space="0" w:color="000000"/>
            </w:tcBorders>
          </w:tcPr>
          <w:p w14:paraId="3005E6DB" w14:textId="77777777" w:rsidR="002D58E4" w:rsidRDefault="00F721D4">
            <w:pPr>
              <w:spacing w:after="0"/>
              <w:jc w:val="center"/>
              <w:rPr>
                <w:sz w:val="20"/>
                <w:szCs w:val="20"/>
              </w:rPr>
            </w:pPr>
            <w:r>
              <w:rPr>
                <w:sz w:val="20"/>
                <w:szCs w:val="20"/>
              </w:rPr>
              <w:t xml:space="preserve">3/80 </w:t>
            </w:r>
          </w:p>
          <w:p w14:paraId="6D763D24" w14:textId="77777777" w:rsidR="002D58E4" w:rsidRDefault="00F721D4">
            <w:pPr>
              <w:spacing w:after="0"/>
              <w:jc w:val="center"/>
              <w:rPr>
                <w:sz w:val="20"/>
                <w:szCs w:val="20"/>
              </w:rPr>
            </w:pPr>
            <w:r>
              <w:rPr>
                <w:sz w:val="20"/>
                <w:szCs w:val="20"/>
              </w:rPr>
              <w:t xml:space="preserve">(3.8%) </w:t>
            </w:r>
          </w:p>
        </w:tc>
        <w:tc>
          <w:tcPr>
            <w:tcW w:w="1276" w:type="dxa"/>
            <w:tcBorders>
              <w:top w:val="single" w:sz="6" w:space="0" w:color="000000"/>
              <w:left w:val="single" w:sz="6" w:space="0" w:color="000000"/>
              <w:bottom w:val="single" w:sz="6" w:space="0" w:color="000000"/>
              <w:right w:val="single" w:sz="6" w:space="0" w:color="000000"/>
            </w:tcBorders>
          </w:tcPr>
          <w:p w14:paraId="6C148942" w14:textId="77777777" w:rsidR="002D58E4" w:rsidRDefault="00F721D4">
            <w:pPr>
              <w:spacing w:after="0"/>
              <w:jc w:val="center"/>
              <w:rPr>
                <w:sz w:val="20"/>
                <w:szCs w:val="20"/>
              </w:rPr>
            </w:pPr>
            <w:r>
              <w:rPr>
                <w:sz w:val="20"/>
                <w:szCs w:val="20"/>
              </w:rPr>
              <w:t xml:space="preserve">10/63 </w:t>
            </w:r>
          </w:p>
          <w:p w14:paraId="6AE29A7E" w14:textId="77777777" w:rsidR="002D58E4" w:rsidRDefault="00F721D4">
            <w:pPr>
              <w:spacing w:after="0"/>
              <w:jc w:val="center"/>
              <w:rPr>
                <w:sz w:val="20"/>
                <w:szCs w:val="20"/>
              </w:rPr>
            </w:pPr>
            <w:r>
              <w:rPr>
                <w:sz w:val="20"/>
                <w:szCs w:val="20"/>
              </w:rPr>
              <w:t xml:space="preserve">(15.9%) </w:t>
            </w:r>
          </w:p>
        </w:tc>
        <w:tc>
          <w:tcPr>
            <w:tcW w:w="1530" w:type="dxa"/>
            <w:tcBorders>
              <w:top w:val="single" w:sz="6" w:space="0" w:color="000000"/>
              <w:left w:val="single" w:sz="6" w:space="0" w:color="000000"/>
              <w:bottom w:val="single" w:sz="6" w:space="0" w:color="000000"/>
              <w:right w:val="single" w:sz="6" w:space="0" w:color="000000"/>
            </w:tcBorders>
          </w:tcPr>
          <w:p w14:paraId="124DB4CF" w14:textId="77777777" w:rsidR="002D58E4" w:rsidRDefault="00F721D4">
            <w:pPr>
              <w:spacing w:after="0"/>
              <w:jc w:val="center"/>
              <w:rPr>
                <w:b/>
                <w:sz w:val="20"/>
                <w:szCs w:val="20"/>
              </w:rPr>
            </w:pPr>
            <w:r>
              <w:rPr>
                <w:b/>
                <w:sz w:val="20"/>
                <w:szCs w:val="20"/>
              </w:rPr>
              <w:t>RR 0.24</w:t>
            </w:r>
            <w:r>
              <w:rPr>
                <w:b/>
                <w:sz w:val="20"/>
                <w:szCs w:val="20"/>
              </w:rPr>
              <w:br/>
              <w:t xml:space="preserve">(0.07 to 0.82) </w:t>
            </w:r>
          </w:p>
        </w:tc>
        <w:tc>
          <w:tcPr>
            <w:tcW w:w="2155" w:type="dxa"/>
            <w:tcBorders>
              <w:top w:val="single" w:sz="6" w:space="0" w:color="000000"/>
              <w:left w:val="single" w:sz="6" w:space="0" w:color="000000"/>
              <w:bottom w:val="single" w:sz="6" w:space="0" w:color="000000"/>
              <w:right w:val="single" w:sz="6" w:space="0" w:color="000000"/>
            </w:tcBorders>
          </w:tcPr>
          <w:p w14:paraId="4A1E255E" w14:textId="77777777" w:rsidR="002D58E4" w:rsidRDefault="00F721D4">
            <w:pPr>
              <w:spacing w:after="0"/>
              <w:jc w:val="center"/>
              <w:rPr>
                <w:b/>
                <w:sz w:val="20"/>
                <w:szCs w:val="20"/>
              </w:rPr>
            </w:pPr>
            <w:r>
              <w:rPr>
                <w:b/>
                <w:sz w:val="20"/>
                <w:szCs w:val="20"/>
              </w:rPr>
              <w:t>121 fewer per 1,000</w:t>
            </w:r>
            <w:r>
              <w:rPr>
                <w:b/>
                <w:sz w:val="20"/>
                <w:szCs w:val="20"/>
              </w:rPr>
              <w:br/>
              <w:t xml:space="preserve">(from 29 fewer to 148 fewer) </w:t>
            </w:r>
          </w:p>
        </w:tc>
        <w:tc>
          <w:tcPr>
            <w:tcW w:w="1120" w:type="dxa"/>
            <w:tcBorders>
              <w:top w:val="single" w:sz="6" w:space="0" w:color="000000"/>
              <w:left w:val="single" w:sz="6" w:space="0" w:color="000000"/>
              <w:bottom w:val="single" w:sz="6" w:space="0" w:color="000000"/>
              <w:right w:val="single" w:sz="6" w:space="0" w:color="000000"/>
            </w:tcBorders>
          </w:tcPr>
          <w:p w14:paraId="018C5B86"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290" w:type="dxa"/>
            <w:tcBorders>
              <w:top w:val="single" w:sz="6" w:space="0" w:color="000000"/>
              <w:left w:val="single" w:sz="6" w:space="0" w:color="000000"/>
              <w:bottom w:val="single" w:sz="6" w:space="0" w:color="000000"/>
              <w:right w:val="single" w:sz="6" w:space="0" w:color="000000"/>
            </w:tcBorders>
          </w:tcPr>
          <w:p w14:paraId="009FC507" w14:textId="77777777" w:rsidR="002D58E4" w:rsidRDefault="00F721D4">
            <w:pPr>
              <w:spacing w:after="0"/>
              <w:rPr>
                <w:sz w:val="20"/>
                <w:szCs w:val="20"/>
              </w:rPr>
            </w:pPr>
            <w:r>
              <w:rPr>
                <w:sz w:val="20"/>
                <w:szCs w:val="20"/>
              </w:rPr>
              <w:t xml:space="preserve">CRITICAL </w:t>
            </w:r>
          </w:p>
        </w:tc>
      </w:tr>
      <w:tr w:rsidR="002D58E4" w14:paraId="52F10377" w14:textId="77777777" w:rsidTr="002305C5">
        <w:tc>
          <w:tcPr>
            <w:tcW w:w="15026"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6574F53D" w14:textId="77777777" w:rsidR="002D58E4" w:rsidRDefault="00F721D4">
            <w:pPr>
              <w:spacing w:after="0"/>
              <w:rPr>
                <w:b/>
                <w:sz w:val="20"/>
                <w:szCs w:val="20"/>
              </w:rPr>
            </w:pPr>
            <w:r>
              <w:rPr>
                <w:b/>
                <w:sz w:val="20"/>
                <w:szCs w:val="20"/>
              </w:rPr>
              <w:t>Serious Adverse Events</w:t>
            </w:r>
          </w:p>
        </w:tc>
      </w:tr>
      <w:tr w:rsidR="002D58E4" w14:paraId="07FB0460" w14:textId="77777777" w:rsidTr="002305C5">
        <w:tc>
          <w:tcPr>
            <w:tcW w:w="725" w:type="dxa"/>
            <w:tcBorders>
              <w:top w:val="single" w:sz="6" w:space="0" w:color="000000"/>
              <w:left w:val="single" w:sz="6" w:space="0" w:color="000000"/>
              <w:bottom w:val="single" w:sz="6" w:space="0" w:color="000000"/>
              <w:right w:val="single" w:sz="6" w:space="0" w:color="000000"/>
            </w:tcBorders>
          </w:tcPr>
          <w:p w14:paraId="031ED8F5" w14:textId="77777777" w:rsidR="002D58E4" w:rsidRDefault="00F721D4">
            <w:pPr>
              <w:spacing w:after="0"/>
              <w:rPr>
                <w:sz w:val="20"/>
                <w:szCs w:val="20"/>
              </w:rPr>
            </w:pPr>
            <w:r>
              <w:rPr>
                <w:sz w:val="20"/>
                <w:szCs w:val="20"/>
              </w:rPr>
              <w:t xml:space="preserve">1 </w:t>
            </w:r>
          </w:p>
        </w:tc>
        <w:tc>
          <w:tcPr>
            <w:tcW w:w="835" w:type="dxa"/>
            <w:tcBorders>
              <w:top w:val="single" w:sz="6" w:space="0" w:color="000000"/>
              <w:left w:val="single" w:sz="6" w:space="0" w:color="000000"/>
              <w:bottom w:val="single" w:sz="6" w:space="0" w:color="000000"/>
              <w:right w:val="single" w:sz="6" w:space="0" w:color="000000"/>
            </w:tcBorders>
          </w:tcPr>
          <w:p w14:paraId="5175D19F"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992" w:type="dxa"/>
            <w:tcBorders>
              <w:top w:val="single" w:sz="6" w:space="0" w:color="000000"/>
              <w:left w:val="single" w:sz="6" w:space="0" w:color="000000"/>
              <w:bottom w:val="single" w:sz="6" w:space="0" w:color="000000"/>
              <w:right w:val="single" w:sz="6" w:space="0" w:color="000000"/>
            </w:tcBorders>
          </w:tcPr>
          <w:p w14:paraId="2FF79775"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50" w:type="dxa"/>
            <w:tcBorders>
              <w:top w:val="single" w:sz="6" w:space="0" w:color="000000"/>
              <w:left w:val="single" w:sz="6" w:space="0" w:color="000000"/>
              <w:bottom w:val="single" w:sz="6" w:space="0" w:color="000000"/>
              <w:right w:val="single" w:sz="6" w:space="0" w:color="000000"/>
            </w:tcBorders>
          </w:tcPr>
          <w:p w14:paraId="487A340D" w14:textId="77777777" w:rsidR="002D58E4" w:rsidRDefault="00F721D4">
            <w:pPr>
              <w:spacing w:after="0"/>
              <w:rPr>
                <w:sz w:val="20"/>
                <w:szCs w:val="20"/>
              </w:rPr>
            </w:pPr>
            <w:r>
              <w:rPr>
                <w:sz w:val="20"/>
                <w:szCs w:val="20"/>
              </w:rPr>
              <w:t>not serious</w:t>
            </w:r>
          </w:p>
        </w:tc>
        <w:tc>
          <w:tcPr>
            <w:tcW w:w="1024" w:type="dxa"/>
            <w:tcBorders>
              <w:top w:val="single" w:sz="6" w:space="0" w:color="000000"/>
              <w:left w:val="single" w:sz="6" w:space="0" w:color="000000"/>
              <w:bottom w:val="single" w:sz="6" w:space="0" w:color="000000"/>
              <w:right w:val="single" w:sz="6" w:space="0" w:color="000000"/>
            </w:tcBorders>
          </w:tcPr>
          <w:p w14:paraId="132BBAAE" w14:textId="77777777" w:rsidR="002D58E4" w:rsidRDefault="00F721D4">
            <w:pPr>
              <w:spacing w:after="0"/>
              <w:rPr>
                <w:sz w:val="20"/>
                <w:szCs w:val="20"/>
              </w:rPr>
            </w:pPr>
            <w:r>
              <w:rPr>
                <w:sz w:val="20"/>
                <w:szCs w:val="20"/>
              </w:rPr>
              <w:t xml:space="preserve">not serious </w:t>
            </w:r>
          </w:p>
        </w:tc>
        <w:tc>
          <w:tcPr>
            <w:tcW w:w="1041" w:type="dxa"/>
            <w:tcBorders>
              <w:top w:val="single" w:sz="6" w:space="0" w:color="000000"/>
              <w:left w:val="single" w:sz="6" w:space="0" w:color="000000"/>
              <w:bottom w:val="single" w:sz="6" w:space="0" w:color="000000"/>
              <w:right w:val="single" w:sz="6" w:space="0" w:color="000000"/>
            </w:tcBorders>
          </w:tcPr>
          <w:p w14:paraId="0FA56487"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62" w:type="dxa"/>
            <w:tcBorders>
              <w:top w:val="single" w:sz="6" w:space="0" w:color="000000"/>
              <w:left w:val="single" w:sz="6" w:space="0" w:color="000000"/>
              <w:bottom w:val="single" w:sz="6" w:space="0" w:color="000000"/>
              <w:right w:val="single" w:sz="6" w:space="0" w:color="000000"/>
            </w:tcBorders>
          </w:tcPr>
          <w:p w14:paraId="570E552D" w14:textId="77777777" w:rsidR="002D58E4" w:rsidRDefault="00F721D4">
            <w:pPr>
              <w:spacing w:after="0"/>
              <w:rPr>
                <w:sz w:val="20"/>
                <w:szCs w:val="20"/>
              </w:rPr>
            </w:pPr>
            <w:r>
              <w:rPr>
                <w:sz w:val="20"/>
                <w:szCs w:val="20"/>
              </w:rPr>
              <w:t xml:space="preserve">none </w:t>
            </w:r>
          </w:p>
        </w:tc>
        <w:tc>
          <w:tcPr>
            <w:tcW w:w="1226" w:type="dxa"/>
            <w:gridSpan w:val="2"/>
            <w:tcBorders>
              <w:top w:val="single" w:sz="6" w:space="0" w:color="000000"/>
              <w:left w:val="single" w:sz="6" w:space="0" w:color="000000"/>
              <w:bottom w:val="single" w:sz="6" w:space="0" w:color="000000"/>
              <w:right w:val="single" w:sz="6" w:space="0" w:color="000000"/>
            </w:tcBorders>
          </w:tcPr>
          <w:p w14:paraId="5BE679C9" w14:textId="77777777" w:rsidR="002D58E4" w:rsidRDefault="00F721D4">
            <w:pPr>
              <w:spacing w:after="0"/>
              <w:jc w:val="center"/>
              <w:rPr>
                <w:sz w:val="20"/>
                <w:szCs w:val="20"/>
              </w:rPr>
            </w:pPr>
            <w:r>
              <w:rPr>
                <w:sz w:val="20"/>
                <w:szCs w:val="20"/>
              </w:rPr>
              <w:t>1/80</w:t>
            </w:r>
          </w:p>
          <w:p w14:paraId="33DAF713" w14:textId="77777777" w:rsidR="002D58E4" w:rsidRDefault="00F721D4">
            <w:pPr>
              <w:spacing w:after="0"/>
              <w:jc w:val="center"/>
              <w:rPr>
                <w:sz w:val="20"/>
                <w:szCs w:val="20"/>
              </w:rPr>
            </w:pPr>
            <w:r>
              <w:rPr>
                <w:sz w:val="20"/>
                <w:szCs w:val="20"/>
              </w:rPr>
              <w:t xml:space="preserve"> (1.3%) </w:t>
            </w:r>
          </w:p>
        </w:tc>
        <w:tc>
          <w:tcPr>
            <w:tcW w:w="1276" w:type="dxa"/>
            <w:tcBorders>
              <w:top w:val="single" w:sz="6" w:space="0" w:color="000000"/>
              <w:left w:val="single" w:sz="6" w:space="0" w:color="000000"/>
              <w:bottom w:val="single" w:sz="6" w:space="0" w:color="000000"/>
              <w:right w:val="single" w:sz="6" w:space="0" w:color="000000"/>
            </w:tcBorders>
          </w:tcPr>
          <w:p w14:paraId="724572AF" w14:textId="77777777" w:rsidR="002D58E4" w:rsidRDefault="00F721D4">
            <w:pPr>
              <w:spacing w:after="0"/>
              <w:jc w:val="center"/>
              <w:rPr>
                <w:sz w:val="20"/>
                <w:szCs w:val="20"/>
              </w:rPr>
            </w:pPr>
            <w:r>
              <w:rPr>
                <w:sz w:val="20"/>
                <w:szCs w:val="20"/>
              </w:rPr>
              <w:t xml:space="preserve">0/63 </w:t>
            </w:r>
          </w:p>
          <w:p w14:paraId="6D4D9B28" w14:textId="77777777" w:rsidR="002D58E4" w:rsidRDefault="00F721D4">
            <w:pPr>
              <w:spacing w:after="0"/>
              <w:jc w:val="center"/>
              <w:rPr>
                <w:sz w:val="20"/>
                <w:szCs w:val="20"/>
              </w:rPr>
            </w:pPr>
            <w:r>
              <w:rPr>
                <w:sz w:val="20"/>
                <w:szCs w:val="20"/>
              </w:rPr>
              <w:t xml:space="preserve">(0.0%) </w:t>
            </w:r>
          </w:p>
        </w:tc>
        <w:tc>
          <w:tcPr>
            <w:tcW w:w="1530" w:type="dxa"/>
            <w:tcBorders>
              <w:top w:val="single" w:sz="6" w:space="0" w:color="000000"/>
              <w:left w:val="single" w:sz="6" w:space="0" w:color="000000"/>
              <w:bottom w:val="single" w:sz="6" w:space="0" w:color="000000"/>
              <w:right w:val="single" w:sz="6" w:space="0" w:color="000000"/>
            </w:tcBorders>
          </w:tcPr>
          <w:p w14:paraId="554649D6" w14:textId="77777777" w:rsidR="002D58E4" w:rsidRDefault="00F721D4">
            <w:pPr>
              <w:spacing w:after="0"/>
              <w:jc w:val="center"/>
              <w:rPr>
                <w:sz w:val="20"/>
                <w:szCs w:val="20"/>
              </w:rPr>
            </w:pPr>
            <w:r>
              <w:rPr>
                <w:sz w:val="20"/>
                <w:szCs w:val="20"/>
              </w:rPr>
              <w:t xml:space="preserve">NA </w:t>
            </w:r>
            <w:r>
              <w:rPr>
                <w:sz w:val="20"/>
                <w:szCs w:val="20"/>
                <w:vertAlign w:val="superscript"/>
              </w:rPr>
              <w:t>d</w:t>
            </w:r>
            <w:r>
              <w:rPr>
                <w:sz w:val="20"/>
                <w:szCs w:val="20"/>
              </w:rPr>
              <w:t xml:space="preserve"> </w:t>
            </w:r>
          </w:p>
          <w:p w14:paraId="048B7DC6" w14:textId="77777777" w:rsidR="002D58E4" w:rsidRDefault="002D58E4">
            <w:pPr>
              <w:spacing w:after="0"/>
              <w:jc w:val="center"/>
              <w:rPr>
                <w:sz w:val="20"/>
                <w:szCs w:val="20"/>
              </w:rPr>
            </w:pPr>
          </w:p>
        </w:tc>
        <w:tc>
          <w:tcPr>
            <w:tcW w:w="2155" w:type="dxa"/>
            <w:tcBorders>
              <w:top w:val="single" w:sz="6" w:space="0" w:color="000000"/>
              <w:left w:val="single" w:sz="6" w:space="0" w:color="000000"/>
              <w:bottom w:val="single" w:sz="6" w:space="0" w:color="000000"/>
              <w:right w:val="single" w:sz="6" w:space="0" w:color="000000"/>
            </w:tcBorders>
          </w:tcPr>
          <w:p w14:paraId="7664BF09" w14:textId="77777777" w:rsidR="002D58E4" w:rsidRDefault="00F721D4">
            <w:pPr>
              <w:spacing w:after="0"/>
              <w:jc w:val="center"/>
              <w:rPr>
                <w:sz w:val="20"/>
                <w:szCs w:val="20"/>
              </w:rPr>
            </w:pPr>
            <w:r>
              <w:rPr>
                <w:sz w:val="20"/>
                <w:szCs w:val="20"/>
              </w:rPr>
              <w:t>13 more per 1,000</w:t>
            </w:r>
          </w:p>
          <w:p w14:paraId="1201BF9F" w14:textId="77777777" w:rsidR="002D58E4" w:rsidRDefault="002D58E4">
            <w:pPr>
              <w:spacing w:after="0"/>
              <w:jc w:val="center"/>
              <w:rPr>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6820FA45"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90" w:type="dxa"/>
            <w:tcBorders>
              <w:top w:val="single" w:sz="6" w:space="0" w:color="000000"/>
              <w:left w:val="single" w:sz="6" w:space="0" w:color="000000"/>
              <w:bottom w:val="single" w:sz="6" w:space="0" w:color="000000"/>
              <w:right w:val="single" w:sz="6" w:space="0" w:color="000000"/>
            </w:tcBorders>
          </w:tcPr>
          <w:p w14:paraId="542E1C28" w14:textId="77777777" w:rsidR="002D58E4" w:rsidRDefault="00F721D4">
            <w:pPr>
              <w:spacing w:after="0"/>
              <w:rPr>
                <w:sz w:val="20"/>
                <w:szCs w:val="20"/>
              </w:rPr>
            </w:pPr>
            <w:r>
              <w:rPr>
                <w:sz w:val="20"/>
                <w:szCs w:val="20"/>
              </w:rPr>
              <w:t xml:space="preserve">CRITICAL </w:t>
            </w:r>
          </w:p>
        </w:tc>
      </w:tr>
      <w:tr w:rsidR="002D58E4" w14:paraId="0A061E78" w14:textId="77777777" w:rsidTr="002305C5">
        <w:tc>
          <w:tcPr>
            <w:tcW w:w="15026" w:type="dxa"/>
            <w:gridSpan w:val="14"/>
            <w:tcBorders>
              <w:top w:val="single" w:sz="6" w:space="0" w:color="000000"/>
              <w:left w:val="single" w:sz="6" w:space="0" w:color="000000"/>
              <w:bottom w:val="single" w:sz="6" w:space="0" w:color="000000"/>
              <w:right w:val="single" w:sz="6" w:space="0" w:color="000000"/>
            </w:tcBorders>
            <w:shd w:val="clear" w:color="auto" w:fill="EDEDED"/>
            <w:vAlign w:val="center"/>
          </w:tcPr>
          <w:p w14:paraId="43E3822F" w14:textId="77777777" w:rsidR="002D58E4" w:rsidRDefault="00F721D4">
            <w:pPr>
              <w:spacing w:after="0"/>
              <w:rPr>
                <w:b/>
                <w:sz w:val="20"/>
                <w:szCs w:val="20"/>
              </w:rPr>
            </w:pPr>
            <w:r>
              <w:rPr>
                <w:b/>
                <w:sz w:val="20"/>
                <w:szCs w:val="20"/>
              </w:rPr>
              <w:t>Dermatologic Adverse Events</w:t>
            </w:r>
          </w:p>
        </w:tc>
      </w:tr>
      <w:tr w:rsidR="002D58E4" w14:paraId="3C279454" w14:textId="77777777" w:rsidTr="002305C5">
        <w:tc>
          <w:tcPr>
            <w:tcW w:w="725" w:type="dxa"/>
            <w:tcBorders>
              <w:top w:val="single" w:sz="6" w:space="0" w:color="000000"/>
              <w:left w:val="single" w:sz="6" w:space="0" w:color="000000"/>
              <w:bottom w:val="single" w:sz="6" w:space="0" w:color="000000"/>
              <w:right w:val="single" w:sz="6" w:space="0" w:color="000000"/>
            </w:tcBorders>
          </w:tcPr>
          <w:p w14:paraId="27CB8975" w14:textId="77777777" w:rsidR="002D58E4" w:rsidRDefault="00F721D4">
            <w:pPr>
              <w:spacing w:after="0"/>
              <w:rPr>
                <w:sz w:val="20"/>
                <w:szCs w:val="20"/>
              </w:rPr>
            </w:pPr>
            <w:r>
              <w:rPr>
                <w:sz w:val="20"/>
                <w:szCs w:val="20"/>
              </w:rPr>
              <w:t xml:space="preserve">1 </w:t>
            </w:r>
          </w:p>
        </w:tc>
        <w:tc>
          <w:tcPr>
            <w:tcW w:w="835" w:type="dxa"/>
            <w:tcBorders>
              <w:top w:val="single" w:sz="6" w:space="0" w:color="000000"/>
              <w:left w:val="single" w:sz="6" w:space="0" w:color="000000"/>
              <w:bottom w:val="single" w:sz="6" w:space="0" w:color="000000"/>
              <w:right w:val="single" w:sz="6" w:space="0" w:color="000000"/>
            </w:tcBorders>
          </w:tcPr>
          <w:p w14:paraId="46651942" w14:textId="77777777" w:rsidR="002D58E4" w:rsidRDefault="00F721D4">
            <w:pPr>
              <w:spacing w:after="0"/>
              <w:rPr>
                <w:sz w:val="20"/>
                <w:szCs w:val="20"/>
              </w:rPr>
            </w:pPr>
            <w:r>
              <w:rPr>
                <w:sz w:val="20"/>
                <w:szCs w:val="20"/>
              </w:rPr>
              <w:t xml:space="preserve">RCT </w:t>
            </w:r>
            <w:r>
              <w:rPr>
                <w:sz w:val="20"/>
                <w:szCs w:val="20"/>
                <w:vertAlign w:val="superscript"/>
              </w:rPr>
              <w:t>1</w:t>
            </w:r>
          </w:p>
        </w:tc>
        <w:tc>
          <w:tcPr>
            <w:tcW w:w="992" w:type="dxa"/>
            <w:tcBorders>
              <w:top w:val="single" w:sz="6" w:space="0" w:color="000000"/>
              <w:left w:val="single" w:sz="6" w:space="0" w:color="000000"/>
              <w:bottom w:val="single" w:sz="6" w:space="0" w:color="000000"/>
              <w:right w:val="single" w:sz="6" w:space="0" w:color="000000"/>
            </w:tcBorders>
          </w:tcPr>
          <w:p w14:paraId="2F86C4F5" w14:textId="77777777" w:rsidR="002D58E4" w:rsidRDefault="00F721D4">
            <w:pPr>
              <w:spacing w:after="0"/>
              <w:rPr>
                <w:sz w:val="20"/>
                <w:szCs w:val="20"/>
              </w:rPr>
            </w:pPr>
            <w:r>
              <w:rPr>
                <w:sz w:val="20"/>
                <w:szCs w:val="20"/>
              </w:rPr>
              <w:t xml:space="preserve">serious </w:t>
            </w:r>
            <w:r>
              <w:rPr>
                <w:sz w:val="20"/>
                <w:szCs w:val="20"/>
                <w:vertAlign w:val="superscript"/>
              </w:rPr>
              <w:t>a</w:t>
            </w:r>
          </w:p>
        </w:tc>
        <w:tc>
          <w:tcPr>
            <w:tcW w:w="850" w:type="dxa"/>
            <w:tcBorders>
              <w:top w:val="single" w:sz="6" w:space="0" w:color="000000"/>
              <w:left w:val="single" w:sz="6" w:space="0" w:color="000000"/>
              <w:bottom w:val="single" w:sz="6" w:space="0" w:color="000000"/>
              <w:right w:val="single" w:sz="6" w:space="0" w:color="000000"/>
            </w:tcBorders>
          </w:tcPr>
          <w:p w14:paraId="603EA585" w14:textId="77777777" w:rsidR="002D58E4" w:rsidRDefault="00F721D4">
            <w:pPr>
              <w:spacing w:after="0"/>
              <w:rPr>
                <w:sz w:val="20"/>
                <w:szCs w:val="20"/>
              </w:rPr>
            </w:pPr>
            <w:r>
              <w:rPr>
                <w:sz w:val="20"/>
                <w:szCs w:val="20"/>
              </w:rPr>
              <w:t>not serious</w:t>
            </w:r>
          </w:p>
        </w:tc>
        <w:tc>
          <w:tcPr>
            <w:tcW w:w="1024" w:type="dxa"/>
            <w:tcBorders>
              <w:top w:val="single" w:sz="6" w:space="0" w:color="000000"/>
              <w:left w:val="single" w:sz="6" w:space="0" w:color="000000"/>
              <w:bottom w:val="single" w:sz="6" w:space="0" w:color="000000"/>
              <w:right w:val="single" w:sz="6" w:space="0" w:color="000000"/>
            </w:tcBorders>
          </w:tcPr>
          <w:p w14:paraId="5E60DA33" w14:textId="77777777" w:rsidR="002D58E4" w:rsidRDefault="00F721D4">
            <w:pPr>
              <w:spacing w:after="0"/>
              <w:rPr>
                <w:sz w:val="20"/>
                <w:szCs w:val="20"/>
              </w:rPr>
            </w:pPr>
            <w:r>
              <w:rPr>
                <w:sz w:val="20"/>
                <w:szCs w:val="20"/>
              </w:rPr>
              <w:t xml:space="preserve">not serious </w:t>
            </w:r>
          </w:p>
        </w:tc>
        <w:tc>
          <w:tcPr>
            <w:tcW w:w="1041" w:type="dxa"/>
            <w:tcBorders>
              <w:top w:val="single" w:sz="6" w:space="0" w:color="000000"/>
              <w:left w:val="single" w:sz="6" w:space="0" w:color="000000"/>
              <w:bottom w:val="single" w:sz="6" w:space="0" w:color="000000"/>
              <w:right w:val="single" w:sz="6" w:space="0" w:color="000000"/>
            </w:tcBorders>
          </w:tcPr>
          <w:p w14:paraId="449FAC2C" w14:textId="77777777" w:rsidR="002D58E4" w:rsidRDefault="00F721D4">
            <w:pPr>
              <w:spacing w:after="0"/>
              <w:rPr>
                <w:sz w:val="20"/>
                <w:szCs w:val="20"/>
              </w:rPr>
            </w:pPr>
            <w:r>
              <w:rPr>
                <w:sz w:val="20"/>
                <w:szCs w:val="20"/>
              </w:rPr>
              <w:t xml:space="preserve">serious </w:t>
            </w:r>
            <w:r>
              <w:rPr>
                <w:sz w:val="20"/>
                <w:szCs w:val="20"/>
                <w:vertAlign w:val="superscript"/>
              </w:rPr>
              <w:t>b</w:t>
            </w:r>
          </w:p>
        </w:tc>
        <w:tc>
          <w:tcPr>
            <w:tcW w:w="962" w:type="dxa"/>
            <w:tcBorders>
              <w:top w:val="single" w:sz="6" w:space="0" w:color="000000"/>
              <w:left w:val="single" w:sz="6" w:space="0" w:color="000000"/>
              <w:bottom w:val="single" w:sz="6" w:space="0" w:color="000000"/>
              <w:right w:val="single" w:sz="6" w:space="0" w:color="000000"/>
            </w:tcBorders>
          </w:tcPr>
          <w:p w14:paraId="3C9CDF10" w14:textId="77777777" w:rsidR="002D58E4" w:rsidRDefault="00F721D4">
            <w:pPr>
              <w:spacing w:after="0"/>
              <w:rPr>
                <w:sz w:val="20"/>
                <w:szCs w:val="20"/>
              </w:rPr>
            </w:pPr>
            <w:r>
              <w:rPr>
                <w:sz w:val="20"/>
                <w:szCs w:val="20"/>
              </w:rPr>
              <w:t xml:space="preserve">none </w:t>
            </w:r>
          </w:p>
        </w:tc>
        <w:tc>
          <w:tcPr>
            <w:tcW w:w="1226" w:type="dxa"/>
            <w:gridSpan w:val="2"/>
            <w:tcBorders>
              <w:top w:val="single" w:sz="6" w:space="0" w:color="000000"/>
              <w:left w:val="single" w:sz="6" w:space="0" w:color="000000"/>
              <w:bottom w:val="single" w:sz="6" w:space="0" w:color="000000"/>
              <w:right w:val="single" w:sz="6" w:space="0" w:color="000000"/>
            </w:tcBorders>
          </w:tcPr>
          <w:p w14:paraId="692642CD" w14:textId="77777777" w:rsidR="002D58E4" w:rsidRDefault="00F721D4">
            <w:pPr>
              <w:spacing w:after="0"/>
              <w:jc w:val="center"/>
              <w:rPr>
                <w:sz w:val="20"/>
                <w:szCs w:val="20"/>
              </w:rPr>
            </w:pPr>
            <w:r>
              <w:rPr>
                <w:sz w:val="20"/>
                <w:szCs w:val="20"/>
              </w:rPr>
              <w:t xml:space="preserve">6/80 </w:t>
            </w:r>
          </w:p>
          <w:p w14:paraId="7BDD9214" w14:textId="77777777" w:rsidR="002D58E4" w:rsidRDefault="00F721D4">
            <w:pPr>
              <w:spacing w:after="0"/>
              <w:jc w:val="center"/>
              <w:rPr>
                <w:sz w:val="20"/>
                <w:szCs w:val="20"/>
              </w:rPr>
            </w:pPr>
            <w:r>
              <w:rPr>
                <w:sz w:val="20"/>
                <w:szCs w:val="20"/>
              </w:rPr>
              <w:t xml:space="preserve">(7.5%) </w:t>
            </w:r>
          </w:p>
        </w:tc>
        <w:tc>
          <w:tcPr>
            <w:tcW w:w="1276" w:type="dxa"/>
            <w:tcBorders>
              <w:top w:val="single" w:sz="6" w:space="0" w:color="000000"/>
              <w:left w:val="single" w:sz="6" w:space="0" w:color="000000"/>
              <w:bottom w:val="single" w:sz="6" w:space="0" w:color="000000"/>
              <w:right w:val="single" w:sz="6" w:space="0" w:color="000000"/>
            </w:tcBorders>
          </w:tcPr>
          <w:p w14:paraId="7E3A00C6" w14:textId="77777777" w:rsidR="002D58E4" w:rsidRDefault="00F721D4">
            <w:pPr>
              <w:spacing w:after="0"/>
              <w:jc w:val="center"/>
              <w:rPr>
                <w:sz w:val="20"/>
                <w:szCs w:val="20"/>
              </w:rPr>
            </w:pPr>
            <w:r>
              <w:rPr>
                <w:sz w:val="20"/>
                <w:szCs w:val="20"/>
              </w:rPr>
              <w:t xml:space="preserve">8/63 </w:t>
            </w:r>
          </w:p>
          <w:p w14:paraId="123CA158" w14:textId="77777777" w:rsidR="002D58E4" w:rsidRDefault="00F721D4">
            <w:pPr>
              <w:spacing w:after="0"/>
              <w:jc w:val="center"/>
              <w:rPr>
                <w:sz w:val="20"/>
                <w:szCs w:val="20"/>
              </w:rPr>
            </w:pPr>
            <w:r>
              <w:rPr>
                <w:sz w:val="20"/>
                <w:szCs w:val="20"/>
              </w:rPr>
              <w:t xml:space="preserve">(12.7%) </w:t>
            </w:r>
          </w:p>
        </w:tc>
        <w:tc>
          <w:tcPr>
            <w:tcW w:w="1530" w:type="dxa"/>
            <w:tcBorders>
              <w:top w:val="single" w:sz="6" w:space="0" w:color="000000"/>
              <w:left w:val="single" w:sz="6" w:space="0" w:color="000000"/>
              <w:bottom w:val="single" w:sz="6" w:space="0" w:color="000000"/>
              <w:right w:val="single" w:sz="6" w:space="0" w:color="000000"/>
            </w:tcBorders>
          </w:tcPr>
          <w:p w14:paraId="3B0678B9" w14:textId="77777777" w:rsidR="002D58E4" w:rsidRDefault="00F721D4">
            <w:pPr>
              <w:spacing w:after="0"/>
              <w:jc w:val="center"/>
              <w:rPr>
                <w:sz w:val="20"/>
                <w:szCs w:val="20"/>
              </w:rPr>
            </w:pPr>
            <w:r>
              <w:rPr>
                <w:sz w:val="20"/>
                <w:szCs w:val="20"/>
              </w:rPr>
              <w:t>RR 0.59</w:t>
            </w:r>
            <w:r>
              <w:rPr>
                <w:sz w:val="20"/>
                <w:szCs w:val="20"/>
              </w:rPr>
              <w:br/>
              <w:t xml:space="preserve">(0.22 to 1.61) </w:t>
            </w:r>
          </w:p>
        </w:tc>
        <w:tc>
          <w:tcPr>
            <w:tcW w:w="2155" w:type="dxa"/>
            <w:tcBorders>
              <w:top w:val="single" w:sz="6" w:space="0" w:color="000000"/>
              <w:left w:val="single" w:sz="6" w:space="0" w:color="000000"/>
              <w:bottom w:val="single" w:sz="6" w:space="0" w:color="000000"/>
              <w:right w:val="single" w:sz="6" w:space="0" w:color="000000"/>
            </w:tcBorders>
          </w:tcPr>
          <w:p w14:paraId="02521D30" w14:textId="77777777" w:rsidR="002D58E4" w:rsidRDefault="00F721D4">
            <w:pPr>
              <w:spacing w:after="0"/>
              <w:jc w:val="center"/>
              <w:rPr>
                <w:sz w:val="20"/>
                <w:szCs w:val="20"/>
              </w:rPr>
            </w:pPr>
            <w:r>
              <w:rPr>
                <w:sz w:val="20"/>
                <w:szCs w:val="20"/>
              </w:rPr>
              <w:t>52 fewer per 1,000</w:t>
            </w:r>
            <w:r>
              <w:rPr>
                <w:sz w:val="20"/>
                <w:szCs w:val="20"/>
              </w:rPr>
              <w:br/>
              <w:t xml:space="preserve">(from 77 more to 99 fewer) </w:t>
            </w:r>
          </w:p>
        </w:tc>
        <w:tc>
          <w:tcPr>
            <w:tcW w:w="1120" w:type="dxa"/>
            <w:tcBorders>
              <w:top w:val="single" w:sz="6" w:space="0" w:color="000000"/>
              <w:left w:val="single" w:sz="6" w:space="0" w:color="000000"/>
              <w:bottom w:val="single" w:sz="6" w:space="0" w:color="000000"/>
              <w:right w:val="single" w:sz="6" w:space="0" w:color="000000"/>
            </w:tcBorders>
          </w:tcPr>
          <w:p w14:paraId="233674F5" w14:textId="77777777" w:rsidR="002D58E4" w:rsidRDefault="00F721D4">
            <w:pPr>
              <w:spacing w:after="0"/>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290" w:type="dxa"/>
            <w:tcBorders>
              <w:top w:val="single" w:sz="6" w:space="0" w:color="000000"/>
              <w:left w:val="single" w:sz="6" w:space="0" w:color="000000"/>
              <w:bottom w:val="single" w:sz="6" w:space="0" w:color="000000"/>
              <w:right w:val="single" w:sz="6" w:space="0" w:color="000000"/>
            </w:tcBorders>
          </w:tcPr>
          <w:p w14:paraId="7B31AF86" w14:textId="77777777" w:rsidR="002D58E4" w:rsidRDefault="00F721D4">
            <w:pPr>
              <w:spacing w:after="0"/>
              <w:rPr>
                <w:sz w:val="20"/>
                <w:szCs w:val="20"/>
              </w:rPr>
            </w:pPr>
            <w:r>
              <w:rPr>
                <w:sz w:val="20"/>
                <w:szCs w:val="20"/>
              </w:rPr>
              <w:t xml:space="preserve">CRITICAL </w:t>
            </w:r>
          </w:p>
        </w:tc>
      </w:tr>
    </w:tbl>
    <w:p w14:paraId="55721CAD" w14:textId="77777777" w:rsidR="002D58E4" w:rsidRDefault="00F721D4">
      <w:pPr>
        <w:pBdr>
          <w:top w:val="nil"/>
          <w:left w:val="nil"/>
          <w:bottom w:val="nil"/>
          <w:right w:val="nil"/>
          <w:between w:val="nil"/>
        </w:pBdr>
        <w:spacing w:before="100" w:after="100" w:line="240" w:lineRule="auto"/>
        <w:rPr>
          <w:color w:val="000000"/>
          <w:sz w:val="20"/>
          <w:szCs w:val="20"/>
        </w:rPr>
      </w:pPr>
      <w:r>
        <w:rPr>
          <w:color w:val="000000"/>
          <w:sz w:val="20"/>
          <w:szCs w:val="20"/>
        </w:rPr>
        <w:t xml:space="preserve">* Clinical response was defined as “cure” (resolution of all signs and symptoms), improvement (clinical abnormalities subsiding but with incomplete resolution), failure (no apparent response to therapy). Last evaluation includes all randomized patients who had received treatment, regardless of their discontinuation date. </w:t>
      </w:r>
    </w:p>
    <w:p w14:paraId="15C3019A" w14:textId="77777777" w:rsidR="002D58E4" w:rsidRDefault="00F721D4">
      <w:pPr>
        <w:pBdr>
          <w:top w:val="nil"/>
          <w:left w:val="nil"/>
          <w:bottom w:val="nil"/>
          <w:right w:val="nil"/>
          <w:between w:val="nil"/>
        </w:pBdr>
        <w:spacing w:before="100" w:after="10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RR:</w:t>
      </w:r>
      <w:r>
        <w:rPr>
          <w:color w:val="000000"/>
          <w:sz w:val="18"/>
          <w:szCs w:val="18"/>
        </w:rPr>
        <w:t xml:space="preserve"> Risk ratio</w:t>
      </w:r>
    </w:p>
    <w:p w14:paraId="50C61585" w14:textId="77777777" w:rsidR="002305C5" w:rsidRDefault="002305C5" w:rsidP="002305C5">
      <w:pPr>
        <w:spacing w:before="280" w:after="0"/>
        <w:rPr>
          <w:b/>
          <w:color w:val="000000"/>
          <w:sz w:val="24"/>
          <w:szCs w:val="24"/>
        </w:rPr>
      </w:pPr>
      <w:r>
        <w:rPr>
          <w:b/>
          <w:color w:val="000000"/>
          <w:sz w:val="24"/>
          <w:szCs w:val="24"/>
        </w:rPr>
        <w:t>Explanations</w:t>
      </w:r>
    </w:p>
    <w:p w14:paraId="752121DF" w14:textId="5A347E22" w:rsidR="002D58E4" w:rsidRDefault="00F721D4" w:rsidP="00171735">
      <w:pPr>
        <w:spacing w:after="0"/>
        <w:ind w:right="-3980"/>
        <w:rPr>
          <w:color w:val="000000"/>
          <w:sz w:val="18"/>
          <w:szCs w:val="18"/>
        </w:rPr>
      </w:pPr>
      <w:r>
        <w:rPr>
          <w:color w:val="000000"/>
          <w:sz w:val="18"/>
          <w:szCs w:val="18"/>
        </w:rPr>
        <w:t>a. Study received high risk of bias rating due to the high number of participants excluded from final analysis due to negative serology (58 out of 201 randomized patients) and to lost to follow-up (14 patients at 3 months and 35 at 12 months) and lack of blinding.</w:t>
      </w:r>
    </w:p>
    <w:p w14:paraId="131D594E" w14:textId="07DB3DD2" w:rsidR="002D58E4" w:rsidRDefault="00F721D4" w:rsidP="002305C5">
      <w:pPr>
        <w:spacing w:after="0"/>
        <w:ind w:right="-11"/>
        <w:rPr>
          <w:color w:val="000000"/>
          <w:sz w:val="18"/>
          <w:szCs w:val="18"/>
        </w:rPr>
      </w:pPr>
      <w:r>
        <w:rPr>
          <w:color w:val="000000"/>
          <w:sz w:val="18"/>
          <w:szCs w:val="18"/>
        </w:rPr>
        <w:t>b. 95% CI is wide and crossing the null value</w:t>
      </w:r>
      <w:r w:rsidR="00171735">
        <w:rPr>
          <w:color w:val="000000"/>
          <w:sz w:val="18"/>
          <w:szCs w:val="18"/>
        </w:rPr>
        <w:t>.</w:t>
      </w:r>
    </w:p>
    <w:p w14:paraId="67F7D163" w14:textId="77777777" w:rsidR="002D58E4" w:rsidRDefault="00F721D4" w:rsidP="002305C5">
      <w:pPr>
        <w:spacing w:after="0"/>
        <w:ind w:right="-11"/>
        <w:rPr>
          <w:color w:val="000000"/>
          <w:sz w:val="14"/>
          <w:szCs w:val="14"/>
        </w:rPr>
      </w:pPr>
      <w:r>
        <w:rPr>
          <w:sz w:val="18"/>
          <w:szCs w:val="18"/>
        </w:rPr>
        <w:t xml:space="preserve">c. Fragility present, OIS criteria not meant.  </w:t>
      </w:r>
    </w:p>
    <w:p w14:paraId="2928AAD1" w14:textId="77777777" w:rsidR="002D58E4" w:rsidRDefault="00F721D4" w:rsidP="002305C5">
      <w:pPr>
        <w:spacing w:after="0"/>
        <w:ind w:right="-11"/>
        <w:rPr>
          <w:color w:val="000000"/>
          <w:sz w:val="18"/>
          <w:szCs w:val="18"/>
        </w:rPr>
      </w:pPr>
      <w:r>
        <w:rPr>
          <w:color w:val="000000"/>
          <w:sz w:val="18"/>
          <w:szCs w:val="18"/>
        </w:rPr>
        <w:t xml:space="preserve">d. One arm has zero events; unable to estimate relative risk. </w:t>
      </w:r>
    </w:p>
    <w:p w14:paraId="182DE454" w14:textId="77777777" w:rsidR="002D58E4" w:rsidRDefault="002D58E4">
      <w:pPr>
        <w:spacing w:after="0"/>
        <w:rPr>
          <w:b/>
          <w:sz w:val="32"/>
          <w:szCs w:val="32"/>
        </w:rPr>
      </w:pPr>
    </w:p>
    <w:tbl>
      <w:tblPr>
        <w:tblStyle w:val="afff4"/>
        <w:tblW w:w="14601" w:type="dxa"/>
        <w:tblBorders>
          <w:bottom w:val="single" w:sz="6" w:space="0" w:color="AEAEAE"/>
          <w:insideH w:val="single" w:sz="6" w:space="0" w:color="AEAEAE"/>
          <w:insideV w:val="single" w:sz="6" w:space="0" w:color="AEAEAE"/>
        </w:tblBorders>
        <w:tblLayout w:type="fixed"/>
        <w:tblLook w:val="0600" w:firstRow="0" w:lastRow="0" w:firstColumn="0" w:lastColumn="0" w:noHBand="1" w:noVBand="1"/>
      </w:tblPr>
      <w:tblGrid>
        <w:gridCol w:w="14601"/>
      </w:tblGrid>
      <w:tr w:rsidR="002D58E4" w14:paraId="2D01D18B" w14:textId="77777777">
        <w:trPr>
          <w:trHeight w:val="140"/>
        </w:trPr>
        <w:tc>
          <w:tcPr>
            <w:tcW w:w="14601" w:type="dxa"/>
            <w:tcBorders>
              <w:bottom w:val="nil"/>
            </w:tcBorders>
            <w:shd w:val="clear" w:color="auto" w:fill="auto"/>
            <w:tcMar>
              <w:top w:w="15" w:type="dxa"/>
              <w:left w:w="30" w:type="dxa"/>
              <w:bottom w:w="0" w:type="dxa"/>
              <w:right w:w="30" w:type="dxa"/>
            </w:tcMar>
          </w:tcPr>
          <w:p w14:paraId="339D1A2C" w14:textId="77777777" w:rsidR="002D58E4" w:rsidRDefault="002D58E4">
            <w:pPr>
              <w:rPr>
                <w:color w:val="000000"/>
                <w:sz w:val="18"/>
                <w:szCs w:val="18"/>
              </w:rPr>
            </w:pPr>
          </w:p>
        </w:tc>
      </w:tr>
    </w:tbl>
    <w:p w14:paraId="39D086E1" w14:textId="77777777" w:rsidR="002D58E4" w:rsidRDefault="00F721D4">
      <w:r>
        <w:br w:type="page"/>
      </w:r>
    </w:p>
    <w:tbl>
      <w:tblPr>
        <w:tblStyle w:val="afff5"/>
        <w:tblW w:w="14758" w:type="dxa"/>
        <w:tblBorders>
          <w:bottom w:val="single" w:sz="6" w:space="0" w:color="AEAEAE"/>
          <w:insideH w:val="single" w:sz="6" w:space="0" w:color="AEAEAE"/>
          <w:insideV w:val="single" w:sz="6" w:space="0" w:color="AEAEAE"/>
        </w:tblBorders>
        <w:tblLayout w:type="fixed"/>
        <w:tblLook w:val="0600" w:firstRow="0" w:lastRow="0" w:firstColumn="0" w:lastColumn="0" w:noHBand="1" w:noVBand="1"/>
      </w:tblPr>
      <w:tblGrid>
        <w:gridCol w:w="1020"/>
        <w:gridCol w:w="1248"/>
        <w:gridCol w:w="810"/>
        <w:gridCol w:w="1530"/>
        <w:gridCol w:w="3189"/>
        <w:gridCol w:w="1417"/>
        <w:gridCol w:w="5544"/>
      </w:tblGrid>
      <w:tr w:rsidR="002D58E4" w14:paraId="565D0E2C" w14:textId="77777777" w:rsidTr="00171735">
        <w:trPr>
          <w:trHeight w:val="140"/>
        </w:trPr>
        <w:tc>
          <w:tcPr>
            <w:tcW w:w="14755" w:type="dxa"/>
            <w:gridSpan w:val="7"/>
            <w:tcBorders>
              <w:top w:val="nil"/>
              <w:bottom w:val="single" w:sz="6" w:space="0" w:color="AEAEAE"/>
            </w:tcBorders>
            <w:shd w:val="clear" w:color="auto" w:fill="auto"/>
            <w:tcMar>
              <w:top w:w="15" w:type="dxa"/>
              <w:left w:w="30" w:type="dxa"/>
              <w:bottom w:w="0" w:type="dxa"/>
              <w:right w:w="30" w:type="dxa"/>
            </w:tcMar>
          </w:tcPr>
          <w:p w14:paraId="3760153F" w14:textId="7BD9632F" w:rsidR="002D58E4" w:rsidRDefault="00445E97">
            <w:pPr>
              <w:rPr>
                <w:b/>
                <w:color w:val="000000"/>
                <w:sz w:val="18"/>
                <w:szCs w:val="18"/>
              </w:rPr>
            </w:pPr>
            <w:r>
              <w:rPr>
                <w:b/>
                <w:sz w:val="32"/>
                <w:szCs w:val="32"/>
              </w:rPr>
              <w:t>XXIII</w:t>
            </w:r>
            <w:r w:rsidR="00F721D4">
              <w:rPr>
                <w:b/>
                <w:sz w:val="32"/>
                <w:szCs w:val="32"/>
              </w:rPr>
              <w:t>. What are the approaches to patients in whom Lyme arthritis has not completely resolved?</w:t>
            </w:r>
          </w:p>
          <w:p w14:paraId="7C1BECEC" w14:textId="77777777" w:rsidR="002D58E4" w:rsidRDefault="00F721D4">
            <w:pPr>
              <w:rPr>
                <w:color w:val="000000"/>
                <w:sz w:val="18"/>
                <w:szCs w:val="18"/>
              </w:rPr>
            </w:pPr>
            <w:r>
              <w:rPr>
                <w:b/>
                <w:color w:val="000000"/>
                <w:sz w:val="18"/>
                <w:szCs w:val="18"/>
              </w:rPr>
              <w:t>Bibliography:</w:t>
            </w:r>
            <w:r>
              <w:rPr>
                <w:color w:val="000000"/>
                <w:sz w:val="18"/>
                <w:szCs w:val="18"/>
              </w:rPr>
              <w:t xml:space="preserve"> 1. Steere, et al. </w:t>
            </w:r>
            <w:r>
              <w:t xml:space="preserve"> </w:t>
            </w:r>
            <w:r>
              <w:rPr>
                <w:color w:val="000000"/>
                <w:sz w:val="18"/>
                <w:szCs w:val="18"/>
              </w:rPr>
              <w:t>Arthritis Rheum. 1994 Jun 1; 37(6): 878-88; 2. Steere, et al.</w:t>
            </w:r>
            <w:r>
              <w:t xml:space="preserve"> </w:t>
            </w:r>
            <w:r>
              <w:rPr>
                <w:color w:val="000000"/>
                <w:sz w:val="18"/>
                <w:szCs w:val="18"/>
              </w:rPr>
              <w:t xml:space="preserve">Arthritis Rheum. 2006 Oct; 54(10): 3079-86; 3. Gaude, et al. </w:t>
            </w:r>
            <w:r>
              <w:t xml:space="preserve"> </w:t>
            </w:r>
            <w:r>
              <w:rPr>
                <w:color w:val="000000"/>
                <w:sz w:val="18"/>
                <w:szCs w:val="18"/>
              </w:rPr>
              <w:t>Paediatr Child Health. 2015 Oct; 20(7): 377-80.</w:t>
            </w:r>
          </w:p>
        </w:tc>
      </w:tr>
      <w:tr w:rsidR="002D58E4" w14:paraId="0610FFF4" w14:textId="77777777" w:rsidTr="00171735">
        <w:trPr>
          <w:trHeight w:val="600"/>
        </w:trPr>
        <w:tc>
          <w:tcPr>
            <w:tcW w:w="1020" w:type="dxa"/>
            <w:tcBorders>
              <w:top w:val="single" w:sz="6" w:space="0" w:color="AEAEAE"/>
              <w:left w:val="single" w:sz="6" w:space="0" w:color="AEAEAE"/>
            </w:tcBorders>
            <w:shd w:val="clear" w:color="auto" w:fill="D9D9D9"/>
            <w:tcMar>
              <w:top w:w="15" w:type="dxa"/>
              <w:left w:w="30" w:type="dxa"/>
              <w:bottom w:w="0" w:type="dxa"/>
              <w:right w:w="30" w:type="dxa"/>
            </w:tcMar>
          </w:tcPr>
          <w:p w14:paraId="4AF59250" w14:textId="77777777" w:rsidR="002D58E4" w:rsidRDefault="00F721D4">
            <w:pPr>
              <w:jc w:val="center"/>
              <w:rPr>
                <w:sz w:val="20"/>
                <w:szCs w:val="20"/>
              </w:rPr>
            </w:pPr>
            <w:r>
              <w:rPr>
                <w:b/>
                <w:color w:val="000000"/>
                <w:sz w:val="20"/>
                <w:szCs w:val="20"/>
              </w:rPr>
              <w:t>Study, Location</w:t>
            </w:r>
          </w:p>
        </w:tc>
        <w:tc>
          <w:tcPr>
            <w:tcW w:w="1248" w:type="dxa"/>
            <w:tcBorders>
              <w:top w:val="single" w:sz="6" w:space="0" w:color="AEAEAE"/>
            </w:tcBorders>
            <w:shd w:val="clear" w:color="auto" w:fill="D9D9D9"/>
          </w:tcPr>
          <w:p w14:paraId="49FAE938" w14:textId="77777777" w:rsidR="002D58E4" w:rsidRDefault="00F721D4">
            <w:pPr>
              <w:jc w:val="center"/>
              <w:rPr>
                <w:b/>
                <w:color w:val="000000"/>
                <w:sz w:val="20"/>
                <w:szCs w:val="20"/>
              </w:rPr>
            </w:pPr>
            <w:r>
              <w:rPr>
                <w:b/>
                <w:color w:val="000000"/>
                <w:sz w:val="20"/>
                <w:szCs w:val="20"/>
              </w:rPr>
              <w:t>Study Design</w:t>
            </w:r>
          </w:p>
        </w:tc>
        <w:tc>
          <w:tcPr>
            <w:tcW w:w="810" w:type="dxa"/>
            <w:tcBorders>
              <w:top w:val="single" w:sz="6" w:space="0" w:color="AEAEAE"/>
            </w:tcBorders>
            <w:shd w:val="clear" w:color="auto" w:fill="D9D9D9"/>
          </w:tcPr>
          <w:p w14:paraId="39D1E13C" w14:textId="77777777" w:rsidR="002D58E4" w:rsidRDefault="00F721D4">
            <w:pPr>
              <w:jc w:val="center"/>
              <w:rPr>
                <w:b/>
                <w:color w:val="000000"/>
                <w:sz w:val="20"/>
                <w:szCs w:val="20"/>
              </w:rPr>
            </w:pPr>
            <w:r>
              <w:rPr>
                <w:b/>
                <w:color w:val="000000"/>
                <w:sz w:val="20"/>
                <w:szCs w:val="20"/>
              </w:rPr>
              <w:t>Risk of bias*</w:t>
            </w:r>
          </w:p>
        </w:tc>
        <w:tc>
          <w:tcPr>
            <w:tcW w:w="1530" w:type="dxa"/>
            <w:tcBorders>
              <w:top w:val="single" w:sz="6" w:space="0" w:color="AEAEAE"/>
            </w:tcBorders>
            <w:shd w:val="clear" w:color="auto" w:fill="D9D9D9"/>
          </w:tcPr>
          <w:p w14:paraId="43BA971C" w14:textId="77777777" w:rsidR="002D58E4" w:rsidRDefault="00F721D4">
            <w:pPr>
              <w:jc w:val="center"/>
              <w:rPr>
                <w:b/>
                <w:color w:val="000000"/>
                <w:sz w:val="20"/>
                <w:szCs w:val="20"/>
              </w:rPr>
            </w:pPr>
            <w:r>
              <w:rPr>
                <w:b/>
                <w:color w:val="000000"/>
                <w:sz w:val="20"/>
                <w:szCs w:val="20"/>
              </w:rPr>
              <w:t>Lyme Disease Diagnostic method</w:t>
            </w:r>
          </w:p>
        </w:tc>
        <w:tc>
          <w:tcPr>
            <w:tcW w:w="3189" w:type="dxa"/>
            <w:tcBorders>
              <w:top w:val="single" w:sz="6" w:space="0" w:color="AEAEAE"/>
            </w:tcBorders>
            <w:shd w:val="clear" w:color="auto" w:fill="D9D9D9"/>
            <w:tcMar>
              <w:top w:w="15" w:type="dxa"/>
              <w:left w:w="30" w:type="dxa"/>
              <w:bottom w:w="0" w:type="dxa"/>
              <w:right w:w="30" w:type="dxa"/>
            </w:tcMar>
          </w:tcPr>
          <w:p w14:paraId="6843DE9E" w14:textId="77777777" w:rsidR="002D58E4" w:rsidRDefault="00F721D4">
            <w:pPr>
              <w:jc w:val="center"/>
              <w:rPr>
                <w:sz w:val="20"/>
                <w:szCs w:val="20"/>
              </w:rPr>
            </w:pPr>
            <w:r>
              <w:rPr>
                <w:b/>
                <w:color w:val="000000"/>
                <w:sz w:val="20"/>
                <w:szCs w:val="20"/>
              </w:rPr>
              <w:t>Population characteristics</w:t>
            </w:r>
          </w:p>
        </w:tc>
        <w:tc>
          <w:tcPr>
            <w:tcW w:w="1417" w:type="dxa"/>
            <w:tcBorders>
              <w:top w:val="single" w:sz="6" w:space="0" w:color="AEAEAE"/>
            </w:tcBorders>
            <w:shd w:val="clear" w:color="auto" w:fill="D9D9D9"/>
            <w:tcMar>
              <w:top w:w="15" w:type="dxa"/>
              <w:left w:w="30" w:type="dxa"/>
              <w:bottom w:w="0" w:type="dxa"/>
              <w:right w:w="30" w:type="dxa"/>
            </w:tcMar>
          </w:tcPr>
          <w:p w14:paraId="0EC03E40" w14:textId="77777777" w:rsidR="002D58E4" w:rsidRDefault="00F721D4">
            <w:pPr>
              <w:jc w:val="center"/>
              <w:rPr>
                <w:sz w:val="20"/>
                <w:szCs w:val="20"/>
              </w:rPr>
            </w:pPr>
            <w:r>
              <w:rPr>
                <w:b/>
                <w:color w:val="000000"/>
                <w:sz w:val="20"/>
                <w:szCs w:val="20"/>
              </w:rPr>
              <w:t>Treatment(s) administered</w:t>
            </w:r>
          </w:p>
        </w:tc>
        <w:tc>
          <w:tcPr>
            <w:tcW w:w="5544" w:type="dxa"/>
            <w:tcBorders>
              <w:top w:val="single" w:sz="6" w:space="0" w:color="AEAEAE"/>
              <w:right w:val="single" w:sz="6" w:space="0" w:color="AEAEAE"/>
            </w:tcBorders>
            <w:shd w:val="clear" w:color="auto" w:fill="D9D9D9"/>
            <w:tcMar>
              <w:top w:w="15" w:type="dxa"/>
              <w:left w:w="30" w:type="dxa"/>
              <w:bottom w:w="0" w:type="dxa"/>
              <w:right w:w="30" w:type="dxa"/>
            </w:tcMar>
          </w:tcPr>
          <w:p w14:paraId="0020D17B" w14:textId="77777777" w:rsidR="002D58E4" w:rsidRDefault="00F721D4">
            <w:pPr>
              <w:jc w:val="center"/>
              <w:rPr>
                <w:sz w:val="20"/>
                <w:szCs w:val="20"/>
              </w:rPr>
            </w:pPr>
            <w:r>
              <w:rPr>
                <w:b/>
                <w:color w:val="000000"/>
                <w:sz w:val="20"/>
                <w:szCs w:val="20"/>
              </w:rPr>
              <w:t>Treatment Outcome and Study Conclusions</w:t>
            </w:r>
          </w:p>
        </w:tc>
      </w:tr>
      <w:tr w:rsidR="002D58E4" w14:paraId="6C8E0C06" w14:textId="77777777" w:rsidTr="00171735">
        <w:trPr>
          <w:trHeight w:val="320"/>
        </w:trPr>
        <w:tc>
          <w:tcPr>
            <w:tcW w:w="1020" w:type="dxa"/>
            <w:tcBorders>
              <w:top w:val="single" w:sz="6" w:space="0" w:color="AEAEAE"/>
              <w:left w:val="single" w:sz="6" w:space="0" w:color="AEAEAE"/>
            </w:tcBorders>
            <w:shd w:val="clear" w:color="auto" w:fill="auto"/>
            <w:tcMar>
              <w:top w:w="15" w:type="dxa"/>
              <w:left w:w="30" w:type="dxa"/>
              <w:bottom w:w="0" w:type="dxa"/>
              <w:right w:w="30" w:type="dxa"/>
            </w:tcMar>
            <w:vAlign w:val="center"/>
          </w:tcPr>
          <w:p w14:paraId="5537E3D2" w14:textId="77777777" w:rsidR="002D58E4" w:rsidRPr="002914A2" w:rsidRDefault="00F721D4">
            <w:pPr>
              <w:rPr>
                <w:sz w:val="20"/>
                <w:szCs w:val="20"/>
                <w:lang w:val="fr-CA"/>
              </w:rPr>
            </w:pPr>
            <w:r w:rsidRPr="002914A2">
              <w:rPr>
                <w:sz w:val="20"/>
                <w:szCs w:val="20"/>
                <w:lang w:val="fr-CA"/>
              </w:rPr>
              <w:t>Steere, et al., 1994</w:t>
            </w:r>
          </w:p>
          <w:p w14:paraId="5C2BCFA2" w14:textId="77777777" w:rsidR="002D58E4" w:rsidRPr="002914A2" w:rsidRDefault="002D58E4">
            <w:pPr>
              <w:rPr>
                <w:sz w:val="20"/>
                <w:szCs w:val="20"/>
                <w:lang w:val="fr-CA"/>
              </w:rPr>
            </w:pPr>
          </w:p>
          <w:p w14:paraId="17C95378" w14:textId="77777777" w:rsidR="002D58E4" w:rsidRPr="002914A2" w:rsidRDefault="00F721D4">
            <w:pPr>
              <w:rPr>
                <w:sz w:val="20"/>
                <w:szCs w:val="20"/>
                <w:lang w:val="fr-CA"/>
              </w:rPr>
            </w:pPr>
            <w:r w:rsidRPr="002914A2">
              <w:rPr>
                <w:sz w:val="20"/>
                <w:szCs w:val="20"/>
                <w:lang w:val="fr-CA"/>
              </w:rPr>
              <w:t>Boston, MA</w:t>
            </w:r>
          </w:p>
        </w:tc>
        <w:tc>
          <w:tcPr>
            <w:tcW w:w="1248" w:type="dxa"/>
            <w:vAlign w:val="center"/>
          </w:tcPr>
          <w:p w14:paraId="2193DF5D" w14:textId="77777777" w:rsidR="002D58E4" w:rsidRDefault="00F721D4">
            <w:pPr>
              <w:rPr>
                <w:sz w:val="20"/>
                <w:szCs w:val="20"/>
              </w:rPr>
            </w:pPr>
            <w:r>
              <w:rPr>
                <w:sz w:val="20"/>
                <w:szCs w:val="20"/>
              </w:rPr>
              <w:t>Prospective cohort study†</w:t>
            </w:r>
          </w:p>
          <w:p w14:paraId="40ECB22D" w14:textId="77777777" w:rsidR="002D58E4" w:rsidRDefault="002D58E4">
            <w:pPr>
              <w:rPr>
                <w:sz w:val="20"/>
                <w:szCs w:val="20"/>
              </w:rPr>
            </w:pPr>
          </w:p>
          <w:p w14:paraId="537C3573" w14:textId="77777777" w:rsidR="002D58E4" w:rsidRDefault="002D58E4">
            <w:pPr>
              <w:rPr>
                <w:sz w:val="20"/>
                <w:szCs w:val="20"/>
              </w:rPr>
            </w:pPr>
          </w:p>
          <w:p w14:paraId="5F1B5318" w14:textId="77777777" w:rsidR="002D58E4" w:rsidRDefault="00F721D4">
            <w:pPr>
              <w:rPr>
                <w:sz w:val="20"/>
                <w:szCs w:val="20"/>
              </w:rPr>
            </w:pPr>
            <w:r>
              <w:rPr>
                <w:sz w:val="20"/>
                <w:szCs w:val="20"/>
              </w:rPr>
              <w:t>†2 of 16 patients had been enrolled in a previous RCT comparing oral doxycycline to oral amoxicillin</w:t>
            </w:r>
          </w:p>
        </w:tc>
        <w:tc>
          <w:tcPr>
            <w:tcW w:w="810" w:type="dxa"/>
            <w:vAlign w:val="center"/>
          </w:tcPr>
          <w:p w14:paraId="364FA326" w14:textId="77777777" w:rsidR="002D58E4" w:rsidRDefault="00F721D4">
            <w:pPr>
              <w:jc w:val="center"/>
              <w:rPr>
                <w:sz w:val="20"/>
                <w:szCs w:val="20"/>
              </w:rPr>
            </w:pPr>
            <w:r>
              <w:rPr>
                <w:sz w:val="20"/>
                <w:szCs w:val="20"/>
              </w:rPr>
              <w:t>6</w:t>
            </w:r>
          </w:p>
        </w:tc>
        <w:tc>
          <w:tcPr>
            <w:tcW w:w="1530" w:type="dxa"/>
            <w:vAlign w:val="center"/>
          </w:tcPr>
          <w:p w14:paraId="2832C412" w14:textId="77777777" w:rsidR="002D58E4" w:rsidRDefault="00F721D4">
            <w:pPr>
              <w:rPr>
                <w:sz w:val="20"/>
                <w:szCs w:val="20"/>
              </w:rPr>
            </w:pPr>
            <w:r>
              <w:rPr>
                <w:sz w:val="20"/>
                <w:szCs w:val="20"/>
              </w:rPr>
              <w:t xml:space="preserve">Patients were seropositive by ELISA for antibodies to </w:t>
            </w:r>
            <w:r>
              <w:rPr>
                <w:i/>
                <w:sz w:val="20"/>
                <w:szCs w:val="20"/>
              </w:rPr>
              <w:t>B. burgdorferi</w:t>
            </w:r>
            <w:r>
              <w:rPr>
                <w:sz w:val="20"/>
                <w:szCs w:val="20"/>
              </w:rPr>
              <w:t>. Patients with features of neurologic Lyme were excluded.</w:t>
            </w:r>
          </w:p>
        </w:tc>
        <w:tc>
          <w:tcPr>
            <w:tcW w:w="3189" w:type="dxa"/>
            <w:shd w:val="clear" w:color="auto" w:fill="auto"/>
            <w:tcMar>
              <w:top w:w="15" w:type="dxa"/>
              <w:left w:w="30" w:type="dxa"/>
              <w:bottom w:w="0" w:type="dxa"/>
              <w:right w:w="30" w:type="dxa"/>
            </w:tcMar>
            <w:vAlign w:val="center"/>
          </w:tcPr>
          <w:p w14:paraId="3E98A328" w14:textId="77777777" w:rsidR="002D58E4" w:rsidRDefault="00F721D4">
            <w:pPr>
              <w:rPr>
                <w:sz w:val="20"/>
                <w:szCs w:val="20"/>
              </w:rPr>
            </w:pPr>
            <w:r>
              <w:rPr>
                <w:sz w:val="20"/>
                <w:szCs w:val="20"/>
              </w:rPr>
              <w:t>16 patients ≥ 13 years old who had an initial attack or intermittent episodes of arthritis in ≥ 1 joints and had at ≥ 1 inflamed joint at the time of study entry. Patients had continuous joint swelling without improvement for ≥3 months after treatment with other</w:t>
            </w:r>
          </w:p>
          <w:p w14:paraId="00B80D5A" w14:textId="77777777" w:rsidR="002D58E4" w:rsidRDefault="00F721D4">
            <w:pPr>
              <w:rPr>
                <w:sz w:val="20"/>
                <w:szCs w:val="20"/>
              </w:rPr>
            </w:pPr>
            <w:r>
              <w:rPr>
                <w:sz w:val="20"/>
                <w:szCs w:val="20"/>
              </w:rPr>
              <w:t>antibiotics, including tetracycline,</w:t>
            </w:r>
          </w:p>
          <w:p w14:paraId="2FE4E4AD" w14:textId="77777777" w:rsidR="002D58E4" w:rsidRDefault="00F721D4">
            <w:pPr>
              <w:rPr>
                <w:sz w:val="20"/>
                <w:szCs w:val="20"/>
              </w:rPr>
            </w:pPr>
            <w:r>
              <w:rPr>
                <w:sz w:val="20"/>
                <w:szCs w:val="20"/>
              </w:rPr>
              <w:t>doxycycline, or amoxicillin for at least 30 days, intramuscular benzathine penicillin for 3 wk, or IV penicillin G for ≥2 wk.</w:t>
            </w:r>
          </w:p>
        </w:tc>
        <w:tc>
          <w:tcPr>
            <w:tcW w:w="1417" w:type="dxa"/>
            <w:shd w:val="clear" w:color="auto" w:fill="auto"/>
            <w:tcMar>
              <w:top w:w="61" w:type="dxa"/>
              <w:left w:w="144" w:type="dxa"/>
              <w:bottom w:w="61" w:type="dxa"/>
              <w:right w:w="144" w:type="dxa"/>
            </w:tcMar>
            <w:vAlign w:val="center"/>
          </w:tcPr>
          <w:p w14:paraId="7B25966A" w14:textId="77777777" w:rsidR="002D58E4" w:rsidRDefault="00F721D4">
            <w:pPr>
              <w:rPr>
                <w:sz w:val="20"/>
                <w:szCs w:val="20"/>
              </w:rPr>
            </w:pPr>
            <w:r>
              <w:rPr>
                <w:sz w:val="20"/>
                <w:szCs w:val="20"/>
              </w:rPr>
              <w:t>IV ceftriaxone (2g/day for 14 days)</w:t>
            </w:r>
          </w:p>
        </w:tc>
        <w:tc>
          <w:tcPr>
            <w:tcW w:w="5544" w:type="dxa"/>
            <w:tcBorders>
              <w:top w:val="single" w:sz="6" w:space="0" w:color="AEAEAE"/>
              <w:right w:val="single" w:sz="6" w:space="0" w:color="AEAEAE"/>
            </w:tcBorders>
            <w:shd w:val="clear" w:color="auto" w:fill="auto"/>
            <w:tcMar>
              <w:top w:w="61" w:type="dxa"/>
              <w:left w:w="144" w:type="dxa"/>
              <w:bottom w:w="61" w:type="dxa"/>
              <w:right w:w="144" w:type="dxa"/>
            </w:tcMar>
            <w:vAlign w:val="center"/>
          </w:tcPr>
          <w:p w14:paraId="6C08567B" w14:textId="77777777" w:rsidR="002D58E4" w:rsidRDefault="00F721D4">
            <w:pPr>
              <w:rPr>
                <w:sz w:val="20"/>
                <w:szCs w:val="20"/>
              </w:rPr>
            </w:pPr>
            <w:r>
              <w:rPr>
                <w:sz w:val="20"/>
                <w:szCs w:val="20"/>
              </w:rPr>
              <w:t xml:space="preserve">None of the 16 patients experienced resolution of arthritis within 1-3 months of ceftriaxone treatment. 7 patients (1of whom received intra-articular corticosteroids 2 months after treatment) experienced resolution of joint swelling within 4-12 months without further antibiotic treatment. Seven other patients were re-treated with IV ceftriaxone (2g/day for 1 month) ≥3 months after initial treatment. Three of 7 patients experienced resolution of arthritis within 3-36 months of re-treatment and required no further antibiotic treatment. </w:t>
            </w:r>
          </w:p>
          <w:p w14:paraId="16EA998F" w14:textId="77777777" w:rsidR="002D58E4" w:rsidRDefault="002D58E4">
            <w:pPr>
              <w:rPr>
                <w:sz w:val="20"/>
                <w:szCs w:val="20"/>
              </w:rPr>
            </w:pPr>
          </w:p>
          <w:p w14:paraId="4111B394" w14:textId="77777777" w:rsidR="002D58E4" w:rsidRDefault="00F721D4">
            <w:pPr>
              <w:rPr>
                <w:sz w:val="20"/>
                <w:szCs w:val="20"/>
              </w:rPr>
            </w:pPr>
            <w:r>
              <w:rPr>
                <w:sz w:val="20"/>
                <w:szCs w:val="20"/>
              </w:rPr>
              <w:t xml:space="preserve">In total, 62.5% (10 of 16) patients experienced resolution of arthritis within 3 years and did not require surgical or DMARD intervention. </w:t>
            </w:r>
          </w:p>
          <w:p w14:paraId="5F230A2F" w14:textId="77777777" w:rsidR="002D58E4" w:rsidRDefault="002D58E4">
            <w:pPr>
              <w:rPr>
                <w:sz w:val="20"/>
                <w:szCs w:val="20"/>
              </w:rPr>
            </w:pPr>
          </w:p>
          <w:p w14:paraId="5E4A899C" w14:textId="77777777" w:rsidR="002D58E4" w:rsidRDefault="00F721D4">
            <w:pPr>
              <w:rPr>
                <w:sz w:val="20"/>
                <w:szCs w:val="20"/>
              </w:rPr>
            </w:pPr>
            <w:r>
              <w:rPr>
                <w:sz w:val="20"/>
                <w:szCs w:val="20"/>
              </w:rPr>
              <w:t xml:space="preserve">Six of 16 patients (4 of whom had been re-treated with 1 month of ceftriaxone) underwent synovectomy due to persistent inflammation. Five of these patients resolved after the procedure, but one patient experienced persistent synovitis for 2 years. </w:t>
            </w:r>
          </w:p>
        </w:tc>
      </w:tr>
      <w:tr w:rsidR="002D58E4" w14:paraId="57E6FF9A" w14:textId="77777777" w:rsidTr="00171735">
        <w:trPr>
          <w:trHeight w:val="320"/>
        </w:trPr>
        <w:tc>
          <w:tcPr>
            <w:tcW w:w="1020" w:type="dxa"/>
            <w:tcBorders>
              <w:top w:val="single" w:sz="6" w:space="0" w:color="AEAEAE"/>
              <w:left w:val="single" w:sz="6" w:space="0" w:color="AEAEAE"/>
              <w:bottom w:val="single" w:sz="6" w:space="0" w:color="AEAEAE"/>
            </w:tcBorders>
            <w:shd w:val="clear" w:color="auto" w:fill="auto"/>
            <w:tcMar>
              <w:top w:w="15" w:type="dxa"/>
              <w:left w:w="30" w:type="dxa"/>
              <w:bottom w:w="0" w:type="dxa"/>
              <w:right w:w="30" w:type="dxa"/>
            </w:tcMar>
            <w:vAlign w:val="center"/>
          </w:tcPr>
          <w:p w14:paraId="207020AB" w14:textId="77777777" w:rsidR="002D58E4" w:rsidRPr="002914A2" w:rsidRDefault="00F721D4">
            <w:pPr>
              <w:rPr>
                <w:sz w:val="20"/>
                <w:szCs w:val="20"/>
                <w:lang w:val="fr-CA"/>
              </w:rPr>
            </w:pPr>
            <w:r w:rsidRPr="002914A2">
              <w:rPr>
                <w:sz w:val="20"/>
                <w:szCs w:val="20"/>
                <w:lang w:val="fr-CA"/>
              </w:rPr>
              <w:t>Steere, et al, 2006</w:t>
            </w:r>
          </w:p>
          <w:p w14:paraId="08A1F58C" w14:textId="77777777" w:rsidR="002D58E4" w:rsidRPr="002914A2" w:rsidRDefault="002D58E4">
            <w:pPr>
              <w:rPr>
                <w:sz w:val="20"/>
                <w:szCs w:val="20"/>
                <w:lang w:val="fr-CA"/>
              </w:rPr>
            </w:pPr>
          </w:p>
          <w:p w14:paraId="4855C2E4" w14:textId="77777777" w:rsidR="002D58E4" w:rsidRPr="002914A2" w:rsidRDefault="00F721D4">
            <w:pPr>
              <w:rPr>
                <w:sz w:val="20"/>
                <w:szCs w:val="20"/>
                <w:lang w:val="fr-CA"/>
              </w:rPr>
            </w:pPr>
            <w:r w:rsidRPr="002914A2">
              <w:rPr>
                <w:sz w:val="20"/>
                <w:szCs w:val="20"/>
                <w:lang w:val="fr-CA"/>
              </w:rPr>
              <w:t>Boston, MA</w:t>
            </w:r>
          </w:p>
        </w:tc>
        <w:tc>
          <w:tcPr>
            <w:tcW w:w="1248" w:type="dxa"/>
            <w:vAlign w:val="center"/>
          </w:tcPr>
          <w:p w14:paraId="1D22862A" w14:textId="77777777" w:rsidR="002D58E4" w:rsidRDefault="00F721D4">
            <w:pPr>
              <w:rPr>
                <w:sz w:val="20"/>
                <w:szCs w:val="20"/>
              </w:rPr>
            </w:pPr>
            <w:r>
              <w:rPr>
                <w:sz w:val="20"/>
                <w:szCs w:val="20"/>
              </w:rPr>
              <w:t>Retrospective cohort study</w:t>
            </w:r>
          </w:p>
        </w:tc>
        <w:tc>
          <w:tcPr>
            <w:tcW w:w="810" w:type="dxa"/>
            <w:vAlign w:val="center"/>
          </w:tcPr>
          <w:p w14:paraId="5081AADC" w14:textId="77777777" w:rsidR="002D58E4" w:rsidRDefault="00F721D4">
            <w:pPr>
              <w:jc w:val="center"/>
              <w:rPr>
                <w:sz w:val="20"/>
                <w:szCs w:val="20"/>
              </w:rPr>
            </w:pPr>
            <w:r>
              <w:rPr>
                <w:sz w:val="20"/>
                <w:szCs w:val="20"/>
              </w:rPr>
              <w:t>7</w:t>
            </w:r>
          </w:p>
        </w:tc>
        <w:tc>
          <w:tcPr>
            <w:tcW w:w="1530" w:type="dxa"/>
            <w:vAlign w:val="center"/>
          </w:tcPr>
          <w:p w14:paraId="19849D34" w14:textId="77777777" w:rsidR="002D58E4" w:rsidRDefault="00F721D4">
            <w:pPr>
              <w:rPr>
                <w:sz w:val="20"/>
                <w:szCs w:val="20"/>
              </w:rPr>
            </w:pPr>
            <w:r>
              <w:rPr>
                <w:sz w:val="20"/>
                <w:szCs w:val="20"/>
              </w:rPr>
              <w:t xml:space="preserve">Patients were serologically confirmed by ELISA and positive Western Blot. In case of joint puncture, presence of </w:t>
            </w:r>
            <w:r>
              <w:rPr>
                <w:i/>
                <w:sz w:val="20"/>
                <w:szCs w:val="20"/>
              </w:rPr>
              <w:t>Borrelia</w:t>
            </w:r>
            <w:r>
              <w:rPr>
                <w:sz w:val="20"/>
                <w:szCs w:val="20"/>
              </w:rPr>
              <w:t xml:space="preserve"> DNA was assessed by PCR.</w:t>
            </w:r>
          </w:p>
        </w:tc>
        <w:tc>
          <w:tcPr>
            <w:tcW w:w="3189" w:type="dxa"/>
            <w:shd w:val="clear" w:color="auto" w:fill="auto"/>
            <w:tcMar>
              <w:top w:w="15" w:type="dxa"/>
              <w:left w:w="30" w:type="dxa"/>
              <w:bottom w:w="0" w:type="dxa"/>
              <w:right w:w="30" w:type="dxa"/>
            </w:tcMar>
            <w:vAlign w:val="center"/>
          </w:tcPr>
          <w:p w14:paraId="0F8FA138" w14:textId="77777777" w:rsidR="002D58E4" w:rsidRDefault="00F721D4">
            <w:pPr>
              <w:rPr>
                <w:sz w:val="20"/>
                <w:szCs w:val="20"/>
              </w:rPr>
            </w:pPr>
            <w:r>
              <w:rPr>
                <w:sz w:val="20"/>
                <w:szCs w:val="20"/>
              </w:rPr>
              <w:t xml:space="preserve">117 patients with monoarticular or oligoarticular arthritis. </w:t>
            </w:r>
            <w:r>
              <w:t xml:space="preserve"> </w:t>
            </w:r>
            <w:r>
              <w:rPr>
                <w:sz w:val="20"/>
                <w:szCs w:val="20"/>
              </w:rPr>
              <w:t xml:space="preserve">Fifty patients had antibiotic-responsive arthritis (arthritis resolved after ≤4 weeks of IV antibiotic or ≤8 weeks of oral antibiotics). 88% (44 of 50) of antibiotic –responsive patients had responded to initial treatment with oral doxycycline (100 mg BID) or oral amoxicillin (500 mg TID) for a median of 4 weeks (range 4-8 weeks). </w:t>
            </w:r>
          </w:p>
          <w:p w14:paraId="1428A635" w14:textId="77777777" w:rsidR="002D58E4" w:rsidRDefault="002D58E4">
            <w:pPr>
              <w:rPr>
                <w:sz w:val="20"/>
                <w:szCs w:val="20"/>
              </w:rPr>
            </w:pPr>
          </w:p>
        </w:tc>
        <w:tc>
          <w:tcPr>
            <w:tcW w:w="1417" w:type="dxa"/>
            <w:shd w:val="clear" w:color="auto" w:fill="auto"/>
            <w:tcMar>
              <w:top w:w="61" w:type="dxa"/>
              <w:left w:w="144" w:type="dxa"/>
              <w:bottom w:w="61" w:type="dxa"/>
              <w:right w:w="144" w:type="dxa"/>
            </w:tcMar>
            <w:vAlign w:val="center"/>
          </w:tcPr>
          <w:p w14:paraId="767CEFF4" w14:textId="77777777" w:rsidR="002D58E4" w:rsidRDefault="00F721D4">
            <w:pPr>
              <w:rPr>
                <w:sz w:val="20"/>
                <w:szCs w:val="20"/>
              </w:rPr>
            </w:pPr>
            <w:r>
              <w:rPr>
                <w:sz w:val="20"/>
                <w:szCs w:val="20"/>
              </w:rPr>
              <w:t>IV ceftriaxone (2g/day for ≤4 weeks)</w:t>
            </w:r>
          </w:p>
        </w:tc>
        <w:tc>
          <w:tcPr>
            <w:tcW w:w="5544" w:type="dxa"/>
            <w:tcBorders>
              <w:top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20E6664" w14:textId="77777777" w:rsidR="002D58E4" w:rsidRDefault="00F721D4">
            <w:pPr>
              <w:rPr>
                <w:sz w:val="20"/>
                <w:szCs w:val="20"/>
              </w:rPr>
            </w:pPr>
            <w:r>
              <w:rPr>
                <w:sz w:val="20"/>
                <w:szCs w:val="20"/>
              </w:rPr>
              <w:t xml:space="preserve">12% (6 of 50) of antibiotic-responsive patients had received either initial IV ceftriaxone or, more commonly, IV ceftriaxone following treatment with oral antibiotics. 61% (41 of 67) of antibiotic-refractory patients had received IV treatment, with or without oral therapy. </w:t>
            </w:r>
          </w:p>
          <w:p w14:paraId="6D7AE2D1" w14:textId="77777777" w:rsidR="002D58E4" w:rsidRDefault="002D58E4">
            <w:pPr>
              <w:rPr>
                <w:sz w:val="20"/>
                <w:szCs w:val="20"/>
              </w:rPr>
            </w:pPr>
          </w:p>
          <w:p w14:paraId="1E5C59A0" w14:textId="77777777" w:rsidR="002D58E4" w:rsidRDefault="00F721D4">
            <w:pPr>
              <w:rPr>
                <w:sz w:val="20"/>
                <w:szCs w:val="20"/>
              </w:rPr>
            </w:pPr>
            <w:r>
              <w:rPr>
                <w:sz w:val="20"/>
                <w:szCs w:val="20"/>
              </w:rPr>
              <w:t xml:space="preserve">The authors recommended retreatment with oral antibiotics for 30 days in the event of mild residual swelling after initial oral antibiotic treatment. They recommended IV ceftriaxone as a second line treatment in patients who experienced moderate to severe joint swelling despite a one-month course of oral antibiotics. </w:t>
            </w:r>
          </w:p>
        </w:tc>
      </w:tr>
      <w:tr w:rsidR="002D58E4" w14:paraId="2BC7710F" w14:textId="77777777" w:rsidTr="00171735">
        <w:trPr>
          <w:trHeight w:val="320"/>
        </w:trPr>
        <w:tc>
          <w:tcPr>
            <w:tcW w:w="1020" w:type="dxa"/>
            <w:tcBorders>
              <w:top w:val="single" w:sz="6" w:space="0" w:color="AEAEAE"/>
              <w:left w:val="single" w:sz="6" w:space="0" w:color="AEAEAE"/>
            </w:tcBorders>
            <w:shd w:val="clear" w:color="auto" w:fill="auto"/>
            <w:tcMar>
              <w:top w:w="15" w:type="dxa"/>
              <w:left w:w="30" w:type="dxa"/>
              <w:bottom w:w="0" w:type="dxa"/>
              <w:right w:w="30" w:type="dxa"/>
            </w:tcMar>
            <w:vAlign w:val="center"/>
          </w:tcPr>
          <w:p w14:paraId="53E8A4CA" w14:textId="77777777" w:rsidR="002D58E4" w:rsidRPr="002914A2" w:rsidRDefault="00F721D4">
            <w:pPr>
              <w:rPr>
                <w:sz w:val="20"/>
                <w:szCs w:val="20"/>
                <w:lang w:val="fr-CA"/>
              </w:rPr>
            </w:pPr>
            <w:r w:rsidRPr="002914A2">
              <w:rPr>
                <w:sz w:val="20"/>
                <w:szCs w:val="20"/>
                <w:lang w:val="fr-CA"/>
              </w:rPr>
              <w:t>Glaude, et al., 2015</w:t>
            </w:r>
          </w:p>
          <w:p w14:paraId="1F06BE2A" w14:textId="77777777" w:rsidR="002D58E4" w:rsidRPr="002914A2" w:rsidRDefault="002D58E4">
            <w:pPr>
              <w:rPr>
                <w:sz w:val="20"/>
                <w:szCs w:val="20"/>
                <w:lang w:val="fr-CA"/>
              </w:rPr>
            </w:pPr>
          </w:p>
          <w:p w14:paraId="60BA107F" w14:textId="77777777" w:rsidR="002D58E4" w:rsidRPr="002914A2" w:rsidRDefault="00F721D4">
            <w:pPr>
              <w:rPr>
                <w:sz w:val="20"/>
                <w:szCs w:val="20"/>
                <w:lang w:val="fr-CA"/>
              </w:rPr>
            </w:pPr>
            <w:r w:rsidRPr="002914A2">
              <w:rPr>
                <w:sz w:val="20"/>
                <w:szCs w:val="20"/>
                <w:lang w:val="fr-CA"/>
              </w:rPr>
              <w:t>Nova Scotia, Canada</w:t>
            </w:r>
          </w:p>
        </w:tc>
        <w:tc>
          <w:tcPr>
            <w:tcW w:w="1248" w:type="dxa"/>
            <w:vAlign w:val="center"/>
          </w:tcPr>
          <w:p w14:paraId="5D17BDAA" w14:textId="77777777" w:rsidR="002D58E4" w:rsidRDefault="00F721D4">
            <w:pPr>
              <w:rPr>
                <w:sz w:val="20"/>
                <w:szCs w:val="20"/>
              </w:rPr>
            </w:pPr>
            <w:r>
              <w:rPr>
                <w:sz w:val="20"/>
                <w:szCs w:val="20"/>
              </w:rPr>
              <w:t>Retrospective cohort study</w:t>
            </w:r>
          </w:p>
        </w:tc>
        <w:tc>
          <w:tcPr>
            <w:tcW w:w="810" w:type="dxa"/>
            <w:vAlign w:val="center"/>
          </w:tcPr>
          <w:p w14:paraId="72D40151" w14:textId="77777777" w:rsidR="002D58E4" w:rsidRDefault="00F721D4">
            <w:pPr>
              <w:jc w:val="center"/>
              <w:rPr>
                <w:sz w:val="20"/>
                <w:szCs w:val="20"/>
              </w:rPr>
            </w:pPr>
            <w:r>
              <w:rPr>
                <w:sz w:val="20"/>
                <w:szCs w:val="20"/>
              </w:rPr>
              <w:t>4</w:t>
            </w:r>
          </w:p>
        </w:tc>
        <w:tc>
          <w:tcPr>
            <w:tcW w:w="1530" w:type="dxa"/>
            <w:vAlign w:val="center"/>
          </w:tcPr>
          <w:p w14:paraId="4A43631B" w14:textId="77777777" w:rsidR="002D58E4" w:rsidRDefault="00F721D4">
            <w:pPr>
              <w:rPr>
                <w:sz w:val="20"/>
                <w:szCs w:val="20"/>
              </w:rPr>
            </w:pPr>
            <w:r>
              <w:rPr>
                <w:sz w:val="20"/>
                <w:szCs w:val="20"/>
              </w:rPr>
              <w:t xml:space="preserve">Patients had clinical evidence of Lyme disease and were serologically confirmed by ELISA and positive Western Blot. </w:t>
            </w:r>
          </w:p>
          <w:p w14:paraId="163DE531" w14:textId="77777777" w:rsidR="002D58E4" w:rsidRDefault="002D58E4">
            <w:pPr>
              <w:rPr>
                <w:sz w:val="20"/>
                <w:szCs w:val="20"/>
              </w:rPr>
            </w:pPr>
          </w:p>
          <w:p w14:paraId="5F8E4F3B" w14:textId="77777777" w:rsidR="002D58E4" w:rsidRDefault="00F721D4">
            <w:pPr>
              <w:rPr>
                <w:sz w:val="20"/>
                <w:szCs w:val="20"/>
              </w:rPr>
            </w:pPr>
            <w:r>
              <w:rPr>
                <w:sz w:val="20"/>
                <w:szCs w:val="20"/>
              </w:rPr>
              <w:t>1 patient was serologically negative but had probable Lyme disease (physician-observed rash, tick exposure). All patients were residents of an area endemic for Lyme disease.</w:t>
            </w:r>
          </w:p>
        </w:tc>
        <w:tc>
          <w:tcPr>
            <w:tcW w:w="3189" w:type="dxa"/>
            <w:shd w:val="clear" w:color="auto" w:fill="auto"/>
            <w:tcMar>
              <w:top w:w="15" w:type="dxa"/>
              <w:left w:w="30" w:type="dxa"/>
              <w:bottom w:w="0" w:type="dxa"/>
              <w:right w:w="30" w:type="dxa"/>
            </w:tcMar>
            <w:vAlign w:val="center"/>
          </w:tcPr>
          <w:p w14:paraId="718280BE" w14:textId="77777777" w:rsidR="002D58E4" w:rsidRDefault="00F721D4">
            <w:pPr>
              <w:rPr>
                <w:sz w:val="20"/>
                <w:szCs w:val="20"/>
              </w:rPr>
            </w:pPr>
            <w:r>
              <w:rPr>
                <w:sz w:val="20"/>
                <w:szCs w:val="20"/>
              </w:rPr>
              <w:t>Seventeen pediatric patients (94.1% male; median age 11.5 years, range 2-15 years) with Lyme arthritis were observed. All patients received antibiotic treatment for Lyme arthritis.</w:t>
            </w:r>
          </w:p>
          <w:p w14:paraId="3691F1F5" w14:textId="77777777" w:rsidR="002D58E4" w:rsidRDefault="002D58E4">
            <w:pPr>
              <w:rPr>
                <w:sz w:val="20"/>
                <w:szCs w:val="20"/>
              </w:rPr>
            </w:pPr>
          </w:p>
          <w:p w14:paraId="17FC2470" w14:textId="77777777" w:rsidR="002D58E4" w:rsidRDefault="00F721D4">
            <w:pPr>
              <w:rPr>
                <w:sz w:val="20"/>
                <w:szCs w:val="20"/>
              </w:rPr>
            </w:pPr>
            <w:r>
              <w:rPr>
                <w:sz w:val="20"/>
                <w:szCs w:val="20"/>
              </w:rPr>
              <w:t>10 of 17 (58.8%) of patients presented with mono-articular arthritis, 23.5% (N=4) presented with arthritis affecting 2-4 joints, and 17.6% (N=3) presented with ≥5 joints affected (range 5-13).</w:t>
            </w:r>
          </w:p>
        </w:tc>
        <w:tc>
          <w:tcPr>
            <w:tcW w:w="1417" w:type="dxa"/>
            <w:shd w:val="clear" w:color="auto" w:fill="auto"/>
            <w:tcMar>
              <w:top w:w="61" w:type="dxa"/>
              <w:left w:w="144" w:type="dxa"/>
              <w:bottom w:w="61" w:type="dxa"/>
              <w:right w:w="144" w:type="dxa"/>
            </w:tcMar>
            <w:vAlign w:val="center"/>
          </w:tcPr>
          <w:p w14:paraId="3F0EADC3" w14:textId="77777777" w:rsidR="002D58E4" w:rsidRDefault="00F721D4">
            <w:pPr>
              <w:rPr>
                <w:sz w:val="20"/>
                <w:szCs w:val="20"/>
              </w:rPr>
            </w:pPr>
            <w:r>
              <w:rPr>
                <w:sz w:val="20"/>
                <w:szCs w:val="20"/>
              </w:rPr>
              <w:t>14 of 17 (82.4%) received initial oral antibiotics</w:t>
            </w:r>
          </w:p>
          <w:p w14:paraId="312CD9D9" w14:textId="77777777" w:rsidR="002D58E4" w:rsidRDefault="002D58E4">
            <w:pPr>
              <w:rPr>
                <w:sz w:val="20"/>
                <w:szCs w:val="20"/>
              </w:rPr>
            </w:pPr>
          </w:p>
          <w:p w14:paraId="20AE22AA" w14:textId="77777777" w:rsidR="002D58E4" w:rsidRDefault="00F721D4">
            <w:pPr>
              <w:rPr>
                <w:sz w:val="20"/>
                <w:szCs w:val="20"/>
              </w:rPr>
            </w:pPr>
            <w:r>
              <w:rPr>
                <w:sz w:val="20"/>
                <w:szCs w:val="20"/>
              </w:rPr>
              <w:t>3 of 17 (17.6%) received initial IV ceftriaxone, all of whom were experiencing concurrent neurologic symptoms.</w:t>
            </w:r>
          </w:p>
        </w:tc>
        <w:tc>
          <w:tcPr>
            <w:tcW w:w="5544" w:type="dxa"/>
            <w:tcBorders>
              <w:top w:val="single" w:sz="6" w:space="0" w:color="AEAEAE"/>
              <w:right w:val="single" w:sz="6" w:space="0" w:color="AEAEAE"/>
            </w:tcBorders>
            <w:shd w:val="clear" w:color="auto" w:fill="auto"/>
            <w:tcMar>
              <w:top w:w="61" w:type="dxa"/>
              <w:left w:w="144" w:type="dxa"/>
              <w:bottom w:w="61" w:type="dxa"/>
              <w:right w:w="144" w:type="dxa"/>
            </w:tcMar>
            <w:vAlign w:val="center"/>
          </w:tcPr>
          <w:p w14:paraId="53749C83" w14:textId="77777777" w:rsidR="002D58E4" w:rsidRDefault="00F721D4">
            <w:pPr>
              <w:rPr>
                <w:sz w:val="20"/>
                <w:szCs w:val="20"/>
              </w:rPr>
            </w:pPr>
            <w:r>
              <w:rPr>
                <w:sz w:val="20"/>
                <w:szCs w:val="20"/>
                <w:u w:val="single"/>
              </w:rPr>
              <w:t>Arthritis resolved in 10 patients after a single course of antibiotics</w:t>
            </w:r>
            <w:r>
              <w:rPr>
                <w:sz w:val="20"/>
                <w:szCs w:val="20"/>
              </w:rPr>
              <w:t>. Seven patients received a second course of 14-28 days of antibiotics. Three patients received a third course of antibiotics for continued joint effusion or pain.</w:t>
            </w:r>
          </w:p>
          <w:p w14:paraId="3BA535BE" w14:textId="77777777" w:rsidR="002D58E4" w:rsidRDefault="002D58E4">
            <w:pPr>
              <w:rPr>
                <w:sz w:val="20"/>
                <w:szCs w:val="20"/>
              </w:rPr>
            </w:pPr>
          </w:p>
          <w:p w14:paraId="4C0B7FEE" w14:textId="77777777" w:rsidR="002D58E4" w:rsidRDefault="00F721D4">
            <w:pPr>
              <w:rPr>
                <w:sz w:val="20"/>
                <w:szCs w:val="20"/>
                <w:u w:val="single"/>
              </w:rPr>
            </w:pPr>
            <w:r>
              <w:rPr>
                <w:sz w:val="20"/>
                <w:szCs w:val="20"/>
              </w:rPr>
              <w:t xml:space="preserve">Patients were followed for a median of six months (1- 53 months) after initiation of antibiotic therapy. </w:t>
            </w:r>
            <w:r>
              <w:rPr>
                <w:sz w:val="20"/>
                <w:szCs w:val="20"/>
                <w:u w:val="single"/>
              </w:rPr>
              <w:t xml:space="preserve">At the last follow-up, 15 patients (88.2%) had complete resolution of Lyme arthritis. </w:t>
            </w:r>
          </w:p>
          <w:p w14:paraId="7037B95B" w14:textId="77777777" w:rsidR="002D58E4" w:rsidRDefault="002D58E4">
            <w:pPr>
              <w:rPr>
                <w:sz w:val="20"/>
                <w:szCs w:val="20"/>
              </w:rPr>
            </w:pPr>
          </w:p>
          <w:p w14:paraId="24CEC77B" w14:textId="77777777" w:rsidR="002D58E4" w:rsidRDefault="00F721D4">
            <w:pPr>
              <w:rPr>
                <w:sz w:val="20"/>
                <w:szCs w:val="20"/>
              </w:rPr>
            </w:pPr>
            <w:r>
              <w:rPr>
                <w:sz w:val="20"/>
                <w:szCs w:val="20"/>
              </w:rPr>
              <w:t>Two patients experienced antibiotic-refractory arthritis with persistent synovitis and functional limitations. One of these two patients showed evidence of joint damage despite intra-articular steroid injection and synthetic and biologic DMARDs.</w:t>
            </w:r>
          </w:p>
        </w:tc>
      </w:tr>
    </w:tbl>
    <w:p w14:paraId="1D4908D8" w14:textId="77777777" w:rsidR="002D58E4" w:rsidRDefault="00F721D4" w:rsidP="00171735">
      <w:pPr>
        <w:ind w:right="-3980"/>
        <w:rPr>
          <w:sz w:val="20"/>
          <w:szCs w:val="20"/>
        </w:rPr>
      </w:pPr>
      <w:r>
        <w:rPr>
          <w:sz w:val="20"/>
          <w:szCs w:val="20"/>
        </w:rPr>
        <w:t>* Risk of Bias of Observational Data was rated on a scale from 0 (worst) to 9 (best) using the Newcastle-Ottawa Quality Assessment Scale for Observational Studies.</w:t>
      </w:r>
    </w:p>
    <w:p w14:paraId="15E50962" w14:textId="77777777" w:rsidR="002D58E4" w:rsidRDefault="00F721D4">
      <w:r>
        <w:br w:type="page"/>
      </w:r>
    </w:p>
    <w:p w14:paraId="0EA5AFF3" w14:textId="5DBF0114" w:rsidR="002D58E4" w:rsidRDefault="00445E97">
      <w:pPr>
        <w:rPr>
          <w:b/>
        </w:rPr>
      </w:pPr>
      <w:r>
        <w:rPr>
          <w:b/>
          <w:sz w:val="32"/>
          <w:szCs w:val="32"/>
        </w:rPr>
        <w:t>XXIV</w:t>
      </w:r>
      <w:r w:rsidR="00F721D4">
        <w:rPr>
          <w:b/>
          <w:sz w:val="32"/>
          <w:szCs w:val="32"/>
        </w:rPr>
        <w:t>. How should post-antibiotic (previously termed antibiotic-refractory) Lyme arthritis be treated?</w:t>
      </w:r>
    </w:p>
    <w:p w14:paraId="055BAB5D" w14:textId="77777777" w:rsidR="002D58E4" w:rsidRDefault="00F721D4">
      <w:pPr>
        <w:rPr>
          <w:b/>
          <w:sz w:val="32"/>
          <w:szCs w:val="32"/>
        </w:rPr>
      </w:pPr>
      <w:r>
        <w:rPr>
          <w:b/>
          <w:color w:val="000000"/>
          <w:sz w:val="18"/>
          <w:szCs w:val="18"/>
        </w:rPr>
        <w:t>Bibliography</w:t>
      </w:r>
      <w:r>
        <w:rPr>
          <w:color w:val="000000"/>
          <w:sz w:val="18"/>
          <w:szCs w:val="18"/>
        </w:rPr>
        <w:t>: 1. Schoen, et al. Arthritis Rheum. 1991 Aug; 34(8): 1056-60; 2. Steere and Angelis, Arthritis Rheum. 2006 Oct; 54(10): 3079-86; 3. Tory, et al. J Rheumatol. 2010 May; 37(5): 1049-55; 4. Nimmrich, et al. Rheumatol Int. 2014 Jul; 34(7): 987-94.</w:t>
      </w:r>
    </w:p>
    <w:tbl>
      <w:tblPr>
        <w:tblStyle w:val="afff6"/>
        <w:tblW w:w="14751" w:type="dxa"/>
        <w:tblLayout w:type="fixed"/>
        <w:tblLook w:val="0600" w:firstRow="0" w:lastRow="0" w:firstColumn="0" w:lastColumn="0" w:noHBand="1" w:noVBand="1"/>
      </w:tblPr>
      <w:tblGrid>
        <w:gridCol w:w="840"/>
        <w:gridCol w:w="1080"/>
        <w:gridCol w:w="630"/>
        <w:gridCol w:w="2160"/>
        <w:gridCol w:w="2512"/>
        <w:gridCol w:w="2700"/>
        <w:gridCol w:w="4829"/>
      </w:tblGrid>
      <w:tr w:rsidR="002D58E4" w14:paraId="21D3043B" w14:textId="77777777">
        <w:trPr>
          <w:trHeight w:val="500"/>
        </w:trPr>
        <w:tc>
          <w:tcPr>
            <w:tcW w:w="84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28C9B719" w14:textId="77777777" w:rsidR="002D58E4" w:rsidRDefault="00F721D4">
            <w:pPr>
              <w:jc w:val="center"/>
              <w:rPr>
                <w:sz w:val="20"/>
                <w:szCs w:val="20"/>
              </w:rPr>
            </w:pPr>
            <w:r>
              <w:rPr>
                <w:b/>
                <w:color w:val="000000"/>
                <w:sz w:val="20"/>
                <w:szCs w:val="20"/>
              </w:rPr>
              <w:t>Study, Location</w:t>
            </w:r>
          </w:p>
        </w:tc>
        <w:tc>
          <w:tcPr>
            <w:tcW w:w="1080" w:type="dxa"/>
            <w:tcBorders>
              <w:top w:val="single" w:sz="6" w:space="0" w:color="AEAEAE"/>
              <w:left w:val="single" w:sz="6" w:space="0" w:color="AEAEAE"/>
              <w:bottom w:val="single" w:sz="6" w:space="0" w:color="AEAEAE"/>
              <w:right w:val="single" w:sz="6" w:space="0" w:color="AEAEAE"/>
            </w:tcBorders>
            <w:shd w:val="clear" w:color="auto" w:fill="D9D9D9"/>
          </w:tcPr>
          <w:p w14:paraId="5D820948"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60AAE8C5" w14:textId="77777777" w:rsidR="002D58E4" w:rsidRDefault="00F721D4">
            <w:pPr>
              <w:jc w:val="center"/>
              <w:rPr>
                <w:b/>
                <w:color w:val="000000"/>
                <w:sz w:val="20"/>
                <w:szCs w:val="20"/>
              </w:rPr>
            </w:pPr>
            <w:r>
              <w:rPr>
                <w:b/>
                <w:color w:val="000000"/>
                <w:sz w:val="20"/>
                <w:szCs w:val="20"/>
              </w:rPr>
              <w:t>Risk of bias*</w:t>
            </w:r>
          </w:p>
        </w:tc>
        <w:tc>
          <w:tcPr>
            <w:tcW w:w="2160" w:type="dxa"/>
            <w:tcBorders>
              <w:top w:val="single" w:sz="6" w:space="0" w:color="AEAEAE"/>
              <w:left w:val="single" w:sz="6" w:space="0" w:color="AEAEAE"/>
              <w:bottom w:val="single" w:sz="6" w:space="0" w:color="AEAEAE"/>
              <w:right w:val="single" w:sz="6" w:space="0" w:color="AEAEAE"/>
            </w:tcBorders>
            <w:shd w:val="clear" w:color="auto" w:fill="D9D9D9"/>
          </w:tcPr>
          <w:p w14:paraId="17B0B0B3" w14:textId="77777777" w:rsidR="002D58E4" w:rsidRDefault="00F721D4">
            <w:pPr>
              <w:jc w:val="center"/>
              <w:rPr>
                <w:b/>
                <w:color w:val="000000"/>
                <w:sz w:val="20"/>
                <w:szCs w:val="20"/>
              </w:rPr>
            </w:pPr>
            <w:r>
              <w:rPr>
                <w:b/>
                <w:color w:val="000000"/>
                <w:sz w:val="20"/>
                <w:szCs w:val="20"/>
              </w:rPr>
              <w:t>Diagnosis method</w:t>
            </w:r>
          </w:p>
        </w:tc>
        <w:tc>
          <w:tcPr>
            <w:tcW w:w="2512"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7077826A" w14:textId="77777777" w:rsidR="002D58E4" w:rsidRDefault="00F721D4">
            <w:pPr>
              <w:jc w:val="center"/>
              <w:rPr>
                <w:sz w:val="20"/>
                <w:szCs w:val="20"/>
              </w:rPr>
            </w:pPr>
            <w:r>
              <w:rPr>
                <w:b/>
                <w:color w:val="000000"/>
                <w:sz w:val="20"/>
                <w:szCs w:val="20"/>
              </w:rPr>
              <w:t>Population characteristics</w:t>
            </w:r>
          </w:p>
        </w:tc>
        <w:tc>
          <w:tcPr>
            <w:tcW w:w="270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3D30FF9" w14:textId="77777777" w:rsidR="002D58E4" w:rsidRDefault="00F721D4">
            <w:pPr>
              <w:jc w:val="center"/>
              <w:rPr>
                <w:b/>
                <w:sz w:val="20"/>
                <w:szCs w:val="20"/>
              </w:rPr>
            </w:pPr>
            <w:r>
              <w:rPr>
                <w:b/>
                <w:sz w:val="20"/>
                <w:szCs w:val="20"/>
              </w:rPr>
              <w:t>Initial Antibiotic regimen(s) and %Antibiotic Refractory</w:t>
            </w:r>
          </w:p>
        </w:tc>
        <w:tc>
          <w:tcPr>
            <w:tcW w:w="482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431899D9" w14:textId="77777777" w:rsidR="002D58E4" w:rsidRDefault="00F721D4">
            <w:pPr>
              <w:jc w:val="center"/>
              <w:rPr>
                <w:sz w:val="20"/>
                <w:szCs w:val="20"/>
              </w:rPr>
            </w:pPr>
            <w:r>
              <w:rPr>
                <w:b/>
                <w:color w:val="000000"/>
                <w:sz w:val="20"/>
                <w:szCs w:val="20"/>
              </w:rPr>
              <w:t>Outcome</w:t>
            </w:r>
          </w:p>
        </w:tc>
      </w:tr>
      <w:tr w:rsidR="002D58E4" w14:paraId="18ABFFA1" w14:textId="77777777">
        <w:trPr>
          <w:trHeight w:val="148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7562293" w14:textId="77777777" w:rsidR="002D58E4" w:rsidRDefault="00F721D4">
            <w:pPr>
              <w:rPr>
                <w:sz w:val="20"/>
                <w:szCs w:val="20"/>
              </w:rPr>
            </w:pPr>
            <w:r>
              <w:rPr>
                <w:sz w:val="20"/>
                <w:szCs w:val="20"/>
              </w:rPr>
              <w:t>Schoen, 1991</w:t>
            </w:r>
          </w:p>
          <w:p w14:paraId="7E7944C1" w14:textId="77777777" w:rsidR="002D58E4" w:rsidRDefault="002D58E4">
            <w:pPr>
              <w:rPr>
                <w:sz w:val="20"/>
                <w:szCs w:val="20"/>
              </w:rPr>
            </w:pPr>
          </w:p>
          <w:p w14:paraId="0D4F9AC6" w14:textId="77777777" w:rsidR="002D58E4" w:rsidRDefault="002D58E4">
            <w:pPr>
              <w:rPr>
                <w:sz w:val="20"/>
                <w:szCs w:val="20"/>
              </w:rPr>
            </w:pPr>
          </w:p>
          <w:p w14:paraId="41F15EBE" w14:textId="77777777" w:rsidR="002D58E4" w:rsidRDefault="00F721D4">
            <w:pPr>
              <w:rPr>
                <w:sz w:val="20"/>
                <w:szCs w:val="20"/>
              </w:rPr>
            </w:pPr>
            <w:r>
              <w:rPr>
                <w:sz w:val="20"/>
                <w:szCs w:val="20"/>
              </w:rPr>
              <w:t>New Haven, CT</w:t>
            </w:r>
          </w:p>
        </w:tc>
        <w:tc>
          <w:tcPr>
            <w:tcW w:w="1080" w:type="dxa"/>
            <w:tcBorders>
              <w:top w:val="single" w:sz="6" w:space="0" w:color="AEAEAE"/>
              <w:left w:val="single" w:sz="6" w:space="0" w:color="AEAEAE"/>
              <w:bottom w:val="single" w:sz="6" w:space="0" w:color="AEAEAE"/>
              <w:right w:val="single" w:sz="6" w:space="0" w:color="AEAEAE"/>
            </w:tcBorders>
            <w:vAlign w:val="center"/>
          </w:tcPr>
          <w:p w14:paraId="63CC7D6E"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6F4E012" w14:textId="77777777" w:rsidR="002D58E4" w:rsidRDefault="00F721D4">
            <w:pPr>
              <w:jc w:val="center"/>
              <w:rPr>
                <w:sz w:val="20"/>
                <w:szCs w:val="20"/>
              </w:rPr>
            </w:pPr>
            <w:r>
              <w:rPr>
                <w:sz w:val="20"/>
                <w:szCs w:val="20"/>
              </w:rPr>
              <w:t>5</w:t>
            </w:r>
          </w:p>
        </w:tc>
        <w:tc>
          <w:tcPr>
            <w:tcW w:w="2160" w:type="dxa"/>
            <w:tcBorders>
              <w:top w:val="single" w:sz="6" w:space="0" w:color="AEAEAE"/>
              <w:left w:val="single" w:sz="6" w:space="0" w:color="AEAEAE"/>
              <w:bottom w:val="single" w:sz="6" w:space="0" w:color="AEAEAE"/>
              <w:right w:val="single" w:sz="6" w:space="0" w:color="AEAEAE"/>
            </w:tcBorders>
            <w:vAlign w:val="center"/>
          </w:tcPr>
          <w:p w14:paraId="6B44D6B9" w14:textId="77777777" w:rsidR="002D58E4" w:rsidRDefault="00F721D4">
            <w:pPr>
              <w:rPr>
                <w:sz w:val="20"/>
                <w:szCs w:val="20"/>
              </w:rPr>
            </w:pPr>
            <w:r>
              <w:rPr>
                <w:sz w:val="20"/>
                <w:szCs w:val="20"/>
              </w:rPr>
              <w:t xml:space="preserve">Patients were serologically confirmed by ELISA. </w:t>
            </w:r>
          </w:p>
        </w:tc>
        <w:tc>
          <w:tcPr>
            <w:tcW w:w="251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AEE5C49" w14:textId="77777777" w:rsidR="002D58E4" w:rsidRDefault="00F721D4">
            <w:pPr>
              <w:rPr>
                <w:sz w:val="20"/>
                <w:szCs w:val="20"/>
              </w:rPr>
            </w:pPr>
            <w:r>
              <w:rPr>
                <w:sz w:val="20"/>
                <w:szCs w:val="20"/>
              </w:rPr>
              <w:t xml:space="preserve">20 patients with chronic, antibiotic-refractory Lyme arthritis (defined as continual joint pain and swelling in 1 or more joints for at least 1 year, preceded by brief attacks of oligoarticular arthritis and accompanied by an elevated IgG antibody response to </w:t>
            </w:r>
            <w:r>
              <w:rPr>
                <w:i/>
                <w:sz w:val="20"/>
                <w:szCs w:val="20"/>
              </w:rPr>
              <w:t>B. burgdorferi</w:t>
            </w:r>
            <w:r>
              <w:rPr>
                <w:sz w:val="20"/>
                <w:szCs w:val="20"/>
              </w:rPr>
              <w:t xml:space="preserve">) living in a Lyme endemic area who received synovectomy.  The median duration of arthritis symptoms prior to synovectomy was 38 months (range 5-84).  </w:t>
            </w:r>
          </w:p>
        </w:tc>
        <w:tc>
          <w:tcPr>
            <w:tcW w:w="270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55737B5" w14:textId="77777777" w:rsidR="002D58E4" w:rsidRDefault="00F721D4">
            <w:pPr>
              <w:rPr>
                <w:sz w:val="20"/>
                <w:szCs w:val="20"/>
              </w:rPr>
            </w:pPr>
            <w:r>
              <w:rPr>
                <w:sz w:val="20"/>
                <w:szCs w:val="20"/>
              </w:rPr>
              <w:t>65% (13 of 20) of patients had received oral tetracyclines or penicillin, and 65% (13 of 20) of patients had received IV penicillin or ceftriaxone (either alone or in addition to oral antibiotics) during the course of their arthritis. 75% of patients (15 of 20) had received NSAIDS, and 50% had received intra-articular corticosteroids. The median time from completion of antibiotic therapy to surgery was 5 months (range 0-36).</w:t>
            </w:r>
          </w:p>
        </w:tc>
        <w:tc>
          <w:tcPr>
            <w:tcW w:w="482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E00F6C3" w14:textId="77777777" w:rsidR="002D58E4" w:rsidRDefault="00F721D4">
            <w:pPr>
              <w:rPr>
                <w:sz w:val="20"/>
                <w:szCs w:val="20"/>
              </w:rPr>
            </w:pPr>
            <w:r>
              <w:rPr>
                <w:sz w:val="20"/>
                <w:szCs w:val="20"/>
              </w:rPr>
              <w:t>65% (13 of 20) of patients had complete resolution of joint inflammation within 1 month after synovectomy. At follow-up assessment 2-3 years later, all of these patients had normal findings on joint examination, or only minimal decreases in joint range of motion.</w:t>
            </w:r>
          </w:p>
          <w:p w14:paraId="36079924" w14:textId="77777777" w:rsidR="002D58E4" w:rsidRDefault="002D58E4">
            <w:pPr>
              <w:rPr>
                <w:sz w:val="20"/>
                <w:szCs w:val="20"/>
              </w:rPr>
            </w:pPr>
          </w:p>
          <w:p w14:paraId="5C8ACF1F" w14:textId="77777777" w:rsidR="002D58E4" w:rsidRDefault="00F721D4">
            <w:pPr>
              <w:rPr>
                <w:sz w:val="20"/>
                <w:szCs w:val="20"/>
              </w:rPr>
            </w:pPr>
            <w:r>
              <w:rPr>
                <w:sz w:val="20"/>
                <w:szCs w:val="20"/>
              </w:rPr>
              <w:t>15% (3 of 20) of patients experienced reduction in inflammation within one month, but were more functionally disabled after their operation due to muscular atrophy or due to meniscal or ligament tears.</w:t>
            </w:r>
          </w:p>
          <w:p w14:paraId="5438B852" w14:textId="77777777" w:rsidR="002D58E4" w:rsidRDefault="002D58E4">
            <w:pPr>
              <w:rPr>
                <w:sz w:val="20"/>
                <w:szCs w:val="20"/>
              </w:rPr>
            </w:pPr>
          </w:p>
          <w:p w14:paraId="1F03F663" w14:textId="77777777" w:rsidR="002D58E4" w:rsidRDefault="00F721D4">
            <w:pPr>
              <w:rPr>
                <w:sz w:val="20"/>
                <w:szCs w:val="20"/>
              </w:rPr>
            </w:pPr>
            <w:r>
              <w:rPr>
                <w:sz w:val="20"/>
                <w:szCs w:val="20"/>
              </w:rPr>
              <w:t>20% (4 of 20) of patients experienced persistent or recurrent synovitis despite synovectomy.  None of the 20 patients subsequently experienced extra-articular manifestations of Lyme disease.</w:t>
            </w:r>
          </w:p>
          <w:p w14:paraId="760FEA36" w14:textId="77777777" w:rsidR="002D58E4" w:rsidRDefault="002D58E4">
            <w:pPr>
              <w:rPr>
                <w:sz w:val="20"/>
                <w:szCs w:val="20"/>
              </w:rPr>
            </w:pPr>
          </w:p>
          <w:p w14:paraId="5B9906F0" w14:textId="77777777" w:rsidR="002D58E4" w:rsidRDefault="00F721D4">
            <w:pPr>
              <w:rPr>
                <w:sz w:val="20"/>
                <w:szCs w:val="20"/>
              </w:rPr>
            </w:pPr>
            <w:r>
              <w:rPr>
                <w:sz w:val="20"/>
                <w:szCs w:val="20"/>
              </w:rPr>
              <w:t xml:space="preserve">The authors concluded that synovectomy is an effective treatment for chronic, antibiotic-refractory Lyme arthritis. </w:t>
            </w:r>
          </w:p>
        </w:tc>
      </w:tr>
      <w:tr w:rsidR="002D58E4" w14:paraId="149734E1" w14:textId="77777777">
        <w:trPr>
          <w:trHeight w:val="80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97A802F" w14:textId="77777777" w:rsidR="002D58E4" w:rsidRDefault="00F721D4">
            <w:pPr>
              <w:rPr>
                <w:sz w:val="20"/>
                <w:szCs w:val="20"/>
              </w:rPr>
            </w:pPr>
            <w:r>
              <w:rPr>
                <w:sz w:val="20"/>
                <w:szCs w:val="20"/>
              </w:rPr>
              <w:t>Steere, 2006</w:t>
            </w:r>
          </w:p>
          <w:p w14:paraId="0B944380" w14:textId="77777777" w:rsidR="002D58E4" w:rsidRDefault="002D58E4">
            <w:pPr>
              <w:rPr>
                <w:sz w:val="20"/>
                <w:szCs w:val="20"/>
              </w:rPr>
            </w:pPr>
          </w:p>
          <w:p w14:paraId="51EE305C" w14:textId="77777777" w:rsidR="002D58E4" w:rsidRDefault="002D58E4">
            <w:pPr>
              <w:rPr>
                <w:sz w:val="20"/>
                <w:szCs w:val="20"/>
              </w:rPr>
            </w:pPr>
          </w:p>
          <w:p w14:paraId="39C20F5E" w14:textId="77777777" w:rsidR="002D58E4" w:rsidRDefault="00F721D4">
            <w:pPr>
              <w:rPr>
                <w:sz w:val="20"/>
                <w:szCs w:val="20"/>
              </w:rPr>
            </w:pPr>
            <w:r>
              <w:rPr>
                <w:sz w:val="20"/>
                <w:szCs w:val="20"/>
              </w:rPr>
              <w:t>Boston, MA</w:t>
            </w:r>
          </w:p>
          <w:p w14:paraId="64D449BC" w14:textId="77777777" w:rsidR="002D58E4" w:rsidRDefault="002D58E4">
            <w:pPr>
              <w:rPr>
                <w:sz w:val="20"/>
                <w:szCs w:val="20"/>
              </w:rPr>
            </w:pPr>
          </w:p>
        </w:tc>
        <w:tc>
          <w:tcPr>
            <w:tcW w:w="1080" w:type="dxa"/>
            <w:tcBorders>
              <w:top w:val="single" w:sz="6" w:space="0" w:color="AEAEAE"/>
              <w:left w:val="single" w:sz="6" w:space="0" w:color="AEAEAE"/>
              <w:bottom w:val="single" w:sz="6" w:space="0" w:color="AEAEAE"/>
              <w:right w:val="single" w:sz="6" w:space="0" w:color="AEAEAE"/>
            </w:tcBorders>
            <w:vAlign w:val="center"/>
          </w:tcPr>
          <w:p w14:paraId="3F1DA12A" w14:textId="77777777" w:rsidR="002D58E4" w:rsidRDefault="00F721D4">
            <w:pPr>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EBCA95D" w14:textId="77777777" w:rsidR="002D58E4" w:rsidRDefault="00F721D4">
            <w:pPr>
              <w:jc w:val="center"/>
              <w:rPr>
                <w:sz w:val="20"/>
                <w:szCs w:val="20"/>
              </w:rPr>
            </w:pPr>
            <w:r>
              <w:rPr>
                <w:sz w:val="20"/>
                <w:szCs w:val="20"/>
              </w:rPr>
              <w:t>7</w:t>
            </w:r>
          </w:p>
        </w:tc>
        <w:tc>
          <w:tcPr>
            <w:tcW w:w="2160" w:type="dxa"/>
            <w:tcBorders>
              <w:top w:val="single" w:sz="6" w:space="0" w:color="AEAEAE"/>
              <w:left w:val="single" w:sz="6" w:space="0" w:color="AEAEAE"/>
              <w:bottom w:val="single" w:sz="6" w:space="0" w:color="AEAEAE"/>
              <w:right w:val="single" w:sz="6" w:space="0" w:color="AEAEAE"/>
            </w:tcBorders>
            <w:vAlign w:val="center"/>
          </w:tcPr>
          <w:p w14:paraId="56BA3E35" w14:textId="77777777" w:rsidR="002D58E4" w:rsidRDefault="00F721D4">
            <w:pPr>
              <w:rPr>
                <w:sz w:val="20"/>
                <w:szCs w:val="20"/>
              </w:rPr>
            </w:pPr>
            <w:r>
              <w:rPr>
                <w:sz w:val="20"/>
                <w:szCs w:val="20"/>
              </w:rPr>
              <w:t xml:space="preserve">Patients were serologically confirmed by ELISA and positive Western Blot. In case of joint puncture, presence of </w:t>
            </w:r>
            <w:r>
              <w:rPr>
                <w:i/>
                <w:sz w:val="20"/>
                <w:szCs w:val="20"/>
              </w:rPr>
              <w:t>Borrelia</w:t>
            </w:r>
            <w:r>
              <w:rPr>
                <w:sz w:val="20"/>
                <w:szCs w:val="20"/>
              </w:rPr>
              <w:t xml:space="preserve"> DNA was assessed by PCR. </w:t>
            </w:r>
          </w:p>
        </w:tc>
        <w:tc>
          <w:tcPr>
            <w:tcW w:w="251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1F166F9" w14:textId="77777777" w:rsidR="002D58E4" w:rsidRDefault="00F721D4">
            <w:pPr>
              <w:rPr>
                <w:sz w:val="20"/>
                <w:szCs w:val="20"/>
              </w:rPr>
            </w:pPr>
            <w:r>
              <w:rPr>
                <w:sz w:val="20"/>
                <w:szCs w:val="20"/>
              </w:rPr>
              <w:t xml:space="preserve">117 patients with monarticular or oligoarticular arthritis. </w:t>
            </w:r>
            <w:r>
              <w:t xml:space="preserve"> </w:t>
            </w:r>
            <w:r>
              <w:rPr>
                <w:sz w:val="20"/>
                <w:szCs w:val="20"/>
              </w:rPr>
              <w:t>Fifty</w:t>
            </w:r>
          </w:p>
          <w:p w14:paraId="650831A0" w14:textId="77777777" w:rsidR="002D58E4" w:rsidRDefault="00F721D4">
            <w:pPr>
              <w:rPr>
                <w:sz w:val="20"/>
                <w:szCs w:val="20"/>
              </w:rPr>
            </w:pPr>
            <w:r>
              <w:rPr>
                <w:sz w:val="20"/>
                <w:szCs w:val="20"/>
              </w:rPr>
              <w:t>patients had antibiotic-responsive arthritis (arthritis resolved after ≤4 weeks of IV antibiotic or ≤8 weeks of oral antibiotics), and 67 patients had antibiotic-refractory arthritis (persistent joint swelling for 3 months after ≥ 4 weeks of IV antibiotic or ≥8 weeks of oral antibiotic, or both).</w:t>
            </w:r>
          </w:p>
        </w:tc>
        <w:tc>
          <w:tcPr>
            <w:tcW w:w="2700"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664B8CC" w14:textId="77777777" w:rsidR="002D58E4" w:rsidRDefault="00F721D4">
            <w:pPr>
              <w:rPr>
                <w:sz w:val="20"/>
                <w:szCs w:val="20"/>
              </w:rPr>
            </w:pPr>
            <w:r>
              <w:rPr>
                <w:sz w:val="20"/>
                <w:szCs w:val="20"/>
              </w:rPr>
              <w:t xml:space="preserve">57.2% (67 of 117) of patients were antibiotic refractory. </w:t>
            </w:r>
          </w:p>
          <w:p w14:paraId="61120C46" w14:textId="77777777" w:rsidR="002D58E4" w:rsidRDefault="002D58E4">
            <w:pPr>
              <w:rPr>
                <w:sz w:val="20"/>
                <w:szCs w:val="20"/>
              </w:rPr>
            </w:pPr>
          </w:p>
          <w:p w14:paraId="0C6DD30B" w14:textId="77777777" w:rsidR="002D58E4" w:rsidRDefault="00F721D4">
            <w:pPr>
              <w:rPr>
                <w:sz w:val="20"/>
                <w:szCs w:val="20"/>
              </w:rPr>
            </w:pPr>
            <w:r>
              <w:rPr>
                <w:sz w:val="20"/>
                <w:szCs w:val="20"/>
              </w:rPr>
              <w:t xml:space="preserve">39% (26 of 67) of antibiotic-refractory patients had received either oral doxycycline (100 mg BID) or amoxicillin (500 mg TID) alone. 61% (41 of 67) of antibiotic-refractory patients had received oral doxycycline or amoxicillin followed by IV ceftriaxone (2 g/day) </w:t>
            </w:r>
            <w:r>
              <w:rPr>
                <w:sz w:val="20"/>
                <w:szCs w:val="20"/>
                <w:u w:val="single"/>
              </w:rPr>
              <w:t>or</w:t>
            </w:r>
            <w:r>
              <w:rPr>
                <w:sz w:val="20"/>
                <w:szCs w:val="20"/>
              </w:rPr>
              <w:t xml:space="preserve"> had received IV antibiotics alone. </w:t>
            </w:r>
          </w:p>
        </w:tc>
        <w:tc>
          <w:tcPr>
            <w:tcW w:w="4829"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6C45F8E7" w14:textId="77777777" w:rsidR="002D58E4" w:rsidRDefault="00F721D4">
            <w:pPr>
              <w:rPr>
                <w:sz w:val="20"/>
                <w:szCs w:val="20"/>
              </w:rPr>
            </w:pPr>
            <w:r>
              <w:rPr>
                <w:sz w:val="20"/>
                <w:szCs w:val="20"/>
              </w:rPr>
              <w:t xml:space="preserve"> 62 of 67 antibiotic-refractory patients were evaluable at study follow-up. 72.6% (45 of 62) of these patients responded to post-antibiotic treatment with </w:t>
            </w:r>
            <w:r>
              <w:rPr>
                <w:b/>
                <w:sz w:val="20"/>
                <w:szCs w:val="20"/>
              </w:rPr>
              <w:t>NSAIDs, with or without IA corticosteroids (IACS)</w:t>
            </w:r>
            <w:r>
              <w:rPr>
                <w:sz w:val="20"/>
                <w:szCs w:val="20"/>
              </w:rPr>
              <w:t xml:space="preserve">. </w:t>
            </w:r>
          </w:p>
          <w:p w14:paraId="536AA0B1" w14:textId="77777777" w:rsidR="002D58E4" w:rsidRDefault="002D58E4">
            <w:pPr>
              <w:rPr>
                <w:sz w:val="20"/>
                <w:szCs w:val="20"/>
              </w:rPr>
            </w:pPr>
          </w:p>
          <w:p w14:paraId="3CA379FF" w14:textId="77777777" w:rsidR="002D58E4" w:rsidRDefault="00F721D4">
            <w:pPr>
              <w:rPr>
                <w:sz w:val="20"/>
                <w:szCs w:val="20"/>
              </w:rPr>
            </w:pPr>
            <w:r>
              <w:rPr>
                <w:sz w:val="20"/>
                <w:szCs w:val="20"/>
              </w:rPr>
              <w:t xml:space="preserve">Of the 27.4% of patients who failed treatment with NSAIDs/IACS, 70.6 % (12 of 17) received a </w:t>
            </w:r>
            <w:r>
              <w:rPr>
                <w:b/>
                <w:sz w:val="20"/>
                <w:szCs w:val="20"/>
              </w:rPr>
              <w:t>synovectomy</w:t>
            </w:r>
            <w:r>
              <w:rPr>
                <w:sz w:val="20"/>
                <w:szCs w:val="20"/>
              </w:rPr>
              <w:t xml:space="preserve"> immediately after this treatment failure. The other 5 patients received </w:t>
            </w:r>
            <w:r>
              <w:rPr>
                <w:b/>
                <w:sz w:val="20"/>
                <w:szCs w:val="20"/>
              </w:rPr>
              <w:t>DMARDs</w:t>
            </w:r>
            <w:r>
              <w:rPr>
                <w:sz w:val="20"/>
                <w:szCs w:val="20"/>
              </w:rPr>
              <w:t xml:space="preserve">. 2 patients who experienced treatment failure post-synovectomy went on to receive DMARDs as well. </w:t>
            </w:r>
          </w:p>
          <w:p w14:paraId="668C015A" w14:textId="77777777" w:rsidR="002D58E4" w:rsidRDefault="002D58E4">
            <w:pPr>
              <w:rPr>
                <w:sz w:val="20"/>
                <w:szCs w:val="20"/>
              </w:rPr>
            </w:pPr>
          </w:p>
          <w:p w14:paraId="241CD21B" w14:textId="77777777" w:rsidR="002D58E4" w:rsidRDefault="00F721D4">
            <w:pPr>
              <w:rPr>
                <w:sz w:val="20"/>
                <w:szCs w:val="20"/>
              </w:rPr>
            </w:pPr>
            <w:r>
              <w:rPr>
                <w:sz w:val="20"/>
                <w:szCs w:val="20"/>
              </w:rPr>
              <w:t xml:space="preserve">7 of 12 patients who received a </w:t>
            </w:r>
            <w:r>
              <w:rPr>
                <w:b/>
                <w:sz w:val="20"/>
                <w:szCs w:val="20"/>
              </w:rPr>
              <w:t>synovectomy</w:t>
            </w:r>
            <w:r>
              <w:rPr>
                <w:sz w:val="20"/>
                <w:szCs w:val="20"/>
              </w:rPr>
              <w:t xml:space="preserve"> resolved after the procedure. In 1 patient who initially failed, arthritis eventually resolved. </w:t>
            </w:r>
          </w:p>
          <w:p w14:paraId="00B52BAE" w14:textId="77777777" w:rsidR="002D58E4" w:rsidRDefault="002D58E4">
            <w:pPr>
              <w:rPr>
                <w:sz w:val="20"/>
                <w:szCs w:val="20"/>
              </w:rPr>
            </w:pPr>
          </w:p>
          <w:p w14:paraId="41596BD5" w14:textId="77777777" w:rsidR="002D58E4" w:rsidRDefault="00F721D4">
            <w:pPr>
              <w:rPr>
                <w:sz w:val="20"/>
                <w:szCs w:val="20"/>
              </w:rPr>
            </w:pPr>
            <w:r>
              <w:rPr>
                <w:sz w:val="20"/>
                <w:szCs w:val="20"/>
              </w:rPr>
              <w:t xml:space="preserve">85.7% (6 of 7) patients who received </w:t>
            </w:r>
            <w:r>
              <w:rPr>
                <w:b/>
                <w:sz w:val="20"/>
                <w:szCs w:val="20"/>
              </w:rPr>
              <w:t>DMARDs</w:t>
            </w:r>
            <w:r>
              <w:rPr>
                <w:sz w:val="20"/>
                <w:szCs w:val="20"/>
              </w:rPr>
              <w:t xml:space="preserve"> responded to treatment. The one patient who failed DMARD treatment received a synovectomy and eventually responded.  </w:t>
            </w:r>
          </w:p>
          <w:p w14:paraId="1E8A9802" w14:textId="77777777" w:rsidR="002D58E4" w:rsidRDefault="002D58E4">
            <w:pPr>
              <w:rPr>
                <w:sz w:val="20"/>
                <w:szCs w:val="20"/>
              </w:rPr>
            </w:pPr>
          </w:p>
          <w:p w14:paraId="45F64A8F" w14:textId="77777777" w:rsidR="002D58E4" w:rsidRDefault="00F721D4">
            <w:pPr>
              <w:rPr>
                <w:sz w:val="20"/>
                <w:szCs w:val="20"/>
              </w:rPr>
            </w:pPr>
            <w:r>
              <w:rPr>
                <w:sz w:val="20"/>
                <w:szCs w:val="20"/>
              </w:rPr>
              <w:t>Overall, only 3.2% (2 of 62) of antibiotic-refractory patients experienced total treatment failure.</w:t>
            </w:r>
          </w:p>
        </w:tc>
      </w:tr>
      <w:tr w:rsidR="002D58E4" w14:paraId="2E599FE5" w14:textId="77777777">
        <w:trPr>
          <w:trHeight w:val="100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7D468EB" w14:textId="77777777" w:rsidR="002D58E4" w:rsidRDefault="00F721D4">
            <w:pPr>
              <w:rPr>
                <w:sz w:val="20"/>
                <w:szCs w:val="20"/>
              </w:rPr>
            </w:pPr>
            <w:r>
              <w:rPr>
                <w:sz w:val="20"/>
                <w:szCs w:val="20"/>
              </w:rPr>
              <w:t>Tory, 2010</w:t>
            </w:r>
          </w:p>
          <w:p w14:paraId="7AC9B64A" w14:textId="77777777" w:rsidR="002D58E4" w:rsidRDefault="002D58E4">
            <w:pPr>
              <w:rPr>
                <w:sz w:val="20"/>
                <w:szCs w:val="20"/>
              </w:rPr>
            </w:pPr>
          </w:p>
          <w:p w14:paraId="27633A8F" w14:textId="77777777" w:rsidR="002D58E4" w:rsidRDefault="002D58E4">
            <w:pPr>
              <w:rPr>
                <w:sz w:val="20"/>
                <w:szCs w:val="20"/>
              </w:rPr>
            </w:pPr>
          </w:p>
          <w:p w14:paraId="24CA353A" w14:textId="77777777" w:rsidR="002D58E4" w:rsidRDefault="00F721D4">
            <w:pPr>
              <w:rPr>
                <w:sz w:val="20"/>
                <w:szCs w:val="20"/>
              </w:rPr>
            </w:pPr>
            <w:r>
              <w:rPr>
                <w:sz w:val="20"/>
                <w:szCs w:val="20"/>
              </w:rPr>
              <w:t>Boston, MA</w:t>
            </w:r>
          </w:p>
        </w:tc>
        <w:tc>
          <w:tcPr>
            <w:tcW w:w="1080" w:type="dxa"/>
            <w:tcBorders>
              <w:top w:val="single" w:sz="6" w:space="0" w:color="AEAEAE"/>
              <w:left w:val="single" w:sz="6" w:space="0" w:color="AEAEAE"/>
              <w:bottom w:val="single" w:sz="6" w:space="0" w:color="AEAEAE"/>
              <w:right w:val="single" w:sz="6" w:space="0" w:color="AEAEAE"/>
            </w:tcBorders>
            <w:vAlign w:val="center"/>
          </w:tcPr>
          <w:p w14:paraId="7C68AB2A" w14:textId="77777777" w:rsidR="002D58E4" w:rsidRDefault="00F721D4">
            <w:pPr>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67B53D5" w14:textId="77777777" w:rsidR="002D58E4" w:rsidRDefault="00F721D4">
            <w:pPr>
              <w:jc w:val="center"/>
              <w:rPr>
                <w:sz w:val="20"/>
                <w:szCs w:val="20"/>
              </w:rPr>
            </w:pPr>
            <w:r>
              <w:rPr>
                <w:sz w:val="20"/>
                <w:szCs w:val="20"/>
              </w:rPr>
              <w:t>7</w:t>
            </w:r>
          </w:p>
        </w:tc>
        <w:tc>
          <w:tcPr>
            <w:tcW w:w="2160" w:type="dxa"/>
            <w:tcBorders>
              <w:top w:val="single" w:sz="6" w:space="0" w:color="AEAEAE"/>
              <w:left w:val="single" w:sz="6" w:space="0" w:color="AEAEAE"/>
              <w:bottom w:val="single" w:sz="6" w:space="0" w:color="AEAEAE"/>
              <w:right w:val="single" w:sz="6" w:space="0" w:color="AEAEAE"/>
            </w:tcBorders>
            <w:vAlign w:val="center"/>
          </w:tcPr>
          <w:p w14:paraId="544BE9AB" w14:textId="77777777" w:rsidR="002D58E4" w:rsidRDefault="00F721D4">
            <w:pPr>
              <w:rPr>
                <w:sz w:val="20"/>
                <w:szCs w:val="20"/>
              </w:rPr>
            </w:pPr>
            <w:r>
              <w:rPr>
                <w:sz w:val="20"/>
                <w:szCs w:val="20"/>
              </w:rPr>
              <w:t xml:space="preserve">Patients were serologically confirmed by ELISA and positive Western Blot. </w:t>
            </w:r>
          </w:p>
        </w:tc>
        <w:tc>
          <w:tcPr>
            <w:tcW w:w="251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F503669" w14:textId="77777777" w:rsidR="002D58E4" w:rsidRDefault="00F721D4">
            <w:pPr>
              <w:rPr>
                <w:sz w:val="20"/>
                <w:szCs w:val="20"/>
              </w:rPr>
            </w:pPr>
            <w:r>
              <w:rPr>
                <w:sz w:val="20"/>
                <w:szCs w:val="20"/>
              </w:rPr>
              <w:t>99 pediatric (mean age 9.6; range 2-18) patients living in an endemic area who were diagnosed with Lyme arthritis. 91% (90 of 99) of patients had presented with arthritis as the main manifestation of Lyme Disease. 6% (6 of 99) and 28% (28 of 99) of patients recalled erythema migrans and/or flu-like illness, respectively. Mean disease duration prior to treatment was 2 weeks (range 0-52).</w:t>
            </w:r>
          </w:p>
        </w:tc>
        <w:tc>
          <w:tcPr>
            <w:tcW w:w="270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3444C8F" w14:textId="77777777" w:rsidR="002D58E4" w:rsidRDefault="00F721D4">
            <w:pPr>
              <w:rPr>
                <w:sz w:val="20"/>
                <w:szCs w:val="20"/>
              </w:rPr>
            </w:pPr>
            <w:r>
              <w:rPr>
                <w:sz w:val="20"/>
                <w:szCs w:val="20"/>
              </w:rPr>
              <w:t>Initial treatment in 92% of patients was a 28-day course of doxycycline (100 mg BID) or amoxicillin (50 mg/kg/day, divided into 3 doses). Of the remaining 8 patients, 3 were initially treated with IV ceftriaxone (75–100 mg/kg/day) due to an initial diagnosis of septic arthritis (2 cases) or due to prolongation of symptoms for nearly 1 year (1 case).</w:t>
            </w:r>
          </w:p>
          <w:p w14:paraId="2E39F1E0" w14:textId="77777777" w:rsidR="002D58E4" w:rsidRDefault="002D58E4">
            <w:pPr>
              <w:rPr>
                <w:sz w:val="20"/>
                <w:szCs w:val="20"/>
              </w:rPr>
            </w:pPr>
          </w:p>
          <w:p w14:paraId="0000F5BF" w14:textId="77777777" w:rsidR="002D58E4" w:rsidRDefault="00F721D4">
            <w:pPr>
              <w:rPr>
                <w:sz w:val="20"/>
                <w:szCs w:val="20"/>
              </w:rPr>
            </w:pPr>
            <w:r>
              <w:rPr>
                <w:sz w:val="20"/>
                <w:szCs w:val="20"/>
              </w:rPr>
              <w:t xml:space="preserve">23 (23.2%) patients had ongoing evidence of synovitis 3 months after completion of oral antibiotic therapy (N=8) or IV antibiotic therapy (N=4) or both (N=11). Patients received MTX, HCQ, SSZ, NSAIDs, IA corticosteroids, or DMARDs.  </w:t>
            </w:r>
          </w:p>
          <w:p w14:paraId="3FE04BEC" w14:textId="77777777" w:rsidR="002D58E4" w:rsidRDefault="002D58E4">
            <w:pPr>
              <w:rPr>
                <w:sz w:val="20"/>
                <w:szCs w:val="20"/>
              </w:rPr>
            </w:pPr>
          </w:p>
        </w:tc>
        <w:tc>
          <w:tcPr>
            <w:tcW w:w="48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ACD64AB" w14:textId="77777777" w:rsidR="002D58E4" w:rsidRDefault="00F721D4">
            <w:pPr>
              <w:rPr>
                <w:sz w:val="20"/>
                <w:szCs w:val="20"/>
              </w:rPr>
            </w:pPr>
            <w:r>
              <w:rPr>
                <w:sz w:val="20"/>
                <w:szCs w:val="20"/>
              </w:rPr>
              <w:t xml:space="preserve">Of three antibiotic-refractory patients who had continued synovitis despite prolonged antibiotic therapy, two achieved remission at follow-ups of 9 and 12 months, after having received </w:t>
            </w:r>
            <w:r>
              <w:rPr>
                <w:b/>
                <w:sz w:val="20"/>
                <w:szCs w:val="20"/>
              </w:rPr>
              <w:t>MTX and HCQ+SSZ</w:t>
            </w:r>
            <w:r>
              <w:rPr>
                <w:sz w:val="20"/>
                <w:szCs w:val="20"/>
              </w:rPr>
              <w:t xml:space="preserve">, respectively. One patient who received SSZ was lost to follow-up. </w:t>
            </w:r>
          </w:p>
          <w:p w14:paraId="549BC3C5" w14:textId="77777777" w:rsidR="002D58E4" w:rsidRDefault="002D58E4">
            <w:pPr>
              <w:rPr>
                <w:sz w:val="20"/>
                <w:szCs w:val="20"/>
              </w:rPr>
            </w:pPr>
          </w:p>
          <w:p w14:paraId="76B239A0" w14:textId="77777777" w:rsidR="002D58E4" w:rsidRDefault="00F721D4">
            <w:pPr>
              <w:rPr>
                <w:sz w:val="20"/>
                <w:szCs w:val="20"/>
              </w:rPr>
            </w:pPr>
            <w:r>
              <w:rPr>
                <w:sz w:val="20"/>
                <w:szCs w:val="20"/>
              </w:rPr>
              <w:t xml:space="preserve">54.5% (6 of 11) of antibiotic-refractory patients who received </w:t>
            </w:r>
            <w:r>
              <w:rPr>
                <w:b/>
                <w:sz w:val="20"/>
                <w:szCs w:val="20"/>
              </w:rPr>
              <w:t>NSAIDs alone</w:t>
            </w:r>
            <w:r>
              <w:rPr>
                <w:sz w:val="20"/>
                <w:szCs w:val="20"/>
              </w:rPr>
              <w:t xml:space="preserve"> achieved remission within 6 months. 66.7% (4 of 6) of patients who received </w:t>
            </w:r>
            <w:r>
              <w:rPr>
                <w:b/>
                <w:sz w:val="20"/>
                <w:szCs w:val="20"/>
              </w:rPr>
              <w:t>IA corticosteroids</w:t>
            </w:r>
            <w:r>
              <w:rPr>
                <w:sz w:val="20"/>
                <w:szCs w:val="20"/>
              </w:rPr>
              <w:t xml:space="preserve"> achieved remission, and 2 of these 6 patients were subsequently treated with DMARDs. Of these two patients, one had been treated with MTX and was in complete remission at a follow-up one year later. </w:t>
            </w:r>
          </w:p>
        </w:tc>
      </w:tr>
      <w:tr w:rsidR="002D58E4" w14:paraId="2D9681D3" w14:textId="77777777">
        <w:trPr>
          <w:trHeight w:val="100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F57D5E7" w14:textId="77777777" w:rsidR="002D58E4" w:rsidRDefault="00F721D4">
            <w:pPr>
              <w:rPr>
                <w:sz w:val="20"/>
                <w:szCs w:val="20"/>
              </w:rPr>
            </w:pPr>
            <w:r>
              <w:rPr>
                <w:sz w:val="20"/>
                <w:szCs w:val="20"/>
              </w:rPr>
              <w:t>Nimmrich, 2014</w:t>
            </w:r>
          </w:p>
          <w:p w14:paraId="27B5E439" w14:textId="77777777" w:rsidR="002D58E4" w:rsidRDefault="002D58E4">
            <w:pPr>
              <w:rPr>
                <w:sz w:val="20"/>
                <w:szCs w:val="20"/>
              </w:rPr>
            </w:pPr>
          </w:p>
          <w:p w14:paraId="0801285E" w14:textId="77777777" w:rsidR="002D58E4" w:rsidRDefault="002D58E4">
            <w:pPr>
              <w:rPr>
                <w:sz w:val="20"/>
                <w:szCs w:val="20"/>
              </w:rPr>
            </w:pPr>
          </w:p>
          <w:p w14:paraId="2F764078" w14:textId="77777777" w:rsidR="002D58E4" w:rsidRDefault="00F721D4">
            <w:pPr>
              <w:rPr>
                <w:sz w:val="20"/>
                <w:szCs w:val="20"/>
              </w:rPr>
            </w:pPr>
            <w:r>
              <w:rPr>
                <w:sz w:val="20"/>
                <w:szCs w:val="20"/>
              </w:rPr>
              <w:t>Sankt Augustin,</w:t>
            </w:r>
          </w:p>
          <w:p w14:paraId="6693F669" w14:textId="77777777" w:rsidR="002D58E4" w:rsidRDefault="00F721D4">
            <w:pPr>
              <w:rPr>
                <w:sz w:val="20"/>
                <w:szCs w:val="20"/>
              </w:rPr>
            </w:pPr>
            <w:r>
              <w:rPr>
                <w:sz w:val="20"/>
                <w:szCs w:val="20"/>
              </w:rPr>
              <w:t>Germany</w:t>
            </w:r>
          </w:p>
        </w:tc>
        <w:tc>
          <w:tcPr>
            <w:tcW w:w="1080" w:type="dxa"/>
            <w:tcBorders>
              <w:top w:val="single" w:sz="6" w:space="0" w:color="AEAEAE"/>
              <w:left w:val="single" w:sz="6" w:space="0" w:color="AEAEAE"/>
              <w:bottom w:val="single" w:sz="6" w:space="0" w:color="AEAEAE"/>
              <w:right w:val="single" w:sz="6" w:space="0" w:color="AEAEAE"/>
            </w:tcBorders>
            <w:vAlign w:val="center"/>
          </w:tcPr>
          <w:p w14:paraId="55610A89"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06DE154C" w14:textId="77777777" w:rsidR="002D58E4" w:rsidRDefault="00F721D4">
            <w:pPr>
              <w:jc w:val="center"/>
              <w:rPr>
                <w:sz w:val="20"/>
                <w:szCs w:val="20"/>
              </w:rPr>
            </w:pPr>
            <w:r>
              <w:rPr>
                <w:sz w:val="20"/>
                <w:szCs w:val="20"/>
              </w:rPr>
              <w:t>7</w:t>
            </w:r>
          </w:p>
        </w:tc>
        <w:tc>
          <w:tcPr>
            <w:tcW w:w="2160" w:type="dxa"/>
            <w:tcBorders>
              <w:top w:val="single" w:sz="6" w:space="0" w:color="AEAEAE"/>
              <w:left w:val="single" w:sz="6" w:space="0" w:color="AEAEAE"/>
              <w:bottom w:val="single" w:sz="6" w:space="0" w:color="AEAEAE"/>
              <w:right w:val="single" w:sz="6" w:space="0" w:color="AEAEAE"/>
            </w:tcBorders>
            <w:vAlign w:val="center"/>
          </w:tcPr>
          <w:p w14:paraId="10E3AAD3" w14:textId="77777777" w:rsidR="002D58E4" w:rsidRDefault="00F721D4">
            <w:pPr>
              <w:rPr>
                <w:sz w:val="20"/>
                <w:szCs w:val="20"/>
              </w:rPr>
            </w:pPr>
            <w:r>
              <w:rPr>
                <w:sz w:val="20"/>
                <w:szCs w:val="20"/>
              </w:rPr>
              <w:t xml:space="preserve">Patients were serologically confirmed by ELISA and positive Western Blot for IgG antibodies against </w:t>
            </w:r>
            <w:r>
              <w:rPr>
                <w:i/>
                <w:sz w:val="20"/>
                <w:szCs w:val="20"/>
              </w:rPr>
              <w:t>B. burgdorferi</w:t>
            </w:r>
            <w:r>
              <w:rPr>
                <w:sz w:val="20"/>
                <w:szCs w:val="20"/>
              </w:rPr>
              <w:t xml:space="preserve">. In case of joint puncture, presence of </w:t>
            </w:r>
            <w:r>
              <w:rPr>
                <w:i/>
                <w:sz w:val="20"/>
                <w:szCs w:val="20"/>
              </w:rPr>
              <w:t>Borrelia</w:t>
            </w:r>
            <w:r>
              <w:rPr>
                <w:sz w:val="20"/>
                <w:szCs w:val="20"/>
              </w:rPr>
              <w:t xml:space="preserve"> DNA was assessed by PCR.</w:t>
            </w:r>
          </w:p>
        </w:tc>
        <w:tc>
          <w:tcPr>
            <w:tcW w:w="2512"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91D2C8F" w14:textId="77777777" w:rsidR="002D58E4" w:rsidRDefault="00F721D4">
            <w:pPr>
              <w:rPr>
                <w:sz w:val="20"/>
                <w:szCs w:val="20"/>
              </w:rPr>
            </w:pPr>
            <w:r>
              <w:rPr>
                <w:sz w:val="20"/>
                <w:szCs w:val="20"/>
              </w:rPr>
              <w:t xml:space="preserve">31 pediatric (mean age 9.6 years; range 3-15) patients with Lyme arthritis, defined as clinically detected joint swelling and/or joint effusion in the presence of serologically confirmed Lyme disease.  Mean duration of arthritis upon study entry was 1.9 months. </w:t>
            </w:r>
          </w:p>
        </w:tc>
        <w:tc>
          <w:tcPr>
            <w:tcW w:w="270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F431D80" w14:textId="77777777" w:rsidR="002D58E4" w:rsidRDefault="00F721D4">
            <w:pPr>
              <w:rPr>
                <w:sz w:val="20"/>
                <w:szCs w:val="20"/>
              </w:rPr>
            </w:pPr>
            <w:r>
              <w:rPr>
                <w:sz w:val="20"/>
                <w:szCs w:val="20"/>
              </w:rPr>
              <w:t xml:space="preserve">In 26 cases, initial treatment was with IV antibiotic for 2-8 weeks; the other 5 patients had received prior oral antibiotics. 22.6% (7 of 31) of all patients had received at least 2 antibiotic courses. </w:t>
            </w:r>
            <w:r>
              <w:rPr>
                <w:sz w:val="20"/>
                <w:szCs w:val="20"/>
              </w:rPr>
              <w:br/>
            </w:r>
          </w:p>
          <w:p w14:paraId="0CCF9025" w14:textId="77777777" w:rsidR="002D58E4" w:rsidRDefault="00F721D4">
            <w:pPr>
              <w:rPr>
                <w:sz w:val="20"/>
                <w:szCs w:val="20"/>
              </w:rPr>
            </w:pPr>
            <w:r>
              <w:rPr>
                <w:sz w:val="20"/>
                <w:szCs w:val="20"/>
              </w:rPr>
              <w:t>8 patients (25.8%) with refractory arthritis received one course of intra-articular (IA) triamcinolone.</w:t>
            </w:r>
          </w:p>
        </w:tc>
        <w:tc>
          <w:tcPr>
            <w:tcW w:w="48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1D98A5A" w14:textId="77777777" w:rsidR="002D58E4" w:rsidRDefault="00F721D4">
            <w:pPr>
              <w:rPr>
                <w:sz w:val="20"/>
                <w:szCs w:val="20"/>
              </w:rPr>
            </w:pPr>
            <w:r>
              <w:rPr>
                <w:sz w:val="20"/>
                <w:szCs w:val="20"/>
              </w:rPr>
              <w:t xml:space="preserve">All patients with refractory arthritis who received </w:t>
            </w:r>
            <w:r>
              <w:rPr>
                <w:b/>
                <w:sz w:val="20"/>
                <w:szCs w:val="20"/>
              </w:rPr>
              <w:t>IA triamcinolone</w:t>
            </w:r>
            <w:r>
              <w:rPr>
                <w:sz w:val="20"/>
                <w:szCs w:val="20"/>
              </w:rPr>
              <w:t xml:space="preserve"> initially showed notable clinical improvement. 25% (2 of 8) of these patients required additional IA steroid injections due to relapse. </w:t>
            </w:r>
          </w:p>
          <w:p w14:paraId="619D46EE" w14:textId="77777777" w:rsidR="002D58E4" w:rsidRDefault="002D58E4">
            <w:pPr>
              <w:rPr>
                <w:sz w:val="20"/>
                <w:szCs w:val="20"/>
              </w:rPr>
            </w:pPr>
          </w:p>
          <w:p w14:paraId="69B7070E" w14:textId="77777777" w:rsidR="002D58E4" w:rsidRDefault="00F721D4">
            <w:pPr>
              <w:rPr>
                <w:sz w:val="20"/>
                <w:szCs w:val="20"/>
              </w:rPr>
            </w:pPr>
            <w:r>
              <w:rPr>
                <w:sz w:val="20"/>
                <w:szCs w:val="20"/>
              </w:rPr>
              <w:t xml:space="preserve">Four patients who received only one IA steroid injection remained asymptomatic until the last follow-up; a mean of 18.1 months. </w:t>
            </w:r>
          </w:p>
        </w:tc>
      </w:tr>
    </w:tbl>
    <w:p w14:paraId="01FF380C" w14:textId="77777777" w:rsidR="002D58E4" w:rsidRDefault="00F721D4" w:rsidP="00171735">
      <w:pPr>
        <w:ind w:right="-3980"/>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3715E745" w14:textId="77777777" w:rsidR="002D58E4" w:rsidRDefault="00F721D4">
      <w:pPr>
        <w:rPr>
          <w:b/>
          <w:sz w:val="32"/>
          <w:szCs w:val="32"/>
          <w:u w:val="single"/>
        </w:rPr>
      </w:pPr>
      <w:r>
        <w:br w:type="page"/>
      </w:r>
    </w:p>
    <w:p w14:paraId="5E5623C6" w14:textId="77777777" w:rsidR="002D58E4" w:rsidRDefault="00F721D4" w:rsidP="002305C5">
      <w:pPr>
        <w:spacing w:after="0" w:line="360" w:lineRule="auto"/>
        <w:rPr>
          <w:b/>
          <w:sz w:val="32"/>
          <w:szCs w:val="32"/>
          <w:u w:val="single"/>
        </w:rPr>
      </w:pPr>
      <w:bookmarkStart w:id="25" w:name="1y810tw" w:colFirst="0" w:colLast="0"/>
      <w:bookmarkEnd w:id="25"/>
      <w:r>
        <w:rPr>
          <w:b/>
          <w:sz w:val="32"/>
          <w:szCs w:val="32"/>
          <w:u w:val="single"/>
        </w:rPr>
        <w:t>Prolonged symptoms following treatment of Lyme disease</w:t>
      </w:r>
    </w:p>
    <w:p w14:paraId="29A74E61" w14:textId="0399319D" w:rsidR="002D58E4" w:rsidRDefault="00F721D4" w:rsidP="00E343BA">
      <w:pPr>
        <w:ind w:right="-3413"/>
        <w:rPr>
          <w:b/>
          <w:sz w:val="32"/>
          <w:szCs w:val="32"/>
        </w:rPr>
      </w:pPr>
      <w:r>
        <w:rPr>
          <w:b/>
          <w:sz w:val="32"/>
          <w:szCs w:val="32"/>
        </w:rPr>
        <w:t>XXV. Should patients with persistent symptoms following standard treatment of Lyme disease receive additional antibiotics?</w:t>
      </w:r>
    </w:p>
    <w:p w14:paraId="1276A4DA" w14:textId="77777777" w:rsidR="002D58E4" w:rsidRDefault="002D58E4" w:rsidP="002305C5">
      <w:pPr>
        <w:spacing w:after="0"/>
        <w:rPr>
          <w:b/>
          <w:color w:val="000000"/>
          <w:u w:val="single"/>
        </w:rPr>
      </w:pPr>
    </w:p>
    <w:p w14:paraId="6C9EE8DA" w14:textId="77777777" w:rsidR="002D58E4" w:rsidRDefault="00F721D4" w:rsidP="002305C5">
      <w:pPr>
        <w:spacing w:after="0"/>
        <w:rPr>
          <w:b/>
          <w:color w:val="0070C0"/>
        </w:rPr>
      </w:pPr>
      <w:r>
        <w:rPr>
          <w:b/>
          <w:u w:val="single"/>
        </w:rPr>
        <w:t>RETREATMENT WITH ANTIBIOTICS vs NO ADDITIONAL ANTIBIOTICS</w:t>
      </w:r>
    </w:p>
    <w:p w14:paraId="2757F31A" w14:textId="77777777" w:rsidR="002D58E4" w:rsidRDefault="00F721D4" w:rsidP="00171735">
      <w:pPr>
        <w:spacing w:after="0"/>
        <w:ind w:right="-3980"/>
        <w:rPr>
          <w:b/>
        </w:rPr>
      </w:pPr>
      <w:r>
        <w:rPr>
          <w:b/>
        </w:rPr>
        <w:t>In patients with persistent symptoms following standard treatment of Lyme disease, should retreatment with antibiotic therapy be used over no additional antibiotics?</w:t>
      </w:r>
    </w:p>
    <w:p w14:paraId="7415E251" w14:textId="77777777" w:rsidR="002D58E4" w:rsidRDefault="00F721D4" w:rsidP="002305C5">
      <w:pPr>
        <w:spacing w:after="0"/>
      </w:pPr>
      <w:r>
        <w:t>P: In patients with persistent symptoms following standard treatment of Lyme disease</w:t>
      </w:r>
    </w:p>
    <w:p w14:paraId="06982E46" w14:textId="77777777" w:rsidR="002D58E4" w:rsidRDefault="00F721D4" w:rsidP="002305C5">
      <w:pPr>
        <w:spacing w:after="0"/>
      </w:pPr>
      <w:r>
        <w:t>I: Retreatment with additional antibiotic therapy</w:t>
      </w:r>
    </w:p>
    <w:p w14:paraId="1733D5D3" w14:textId="77777777" w:rsidR="002D58E4" w:rsidRDefault="00F721D4" w:rsidP="002305C5">
      <w:pPr>
        <w:spacing w:after="0"/>
      </w:pPr>
      <w:r>
        <w:t>C: No additional antibiotics</w:t>
      </w:r>
    </w:p>
    <w:p w14:paraId="3A9EC171" w14:textId="77777777" w:rsidR="002D58E4" w:rsidRDefault="002D58E4" w:rsidP="002305C5">
      <w:pPr>
        <w:spacing w:after="0"/>
        <w:rPr>
          <w:strike/>
          <w:color w:val="000000"/>
        </w:rPr>
      </w:pPr>
    </w:p>
    <w:p w14:paraId="776FD1F5" w14:textId="77777777" w:rsidR="002D58E4" w:rsidRDefault="00F721D4" w:rsidP="00171735">
      <w:pPr>
        <w:spacing w:after="0"/>
        <w:ind w:right="-3980"/>
        <w:rPr>
          <w:color w:val="000000"/>
          <w:sz w:val="18"/>
          <w:szCs w:val="18"/>
        </w:rPr>
      </w:pPr>
      <w:r>
        <w:rPr>
          <w:b/>
          <w:color w:val="000000"/>
          <w:sz w:val="18"/>
          <w:szCs w:val="18"/>
        </w:rPr>
        <w:t>Bibliography:</w:t>
      </w:r>
      <w:r>
        <w:rPr>
          <w:color w:val="000000"/>
          <w:sz w:val="18"/>
          <w:szCs w:val="18"/>
        </w:rPr>
        <w:t xml:space="preserve"> 1. Klempner, et al. N Engl J Med. 2001 Jul 12; 345(2): 85-92; Klempner, MS. Vector Borne Zoonotic Dis. 2002; 2(4):255-63; Kaplan, et al. Neurology. 2003 Jun 24; 60(12): 1916-22; (these 3 articles describe the same cohort of patients included in 2 RCTs but report different complementary data); 2. </w:t>
      </w:r>
      <w:r w:rsidRPr="002914A2">
        <w:rPr>
          <w:color w:val="000000"/>
          <w:sz w:val="18"/>
          <w:szCs w:val="18"/>
          <w:lang w:val="fr-CA"/>
        </w:rPr>
        <w:t xml:space="preserve">Fallon, et al. Neurology. 2008 Mar 25; 70(13): 992-1003; 3. Krupp, et al. Neurology. 2003 Jun 24; 60(12):1923-30; 4. Sjöwall, et al. BMC Infect Dis. 2012 Aug10; 12:186; 5. Sriskandarjah, et al. </w:t>
      </w:r>
      <w:r>
        <w:rPr>
          <w:color w:val="000000"/>
          <w:sz w:val="18"/>
          <w:szCs w:val="18"/>
        </w:rPr>
        <w:t xml:space="preserve">International Journal of Clinical Practice, 2018, e13216. </w:t>
      </w:r>
    </w:p>
    <w:p w14:paraId="17D68FE7" w14:textId="77777777" w:rsidR="002D58E4" w:rsidRDefault="002D58E4">
      <w:pPr>
        <w:spacing w:after="0"/>
        <w:rPr>
          <w:color w:val="000000"/>
          <w:sz w:val="18"/>
          <w:szCs w:val="18"/>
        </w:rPr>
      </w:pPr>
    </w:p>
    <w:tbl>
      <w:tblPr>
        <w:tblStyle w:val="afff7"/>
        <w:tblW w:w="1446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1135"/>
        <w:gridCol w:w="991"/>
        <w:gridCol w:w="1156"/>
        <w:gridCol w:w="1148"/>
        <w:gridCol w:w="1073"/>
        <w:gridCol w:w="877"/>
        <w:gridCol w:w="1106"/>
        <w:gridCol w:w="1049"/>
        <w:gridCol w:w="1289"/>
        <w:gridCol w:w="129"/>
        <w:gridCol w:w="1530"/>
        <w:gridCol w:w="1134"/>
        <w:gridCol w:w="1136"/>
      </w:tblGrid>
      <w:tr w:rsidR="002305C5" w14:paraId="25C5B791" w14:textId="77777777" w:rsidTr="00E343BA">
        <w:tc>
          <w:tcPr>
            <w:tcW w:w="7088" w:type="dxa"/>
            <w:gridSpan w:val="7"/>
            <w:tcBorders>
              <w:top w:val="single" w:sz="6" w:space="0" w:color="000000"/>
              <w:left w:val="single" w:sz="6" w:space="0" w:color="000000"/>
              <w:bottom w:val="single" w:sz="6" w:space="0" w:color="000000"/>
              <w:right w:val="single" w:sz="6" w:space="0" w:color="000000"/>
            </w:tcBorders>
            <w:shd w:val="clear" w:color="auto" w:fill="DDDDDD"/>
            <w:vAlign w:val="center"/>
          </w:tcPr>
          <w:p w14:paraId="1D5B59FA" w14:textId="77777777" w:rsidR="002305C5" w:rsidRDefault="002305C5">
            <w:pPr>
              <w:jc w:val="center"/>
              <w:rPr>
                <w:b/>
                <w:sz w:val="20"/>
                <w:szCs w:val="20"/>
              </w:rPr>
            </w:pPr>
            <w:r>
              <w:rPr>
                <w:b/>
                <w:sz w:val="20"/>
                <w:szCs w:val="20"/>
              </w:rPr>
              <w:t>Certainty assessment</w:t>
            </w: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5497831E" w14:textId="77777777" w:rsidR="002305C5" w:rsidRDefault="002305C5">
            <w:pPr>
              <w:jc w:val="center"/>
              <w:rPr>
                <w:b/>
                <w:sz w:val="20"/>
                <w:szCs w:val="20"/>
              </w:rPr>
            </w:pPr>
            <w:r>
              <w:rPr>
                <w:b/>
                <w:sz w:val="20"/>
                <w:szCs w:val="20"/>
              </w:rPr>
              <w:t>№ of events/№ of patients</w:t>
            </w:r>
          </w:p>
        </w:tc>
        <w:tc>
          <w:tcPr>
            <w:tcW w:w="2948" w:type="dxa"/>
            <w:gridSpan w:val="3"/>
            <w:tcBorders>
              <w:top w:val="single" w:sz="6" w:space="0" w:color="000000"/>
              <w:left w:val="single" w:sz="6" w:space="0" w:color="000000"/>
              <w:bottom w:val="single" w:sz="6" w:space="0" w:color="000000"/>
              <w:right w:val="single" w:sz="6" w:space="0" w:color="000000"/>
            </w:tcBorders>
            <w:shd w:val="clear" w:color="auto" w:fill="DDDDDD"/>
            <w:vAlign w:val="center"/>
          </w:tcPr>
          <w:p w14:paraId="538DF1AF" w14:textId="77777777" w:rsidR="002305C5" w:rsidRDefault="002305C5">
            <w:pPr>
              <w:jc w:val="center"/>
              <w:rPr>
                <w:b/>
                <w:sz w:val="20"/>
                <w:szCs w:val="20"/>
              </w:rPr>
            </w:pPr>
            <w:r>
              <w:rPr>
                <w:b/>
                <w:sz w:val="20"/>
                <w:szCs w:val="20"/>
              </w:rPr>
              <w:t>Effect</w:t>
            </w:r>
          </w:p>
        </w:tc>
        <w:tc>
          <w:tcPr>
            <w:tcW w:w="1134" w:type="dxa"/>
            <w:vMerge w:val="restart"/>
            <w:tcBorders>
              <w:left w:val="single" w:sz="6" w:space="0" w:color="000000"/>
              <w:right w:val="single" w:sz="6" w:space="0" w:color="000000"/>
            </w:tcBorders>
            <w:shd w:val="clear" w:color="auto" w:fill="DDDDDD"/>
            <w:vAlign w:val="center"/>
          </w:tcPr>
          <w:p w14:paraId="077DB3F9" w14:textId="77777777" w:rsidR="002305C5" w:rsidRDefault="002305C5">
            <w:pPr>
              <w:rPr>
                <w:b/>
                <w:sz w:val="20"/>
                <w:szCs w:val="20"/>
              </w:rPr>
            </w:pPr>
            <w:r>
              <w:rPr>
                <w:b/>
                <w:sz w:val="20"/>
                <w:szCs w:val="20"/>
              </w:rPr>
              <w:t>Certainty</w:t>
            </w:r>
          </w:p>
        </w:tc>
        <w:tc>
          <w:tcPr>
            <w:tcW w:w="1134" w:type="dxa"/>
            <w:vMerge w:val="restart"/>
            <w:tcBorders>
              <w:left w:val="single" w:sz="6" w:space="0" w:color="000000"/>
              <w:right w:val="single" w:sz="6" w:space="0" w:color="000000"/>
            </w:tcBorders>
            <w:shd w:val="clear" w:color="auto" w:fill="DDDDDD"/>
            <w:vAlign w:val="center"/>
          </w:tcPr>
          <w:p w14:paraId="7C6E126C" w14:textId="77777777" w:rsidR="002305C5" w:rsidRDefault="002305C5">
            <w:pPr>
              <w:rPr>
                <w:b/>
                <w:sz w:val="20"/>
                <w:szCs w:val="20"/>
              </w:rPr>
            </w:pPr>
            <w:r>
              <w:rPr>
                <w:b/>
                <w:sz w:val="20"/>
                <w:szCs w:val="20"/>
              </w:rPr>
              <w:t>Importance</w:t>
            </w:r>
          </w:p>
        </w:tc>
      </w:tr>
      <w:tr w:rsidR="002305C5" w14:paraId="63001F33" w14:textId="77777777" w:rsidTr="00E343BA">
        <w:tc>
          <w:tcPr>
            <w:tcW w:w="70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D1FF2BE" w14:textId="77777777" w:rsidR="002305C5" w:rsidRDefault="002305C5">
            <w:pPr>
              <w:jc w:val="center"/>
              <w:rPr>
                <w:b/>
                <w:sz w:val="20"/>
                <w:szCs w:val="20"/>
              </w:rPr>
            </w:pPr>
            <w:r>
              <w:rPr>
                <w:b/>
                <w:sz w:val="20"/>
                <w:szCs w:val="20"/>
              </w:rPr>
              <w:t>№ of studies</w:t>
            </w:r>
          </w:p>
        </w:tc>
        <w:tc>
          <w:tcPr>
            <w:tcW w:w="1135"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3DB03E49" w14:textId="77777777" w:rsidR="002305C5" w:rsidRDefault="002305C5">
            <w:pPr>
              <w:jc w:val="center"/>
              <w:rPr>
                <w:b/>
                <w:sz w:val="20"/>
                <w:szCs w:val="20"/>
              </w:rPr>
            </w:pPr>
            <w:r>
              <w:rPr>
                <w:b/>
                <w:sz w:val="20"/>
                <w:szCs w:val="20"/>
              </w:rPr>
              <w:t>Study design</w:t>
            </w:r>
          </w:p>
        </w:tc>
        <w:tc>
          <w:tcPr>
            <w:tcW w:w="991"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D525980" w14:textId="77777777" w:rsidR="002305C5" w:rsidRDefault="002305C5">
            <w:pPr>
              <w:jc w:val="center"/>
              <w:rPr>
                <w:b/>
                <w:sz w:val="20"/>
                <w:szCs w:val="20"/>
              </w:rPr>
            </w:pPr>
            <w:r>
              <w:rPr>
                <w:b/>
                <w:sz w:val="20"/>
                <w:szCs w:val="20"/>
              </w:rPr>
              <w:t>Risk of bias</w:t>
            </w:r>
          </w:p>
        </w:tc>
        <w:tc>
          <w:tcPr>
            <w:tcW w:w="115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B405B51" w14:textId="77777777" w:rsidR="002305C5" w:rsidRDefault="002305C5">
            <w:pPr>
              <w:jc w:val="center"/>
              <w:rPr>
                <w:b/>
                <w:sz w:val="20"/>
                <w:szCs w:val="20"/>
              </w:rPr>
            </w:pPr>
            <w:r>
              <w:rPr>
                <w:b/>
                <w:sz w:val="20"/>
                <w:szCs w:val="20"/>
              </w:rPr>
              <w:t>Inconsistency</w:t>
            </w:r>
          </w:p>
        </w:tc>
        <w:tc>
          <w:tcPr>
            <w:tcW w:w="1148"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7EFC07C4" w14:textId="77777777" w:rsidR="002305C5" w:rsidRDefault="002305C5">
            <w:pPr>
              <w:jc w:val="center"/>
              <w:rPr>
                <w:b/>
                <w:sz w:val="20"/>
                <w:szCs w:val="20"/>
              </w:rPr>
            </w:pPr>
            <w:r>
              <w:rPr>
                <w:b/>
                <w:sz w:val="20"/>
                <w:szCs w:val="20"/>
              </w:rPr>
              <w:t>Indirectness</w:t>
            </w:r>
          </w:p>
        </w:tc>
        <w:tc>
          <w:tcPr>
            <w:tcW w:w="1073"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5C2E623" w14:textId="77777777" w:rsidR="002305C5" w:rsidRDefault="002305C5">
            <w:pPr>
              <w:jc w:val="center"/>
              <w:rPr>
                <w:b/>
                <w:sz w:val="20"/>
                <w:szCs w:val="20"/>
              </w:rPr>
            </w:pPr>
            <w:r>
              <w:rPr>
                <w:b/>
                <w:sz w:val="20"/>
                <w:szCs w:val="20"/>
              </w:rPr>
              <w:t>Imprecision</w:t>
            </w:r>
          </w:p>
        </w:tc>
        <w:tc>
          <w:tcPr>
            <w:tcW w:w="877"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10390FA" w14:textId="77777777" w:rsidR="002305C5" w:rsidRDefault="002305C5">
            <w:pPr>
              <w:jc w:val="center"/>
              <w:rPr>
                <w:b/>
                <w:sz w:val="20"/>
                <w:szCs w:val="20"/>
              </w:rPr>
            </w:pPr>
            <w:r>
              <w:rPr>
                <w:b/>
                <w:sz w:val="20"/>
                <w:szCs w:val="20"/>
              </w:rPr>
              <w:t>Other considerations</w:t>
            </w:r>
          </w:p>
        </w:tc>
        <w:tc>
          <w:tcPr>
            <w:tcW w:w="1106"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40DD8C81" w14:textId="77777777" w:rsidR="002305C5" w:rsidRDefault="002305C5">
            <w:pPr>
              <w:jc w:val="center"/>
              <w:rPr>
                <w:b/>
                <w:sz w:val="20"/>
                <w:szCs w:val="20"/>
              </w:rPr>
            </w:pPr>
            <w:r>
              <w:rPr>
                <w:b/>
                <w:sz w:val="20"/>
                <w:szCs w:val="20"/>
              </w:rPr>
              <w:t xml:space="preserve">Retreatment with additional antibiotics </w:t>
            </w:r>
          </w:p>
        </w:tc>
        <w:tc>
          <w:tcPr>
            <w:tcW w:w="104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0E6407DC" w14:textId="77777777" w:rsidR="002305C5" w:rsidRDefault="002305C5">
            <w:pPr>
              <w:jc w:val="center"/>
              <w:rPr>
                <w:b/>
                <w:sz w:val="20"/>
                <w:szCs w:val="20"/>
              </w:rPr>
            </w:pPr>
            <w:r>
              <w:rPr>
                <w:b/>
                <w:sz w:val="20"/>
                <w:szCs w:val="20"/>
              </w:rPr>
              <w:t>No additional antibiotics</w:t>
            </w:r>
          </w:p>
        </w:tc>
        <w:tc>
          <w:tcPr>
            <w:tcW w:w="1289" w:type="dxa"/>
            <w:tcBorders>
              <w:top w:val="single" w:sz="6" w:space="0" w:color="000000"/>
              <w:left w:val="single" w:sz="6" w:space="0" w:color="000000"/>
              <w:bottom w:val="single" w:sz="6" w:space="0" w:color="000000"/>
              <w:right w:val="single" w:sz="6" w:space="0" w:color="000000"/>
            </w:tcBorders>
            <w:shd w:val="clear" w:color="auto" w:fill="DDDDDD"/>
            <w:vAlign w:val="center"/>
          </w:tcPr>
          <w:p w14:paraId="2E8E31FA" w14:textId="77777777" w:rsidR="002305C5" w:rsidRDefault="002305C5">
            <w:pPr>
              <w:jc w:val="center"/>
              <w:rPr>
                <w:b/>
                <w:sz w:val="20"/>
                <w:szCs w:val="20"/>
              </w:rPr>
            </w:pPr>
            <w:r>
              <w:rPr>
                <w:b/>
                <w:sz w:val="20"/>
                <w:szCs w:val="20"/>
              </w:rPr>
              <w:t>Relative</w:t>
            </w:r>
            <w:r>
              <w:rPr>
                <w:b/>
                <w:sz w:val="20"/>
                <w:szCs w:val="20"/>
              </w:rPr>
              <w:br/>
              <w:t>(95% CI)</w:t>
            </w:r>
          </w:p>
        </w:tc>
        <w:tc>
          <w:tcPr>
            <w:tcW w:w="1659" w:type="dxa"/>
            <w:gridSpan w:val="2"/>
            <w:tcBorders>
              <w:top w:val="single" w:sz="6" w:space="0" w:color="000000"/>
              <w:left w:val="single" w:sz="6" w:space="0" w:color="000000"/>
              <w:bottom w:val="single" w:sz="6" w:space="0" w:color="000000"/>
              <w:right w:val="single" w:sz="6" w:space="0" w:color="000000"/>
            </w:tcBorders>
            <w:shd w:val="clear" w:color="auto" w:fill="DDDDDD"/>
            <w:vAlign w:val="center"/>
          </w:tcPr>
          <w:p w14:paraId="2020205C" w14:textId="77777777" w:rsidR="002305C5" w:rsidRDefault="002305C5">
            <w:pPr>
              <w:jc w:val="center"/>
              <w:rPr>
                <w:b/>
                <w:sz w:val="20"/>
                <w:szCs w:val="20"/>
              </w:rPr>
            </w:pPr>
            <w:r>
              <w:rPr>
                <w:b/>
                <w:sz w:val="20"/>
                <w:szCs w:val="20"/>
              </w:rPr>
              <w:t>Absolute</w:t>
            </w:r>
            <w:r>
              <w:rPr>
                <w:b/>
                <w:sz w:val="20"/>
                <w:szCs w:val="20"/>
              </w:rPr>
              <w:br/>
              <w:t>(95% CI)</w:t>
            </w:r>
          </w:p>
        </w:tc>
        <w:tc>
          <w:tcPr>
            <w:tcW w:w="1134" w:type="dxa"/>
            <w:vMerge/>
            <w:tcBorders>
              <w:left w:val="single" w:sz="6" w:space="0" w:color="000000"/>
              <w:bottom w:val="single" w:sz="6" w:space="0" w:color="000000"/>
              <w:right w:val="single" w:sz="6" w:space="0" w:color="000000"/>
            </w:tcBorders>
            <w:shd w:val="clear" w:color="auto" w:fill="DDDDDD"/>
            <w:vAlign w:val="center"/>
          </w:tcPr>
          <w:p w14:paraId="0B86296A" w14:textId="77777777" w:rsidR="002305C5" w:rsidRDefault="002305C5">
            <w:pPr>
              <w:rPr>
                <w:b/>
                <w:sz w:val="20"/>
                <w:szCs w:val="20"/>
              </w:rPr>
            </w:pPr>
          </w:p>
        </w:tc>
        <w:tc>
          <w:tcPr>
            <w:tcW w:w="1134" w:type="dxa"/>
            <w:vMerge/>
            <w:tcBorders>
              <w:left w:val="single" w:sz="6" w:space="0" w:color="000000"/>
              <w:bottom w:val="single" w:sz="6" w:space="0" w:color="000000"/>
              <w:right w:val="single" w:sz="6" w:space="0" w:color="000000"/>
            </w:tcBorders>
            <w:shd w:val="clear" w:color="auto" w:fill="DDDDDD"/>
            <w:vAlign w:val="center"/>
          </w:tcPr>
          <w:p w14:paraId="34EF7FA1" w14:textId="77777777" w:rsidR="002305C5" w:rsidRDefault="002305C5">
            <w:pPr>
              <w:rPr>
                <w:b/>
                <w:sz w:val="20"/>
                <w:szCs w:val="20"/>
              </w:rPr>
            </w:pPr>
          </w:p>
        </w:tc>
      </w:tr>
      <w:tr w:rsidR="002D58E4" w14:paraId="711EEF17"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16B9CDF5" w14:textId="77777777" w:rsidR="002D58E4" w:rsidRDefault="00F721D4">
            <w:pPr>
              <w:rPr>
                <w:b/>
                <w:sz w:val="20"/>
                <w:szCs w:val="20"/>
              </w:rPr>
            </w:pPr>
            <w:r>
              <w:rPr>
                <w:b/>
                <w:sz w:val="20"/>
                <w:szCs w:val="20"/>
              </w:rPr>
              <w:t xml:space="preserve">Improvement in Quality of Life (SF-36)) </w:t>
            </w:r>
            <w:r>
              <w:rPr>
                <w:sz w:val="20"/>
                <w:szCs w:val="20"/>
              </w:rPr>
              <w:t>(at 6 months)</w:t>
            </w:r>
          </w:p>
        </w:tc>
      </w:tr>
      <w:tr w:rsidR="002D58E4" w14:paraId="37E4F88E" w14:textId="77777777" w:rsidTr="00E343BA">
        <w:tc>
          <w:tcPr>
            <w:tcW w:w="708" w:type="dxa"/>
            <w:tcBorders>
              <w:top w:val="single" w:sz="6" w:space="0" w:color="000000"/>
              <w:left w:val="single" w:sz="6" w:space="0" w:color="000000"/>
              <w:bottom w:val="single" w:sz="6" w:space="0" w:color="000000"/>
              <w:right w:val="single" w:sz="6" w:space="0" w:color="000000"/>
            </w:tcBorders>
          </w:tcPr>
          <w:p w14:paraId="4AC7434F" w14:textId="77777777" w:rsidR="002D58E4" w:rsidRDefault="00F721D4">
            <w:pPr>
              <w:rPr>
                <w:sz w:val="20"/>
                <w:szCs w:val="20"/>
              </w:rPr>
            </w:pPr>
            <w:r>
              <w:rPr>
                <w:sz w:val="20"/>
                <w:szCs w:val="20"/>
              </w:rPr>
              <w:t>2</w:t>
            </w:r>
          </w:p>
        </w:tc>
        <w:tc>
          <w:tcPr>
            <w:tcW w:w="1135" w:type="dxa"/>
            <w:tcBorders>
              <w:top w:val="single" w:sz="6" w:space="0" w:color="000000"/>
              <w:left w:val="single" w:sz="6" w:space="0" w:color="000000"/>
              <w:bottom w:val="single" w:sz="6" w:space="0" w:color="000000"/>
              <w:right w:val="single" w:sz="6" w:space="0" w:color="000000"/>
            </w:tcBorders>
          </w:tcPr>
          <w:p w14:paraId="596E1493" w14:textId="77777777" w:rsidR="002D58E4" w:rsidRDefault="00F721D4">
            <w:pPr>
              <w:rPr>
                <w:sz w:val="20"/>
                <w:szCs w:val="20"/>
                <w:vertAlign w:val="superscript"/>
              </w:rPr>
            </w:pPr>
            <w:r>
              <w:rPr>
                <w:sz w:val="20"/>
                <w:szCs w:val="20"/>
              </w:rPr>
              <w:t xml:space="preserve">RCT </w:t>
            </w:r>
            <w:r>
              <w:rPr>
                <w:sz w:val="20"/>
                <w:szCs w:val="20"/>
                <w:vertAlign w:val="superscript"/>
              </w:rPr>
              <w:t>1</w:t>
            </w:r>
          </w:p>
        </w:tc>
        <w:tc>
          <w:tcPr>
            <w:tcW w:w="991" w:type="dxa"/>
            <w:tcBorders>
              <w:top w:val="single" w:sz="6" w:space="0" w:color="000000"/>
              <w:left w:val="single" w:sz="6" w:space="0" w:color="000000"/>
              <w:bottom w:val="single" w:sz="6" w:space="0" w:color="000000"/>
              <w:right w:val="single" w:sz="6" w:space="0" w:color="000000"/>
            </w:tcBorders>
          </w:tcPr>
          <w:p w14:paraId="6F18344D" w14:textId="77777777" w:rsidR="002D58E4" w:rsidRDefault="00F721D4">
            <w:pPr>
              <w:rPr>
                <w:sz w:val="20"/>
                <w:szCs w:val="20"/>
              </w:rPr>
            </w:pPr>
            <w:r>
              <w:rPr>
                <w:sz w:val="20"/>
                <w:szCs w:val="20"/>
              </w:rPr>
              <w:t xml:space="preserve">not serious </w:t>
            </w:r>
          </w:p>
        </w:tc>
        <w:tc>
          <w:tcPr>
            <w:tcW w:w="1156" w:type="dxa"/>
            <w:tcBorders>
              <w:top w:val="single" w:sz="6" w:space="0" w:color="000000"/>
              <w:left w:val="single" w:sz="6" w:space="0" w:color="000000"/>
              <w:bottom w:val="single" w:sz="6" w:space="0" w:color="000000"/>
              <w:right w:val="single" w:sz="6" w:space="0" w:color="000000"/>
            </w:tcBorders>
          </w:tcPr>
          <w:p w14:paraId="0E9B5334"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77D3B4A6"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0FC63E71"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43562B86"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5BD08F8A" w14:textId="77777777" w:rsidR="002D58E4" w:rsidRDefault="00F721D4">
            <w:pPr>
              <w:jc w:val="center"/>
              <w:rPr>
                <w:sz w:val="20"/>
                <w:szCs w:val="20"/>
              </w:rPr>
            </w:pPr>
            <w:r>
              <w:rPr>
                <w:sz w:val="20"/>
                <w:szCs w:val="20"/>
              </w:rPr>
              <w:t>23/57</w:t>
            </w:r>
          </w:p>
          <w:p w14:paraId="6B1F957F" w14:textId="77777777" w:rsidR="002D58E4" w:rsidRDefault="00F721D4">
            <w:pPr>
              <w:jc w:val="center"/>
              <w:rPr>
                <w:sz w:val="20"/>
                <w:szCs w:val="20"/>
              </w:rPr>
            </w:pPr>
            <w:r>
              <w:rPr>
                <w:sz w:val="20"/>
                <w:szCs w:val="20"/>
              </w:rPr>
              <w:t>(40.4%)</w:t>
            </w:r>
          </w:p>
        </w:tc>
        <w:tc>
          <w:tcPr>
            <w:tcW w:w="1049" w:type="dxa"/>
            <w:tcBorders>
              <w:top w:val="single" w:sz="6" w:space="0" w:color="000000"/>
              <w:left w:val="single" w:sz="6" w:space="0" w:color="000000"/>
              <w:bottom w:val="single" w:sz="6" w:space="0" w:color="000000"/>
              <w:right w:val="single" w:sz="6" w:space="0" w:color="000000"/>
            </w:tcBorders>
          </w:tcPr>
          <w:p w14:paraId="35B70659" w14:textId="77777777" w:rsidR="002D58E4" w:rsidRDefault="00F721D4">
            <w:pPr>
              <w:jc w:val="center"/>
              <w:rPr>
                <w:sz w:val="20"/>
                <w:szCs w:val="20"/>
              </w:rPr>
            </w:pPr>
            <w:r>
              <w:rPr>
                <w:sz w:val="20"/>
                <w:szCs w:val="20"/>
              </w:rPr>
              <w:t>21/58</w:t>
            </w:r>
          </w:p>
          <w:p w14:paraId="497B5CAC" w14:textId="77777777" w:rsidR="002D58E4" w:rsidRDefault="00F721D4">
            <w:pPr>
              <w:jc w:val="center"/>
              <w:rPr>
                <w:sz w:val="20"/>
                <w:szCs w:val="20"/>
              </w:rPr>
            </w:pPr>
            <w:r>
              <w:rPr>
                <w:sz w:val="20"/>
                <w:szCs w:val="20"/>
              </w:rPr>
              <w:t>(36.2%)</w:t>
            </w:r>
          </w:p>
        </w:tc>
        <w:tc>
          <w:tcPr>
            <w:tcW w:w="1418" w:type="dxa"/>
            <w:gridSpan w:val="2"/>
            <w:tcBorders>
              <w:top w:val="single" w:sz="6" w:space="0" w:color="000000"/>
              <w:left w:val="single" w:sz="6" w:space="0" w:color="000000"/>
              <w:bottom w:val="single" w:sz="6" w:space="0" w:color="000000"/>
              <w:right w:val="single" w:sz="6" w:space="0" w:color="000000"/>
            </w:tcBorders>
          </w:tcPr>
          <w:p w14:paraId="1C9F123F" w14:textId="77777777" w:rsidR="002D58E4" w:rsidRDefault="00F721D4">
            <w:pPr>
              <w:jc w:val="center"/>
              <w:rPr>
                <w:sz w:val="20"/>
                <w:szCs w:val="20"/>
              </w:rPr>
            </w:pPr>
            <w:r>
              <w:rPr>
                <w:sz w:val="20"/>
                <w:szCs w:val="20"/>
              </w:rPr>
              <w:t xml:space="preserve">RR 1.11 </w:t>
            </w:r>
          </w:p>
          <w:p w14:paraId="1D8BB39C" w14:textId="77777777" w:rsidR="002D58E4" w:rsidRDefault="00F721D4">
            <w:pPr>
              <w:jc w:val="center"/>
              <w:rPr>
                <w:sz w:val="20"/>
                <w:szCs w:val="20"/>
              </w:rPr>
            </w:pPr>
            <w:r>
              <w:rPr>
                <w:sz w:val="20"/>
                <w:szCs w:val="20"/>
              </w:rPr>
              <w:t>(0.70 to 1.77)</w:t>
            </w:r>
          </w:p>
        </w:tc>
        <w:tc>
          <w:tcPr>
            <w:tcW w:w="1530" w:type="dxa"/>
            <w:tcBorders>
              <w:top w:val="single" w:sz="6" w:space="0" w:color="000000"/>
              <w:left w:val="single" w:sz="6" w:space="0" w:color="000000"/>
              <w:bottom w:val="single" w:sz="6" w:space="0" w:color="000000"/>
              <w:right w:val="single" w:sz="6" w:space="0" w:color="000000"/>
            </w:tcBorders>
          </w:tcPr>
          <w:p w14:paraId="13762E68" w14:textId="77777777" w:rsidR="002D58E4" w:rsidRDefault="00F721D4">
            <w:pPr>
              <w:jc w:val="center"/>
              <w:rPr>
                <w:sz w:val="20"/>
                <w:szCs w:val="20"/>
              </w:rPr>
            </w:pPr>
            <w:r>
              <w:rPr>
                <w:sz w:val="20"/>
                <w:szCs w:val="20"/>
              </w:rPr>
              <w:t>41 more per 1,000</w:t>
            </w:r>
          </w:p>
          <w:p w14:paraId="37DF113E" w14:textId="77777777" w:rsidR="002D58E4" w:rsidRDefault="00F721D4">
            <w:pPr>
              <w:jc w:val="center"/>
              <w:rPr>
                <w:sz w:val="20"/>
                <w:szCs w:val="20"/>
              </w:rPr>
            </w:pPr>
            <w:r>
              <w:rPr>
                <w:sz w:val="20"/>
                <w:szCs w:val="20"/>
              </w:rPr>
              <w:t>(from 136 less to 219 more)</w:t>
            </w:r>
          </w:p>
        </w:tc>
        <w:tc>
          <w:tcPr>
            <w:tcW w:w="1134" w:type="dxa"/>
            <w:tcBorders>
              <w:top w:val="single" w:sz="6" w:space="0" w:color="000000"/>
              <w:left w:val="single" w:sz="6" w:space="0" w:color="000000"/>
              <w:bottom w:val="single" w:sz="6" w:space="0" w:color="000000"/>
              <w:right w:val="single" w:sz="6" w:space="0" w:color="000000"/>
            </w:tcBorders>
          </w:tcPr>
          <w:p w14:paraId="03A5399D"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749FF773" w14:textId="77777777" w:rsidR="002D58E4" w:rsidRDefault="00F721D4">
            <w:pPr>
              <w:rPr>
                <w:sz w:val="20"/>
                <w:szCs w:val="20"/>
              </w:rPr>
            </w:pPr>
            <w:r>
              <w:rPr>
                <w:sz w:val="20"/>
                <w:szCs w:val="20"/>
              </w:rPr>
              <w:t>CRITICAL</w:t>
            </w:r>
          </w:p>
        </w:tc>
      </w:tr>
      <w:tr w:rsidR="002D58E4" w14:paraId="7AFD76A6"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66202A23" w14:textId="77777777" w:rsidR="002D58E4" w:rsidRDefault="00F721D4">
            <w:pPr>
              <w:rPr>
                <w:sz w:val="20"/>
                <w:szCs w:val="20"/>
              </w:rPr>
            </w:pPr>
            <w:r>
              <w:rPr>
                <w:b/>
                <w:sz w:val="20"/>
                <w:szCs w:val="20"/>
              </w:rPr>
              <w:t xml:space="preserve">Improvement in Quality of Life (Physical component of SF-36) </w:t>
            </w:r>
            <w:r>
              <w:rPr>
                <w:sz w:val="20"/>
                <w:szCs w:val="20"/>
              </w:rPr>
              <w:t>(at 6 months)</w:t>
            </w:r>
          </w:p>
        </w:tc>
      </w:tr>
      <w:tr w:rsidR="002D58E4" w14:paraId="1AA233E4" w14:textId="77777777" w:rsidTr="00E343BA">
        <w:tc>
          <w:tcPr>
            <w:tcW w:w="708" w:type="dxa"/>
            <w:tcBorders>
              <w:top w:val="single" w:sz="6" w:space="0" w:color="000000"/>
              <w:left w:val="single" w:sz="6" w:space="0" w:color="000000"/>
              <w:bottom w:val="single" w:sz="6" w:space="0" w:color="000000"/>
              <w:right w:val="single" w:sz="6" w:space="0" w:color="000000"/>
            </w:tcBorders>
          </w:tcPr>
          <w:p w14:paraId="68BDBAC2" w14:textId="77777777" w:rsidR="002D58E4" w:rsidRDefault="00F721D4">
            <w:pPr>
              <w:rPr>
                <w:sz w:val="20"/>
                <w:szCs w:val="20"/>
              </w:rPr>
            </w:pPr>
            <w:r>
              <w:rPr>
                <w:sz w:val="20"/>
                <w:szCs w:val="20"/>
              </w:rPr>
              <w:t>2</w:t>
            </w:r>
          </w:p>
        </w:tc>
        <w:tc>
          <w:tcPr>
            <w:tcW w:w="1135" w:type="dxa"/>
            <w:tcBorders>
              <w:top w:val="single" w:sz="6" w:space="0" w:color="000000"/>
              <w:left w:val="single" w:sz="6" w:space="0" w:color="000000"/>
              <w:bottom w:val="single" w:sz="6" w:space="0" w:color="000000"/>
              <w:right w:val="single" w:sz="6" w:space="0" w:color="000000"/>
            </w:tcBorders>
          </w:tcPr>
          <w:p w14:paraId="51B29970" w14:textId="77777777" w:rsidR="002D58E4" w:rsidRDefault="00F721D4">
            <w:pPr>
              <w:rPr>
                <w:sz w:val="20"/>
                <w:szCs w:val="20"/>
              </w:rPr>
            </w:pPr>
            <w:r>
              <w:rPr>
                <w:sz w:val="20"/>
                <w:szCs w:val="20"/>
              </w:rPr>
              <w:t xml:space="preserve">RCT </w:t>
            </w:r>
            <w:r>
              <w:rPr>
                <w:sz w:val="20"/>
                <w:szCs w:val="20"/>
                <w:vertAlign w:val="superscript"/>
              </w:rPr>
              <w:t>1</w:t>
            </w:r>
          </w:p>
        </w:tc>
        <w:tc>
          <w:tcPr>
            <w:tcW w:w="991" w:type="dxa"/>
            <w:tcBorders>
              <w:top w:val="single" w:sz="6" w:space="0" w:color="000000"/>
              <w:left w:val="single" w:sz="6" w:space="0" w:color="000000"/>
              <w:bottom w:val="single" w:sz="6" w:space="0" w:color="000000"/>
              <w:right w:val="single" w:sz="6" w:space="0" w:color="000000"/>
            </w:tcBorders>
          </w:tcPr>
          <w:p w14:paraId="4BB54C48" w14:textId="77777777" w:rsidR="002D58E4" w:rsidRDefault="00F721D4">
            <w:pPr>
              <w:rPr>
                <w:sz w:val="20"/>
                <w:szCs w:val="20"/>
              </w:rPr>
            </w:pPr>
            <w:r>
              <w:rPr>
                <w:sz w:val="20"/>
                <w:szCs w:val="20"/>
              </w:rPr>
              <w:t xml:space="preserve">not serious </w:t>
            </w:r>
          </w:p>
        </w:tc>
        <w:tc>
          <w:tcPr>
            <w:tcW w:w="1156" w:type="dxa"/>
            <w:tcBorders>
              <w:top w:val="single" w:sz="6" w:space="0" w:color="000000"/>
              <w:left w:val="single" w:sz="6" w:space="0" w:color="000000"/>
              <w:bottom w:val="single" w:sz="6" w:space="0" w:color="000000"/>
              <w:right w:val="single" w:sz="6" w:space="0" w:color="000000"/>
            </w:tcBorders>
          </w:tcPr>
          <w:p w14:paraId="053C43E5"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74056495"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0DF09168"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6106FE33"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6452C5F0" w14:textId="77777777" w:rsidR="002D58E4" w:rsidRDefault="00F721D4">
            <w:pPr>
              <w:jc w:val="center"/>
              <w:rPr>
                <w:sz w:val="20"/>
                <w:szCs w:val="20"/>
              </w:rPr>
            </w:pPr>
            <w:r>
              <w:rPr>
                <w:sz w:val="20"/>
                <w:szCs w:val="20"/>
              </w:rPr>
              <w:t>20/57</w:t>
            </w:r>
          </w:p>
          <w:p w14:paraId="5680791A" w14:textId="77777777" w:rsidR="002D58E4" w:rsidRDefault="00F721D4">
            <w:pPr>
              <w:jc w:val="center"/>
              <w:rPr>
                <w:sz w:val="20"/>
                <w:szCs w:val="20"/>
              </w:rPr>
            </w:pPr>
            <w:r>
              <w:rPr>
                <w:sz w:val="20"/>
                <w:szCs w:val="20"/>
              </w:rPr>
              <w:t>(38.6%)</w:t>
            </w:r>
          </w:p>
        </w:tc>
        <w:tc>
          <w:tcPr>
            <w:tcW w:w="1049" w:type="dxa"/>
            <w:tcBorders>
              <w:top w:val="single" w:sz="6" w:space="0" w:color="000000"/>
              <w:left w:val="single" w:sz="6" w:space="0" w:color="000000"/>
              <w:bottom w:val="single" w:sz="6" w:space="0" w:color="000000"/>
              <w:right w:val="single" w:sz="6" w:space="0" w:color="000000"/>
            </w:tcBorders>
          </w:tcPr>
          <w:p w14:paraId="19B2D063" w14:textId="77777777" w:rsidR="002D58E4" w:rsidRDefault="00F721D4">
            <w:pPr>
              <w:jc w:val="center"/>
              <w:rPr>
                <w:sz w:val="20"/>
                <w:szCs w:val="20"/>
              </w:rPr>
            </w:pPr>
            <w:r>
              <w:rPr>
                <w:sz w:val="20"/>
                <w:szCs w:val="20"/>
              </w:rPr>
              <w:t>15/58</w:t>
            </w:r>
          </w:p>
          <w:p w14:paraId="7BF115B1" w14:textId="77777777" w:rsidR="002D58E4" w:rsidRDefault="00F721D4">
            <w:pPr>
              <w:jc w:val="center"/>
              <w:rPr>
                <w:sz w:val="20"/>
                <w:szCs w:val="20"/>
              </w:rPr>
            </w:pPr>
            <w:r>
              <w:rPr>
                <w:sz w:val="20"/>
                <w:szCs w:val="20"/>
              </w:rPr>
              <w:t>(25.9%)</w:t>
            </w:r>
          </w:p>
        </w:tc>
        <w:tc>
          <w:tcPr>
            <w:tcW w:w="1418" w:type="dxa"/>
            <w:gridSpan w:val="2"/>
            <w:tcBorders>
              <w:top w:val="single" w:sz="6" w:space="0" w:color="000000"/>
              <w:left w:val="single" w:sz="6" w:space="0" w:color="000000"/>
              <w:bottom w:val="single" w:sz="6" w:space="0" w:color="000000"/>
              <w:right w:val="single" w:sz="6" w:space="0" w:color="000000"/>
            </w:tcBorders>
          </w:tcPr>
          <w:p w14:paraId="6ADA1C30" w14:textId="77777777" w:rsidR="002D58E4" w:rsidRDefault="00F721D4">
            <w:pPr>
              <w:jc w:val="center"/>
              <w:rPr>
                <w:sz w:val="20"/>
                <w:szCs w:val="20"/>
              </w:rPr>
            </w:pPr>
            <w:r>
              <w:rPr>
                <w:sz w:val="20"/>
                <w:szCs w:val="20"/>
              </w:rPr>
              <w:t xml:space="preserve">RR 1.36 </w:t>
            </w:r>
          </w:p>
          <w:p w14:paraId="4C784510" w14:textId="77777777" w:rsidR="002D58E4" w:rsidRDefault="00F721D4">
            <w:pPr>
              <w:jc w:val="center"/>
              <w:rPr>
                <w:sz w:val="20"/>
                <w:szCs w:val="20"/>
              </w:rPr>
            </w:pPr>
            <w:r>
              <w:rPr>
                <w:sz w:val="20"/>
                <w:szCs w:val="20"/>
              </w:rPr>
              <w:t>(0.77 to 2.38)</w:t>
            </w:r>
          </w:p>
        </w:tc>
        <w:tc>
          <w:tcPr>
            <w:tcW w:w="1530" w:type="dxa"/>
            <w:tcBorders>
              <w:top w:val="single" w:sz="6" w:space="0" w:color="000000"/>
              <w:left w:val="single" w:sz="6" w:space="0" w:color="000000"/>
              <w:bottom w:val="single" w:sz="6" w:space="0" w:color="000000"/>
              <w:right w:val="single" w:sz="6" w:space="0" w:color="000000"/>
            </w:tcBorders>
          </w:tcPr>
          <w:p w14:paraId="3CFE58BF" w14:textId="77777777" w:rsidR="002D58E4" w:rsidRDefault="00F721D4">
            <w:pPr>
              <w:jc w:val="center"/>
              <w:rPr>
                <w:sz w:val="20"/>
                <w:szCs w:val="20"/>
              </w:rPr>
            </w:pPr>
            <w:r>
              <w:rPr>
                <w:sz w:val="20"/>
                <w:szCs w:val="20"/>
              </w:rPr>
              <w:t xml:space="preserve">90 more per 1,000 </w:t>
            </w:r>
          </w:p>
          <w:p w14:paraId="049F5A60" w14:textId="77777777" w:rsidR="002D58E4" w:rsidRDefault="00F721D4">
            <w:pPr>
              <w:jc w:val="center"/>
              <w:rPr>
                <w:sz w:val="20"/>
                <w:szCs w:val="20"/>
              </w:rPr>
            </w:pPr>
            <w:r>
              <w:rPr>
                <w:sz w:val="20"/>
                <w:szCs w:val="20"/>
              </w:rPr>
              <w:t>(from 75 less to 260 more)</w:t>
            </w:r>
          </w:p>
        </w:tc>
        <w:tc>
          <w:tcPr>
            <w:tcW w:w="1134" w:type="dxa"/>
            <w:tcBorders>
              <w:top w:val="single" w:sz="6" w:space="0" w:color="000000"/>
              <w:left w:val="single" w:sz="6" w:space="0" w:color="000000"/>
              <w:bottom w:val="single" w:sz="6" w:space="0" w:color="000000"/>
              <w:right w:val="single" w:sz="6" w:space="0" w:color="000000"/>
            </w:tcBorders>
          </w:tcPr>
          <w:p w14:paraId="705AD72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67FE1CC2" w14:textId="77777777" w:rsidR="002D58E4" w:rsidRDefault="00F721D4">
            <w:pPr>
              <w:rPr>
                <w:sz w:val="20"/>
                <w:szCs w:val="20"/>
              </w:rPr>
            </w:pPr>
            <w:r>
              <w:rPr>
                <w:sz w:val="20"/>
                <w:szCs w:val="20"/>
              </w:rPr>
              <w:t>CRITICAL</w:t>
            </w:r>
          </w:p>
        </w:tc>
      </w:tr>
      <w:tr w:rsidR="002D58E4" w14:paraId="29B4A93D"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5BAD7D81" w14:textId="77777777" w:rsidR="002D58E4" w:rsidRDefault="00F721D4">
            <w:pPr>
              <w:rPr>
                <w:sz w:val="20"/>
                <w:szCs w:val="20"/>
              </w:rPr>
            </w:pPr>
            <w:r>
              <w:rPr>
                <w:b/>
                <w:sz w:val="20"/>
                <w:szCs w:val="20"/>
              </w:rPr>
              <w:t xml:space="preserve">Mean SF-36 Physical Component Score </w:t>
            </w:r>
            <w:r>
              <w:rPr>
                <w:sz w:val="20"/>
                <w:szCs w:val="20"/>
              </w:rPr>
              <w:t>(</w:t>
            </w:r>
            <w:r>
              <w:rPr>
                <w:color w:val="000000"/>
                <w:sz w:val="20"/>
                <w:szCs w:val="20"/>
              </w:rPr>
              <w:t>Higher scores indicate better quality of life</w:t>
            </w:r>
            <w:r>
              <w:rPr>
                <w:sz w:val="20"/>
                <w:szCs w:val="20"/>
              </w:rPr>
              <w:t>) (at 6 months)</w:t>
            </w:r>
          </w:p>
        </w:tc>
      </w:tr>
      <w:tr w:rsidR="002D58E4" w14:paraId="092A6591" w14:textId="77777777" w:rsidTr="00E343BA">
        <w:tc>
          <w:tcPr>
            <w:tcW w:w="708" w:type="dxa"/>
            <w:tcBorders>
              <w:top w:val="single" w:sz="6" w:space="0" w:color="000000"/>
              <w:left w:val="single" w:sz="6" w:space="0" w:color="000000"/>
              <w:bottom w:val="single" w:sz="6" w:space="0" w:color="000000"/>
              <w:right w:val="single" w:sz="6" w:space="0" w:color="000000"/>
            </w:tcBorders>
          </w:tcPr>
          <w:p w14:paraId="12CD47CE" w14:textId="77777777" w:rsidR="002D58E4" w:rsidRDefault="00F721D4">
            <w:pPr>
              <w:rPr>
                <w:sz w:val="20"/>
                <w:szCs w:val="20"/>
              </w:rPr>
            </w:pPr>
            <w:r>
              <w:rPr>
                <w:sz w:val="20"/>
                <w:szCs w:val="20"/>
              </w:rPr>
              <w:t xml:space="preserve">1 </w:t>
            </w:r>
          </w:p>
        </w:tc>
        <w:tc>
          <w:tcPr>
            <w:tcW w:w="1135" w:type="dxa"/>
            <w:tcBorders>
              <w:top w:val="single" w:sz="6" w:space="0" w:color="000000"/>
              <w:left w:val="single" w:sz="6" w:space="0" w:color="000000"/>
              <w:bottom w:val="single" w:sz="6" w:space="0" w:color="000000"/>
              <w:right w:val="single" w:sz="6" w:space="0" w:color="000000"/>
            </w:tcBorders>
          </w:tcPr>
          <w:p w14:paraId="6848579D" w14:textId="77777777" w:rsidR="002D58E4" w:rsidRDefault="00F721D4">
            <w:pPr>
              <w:rPr>
                <w:sz w:val="20"/>
                <w:szCs w:val="20"/>
              </w:rPr>
            </w:pPr>
            <w:r>
              <w:rPr>
                <w:sz w:val="20"/>
                <w:szCs w:val="20"/>
              </w:rPr>
              <w:t xml:space="preserve">RCT </w:t>
            </w:r>
            <w:r>
              <w:rPr>
                <w:sz w:val="20"/>
                <w:szCs w:val="20"/>
                <w:vertAlign w:val="superscript"/>
              </w:rPr>
              <w:t>2</w:t>
            </w:r>
          </w:p>
        </w:tc>
        <w:tc>
          <w:tcPr>
            <w:tcW w:w="991" w:type="dxa"/>
            <w:tcBorders>
              <w:top w:val="single" w:sz="6" w:space="0" w:color="000000"/>
              <w:left w:val="single" w:sz="6" w:space="0" w:color="000000"/>
              <w:bottom w:val="single" w:sz="6" w:space="0" w:color="000000"/>
              <w:right w:val="single" w:sz="6" w:space="0" w:color="000000"/>
            </w:tcBorders>
          </w:tcPr>
          <w:p w14:paraId="3A562190" w14:textId="77777777" w:rsidR="002D58E4" w:rsidRDefault="00F721D4">
            <w:pPr>
              <w:rPr>
                <w:sz w:val="20"/>
                <w:szCs w:val="20"/>
              </w:rPr>
            </w:pPr>
            <w:r>
              <w:rPr>
                <w:sz w:val="20"/>
                <w:szCs w:val="20"/>
              </w:rPr>
              <w:t xml:space="preserve">not serious </w:t>
            </w:r>
          </w:p>
        </w:tc>
        <w:tc>
          <w:tcPr>
            <w:tcW w:w="1156" w:type="dxa"/>
            <w:tcBorders>
              <w:top w:val="single" w:sz="6" w:space="0" w:color="000000"/>
              <w:left w:val="single" w:sz="6" w:space="0" w:color="000000"/>
              <w:bottom w:val="single" w:sz="6" w:space="0" w:color="000000"/>
              <w:right w:val="single" w:sz="6" w:space="0" w:color="000000"/>
            </w:tcBorders>
          </w:tcPr>
          <w:p w14:paraId="15527100"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16C5BEC1"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3B33BCF8"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4AE53B2D"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571C1951" w14:textId="77777777" w:rsidR="002D58E4" w:rsidRDefault="00F721D4">
            <w:pPr>
              <w:jc w:val="center"/>
              <w:rPr>
                <w:sz w:val="20"/>
                <w:szCs w:val="20"/>
              </w:rPr>
            </w:pPr>
            <w:r>
              <w:rPr>
                <w:sz w:val="20"/>
                <w:szCs w:val="20"/>
              </w:rPr>
              <w:t xml:space="preserve">N= 23 </w:t>
            </w:r>
          </w:p>
        </w:tc>
        <w:tc>
          <w:tcPr>
            <w:tcW w:w="1049" w:type="dxa"/>
            <w:tcBorders>
              <w:top w:val="single" w:sz="6" w:space="0" w:color="000000"/>
              <w:left w:val="single" w:sz="6" w:space="0" w:color="000000"/>
              <w:bottom w:val="single" w:sz="6" w:space="0" w:color="000000"/>
              <w:right w:val="single" w:sz="6" w:space="0" w:color="000000"/>
            </w:tcBorders>
          </w:tcPr>
          <w:p w14:paraId="6C042ECF" w14:textId="77777777" w:rsidR="002D58E4" w:rsidRDefault="00F721D4">
            <w:pPr>
              <w:jc w:val="center"/>
              <w:rPr>
                <w:sz w:val="20"/>
                <w:szCs w:val="20"/>
              </w:rPr>
            </w:pPr>
            <w:r>
              <w:rPr>
                <w:sz w:val="20"/>
                <w:szCs w:val="20"/>
              </w:rPr>
              <w:t xml:space="preserve">N= 14 </w:t>
            </w:r>
          </w:p>
        </w:tc>
        <w:tc>
          <w:tcPr>
            <w:tcW w:w="2948" w:type="dxa"/>
            <w:gridSpan w:val="3"/>
            <w:tcBorders>
              <w:top w:val="single" w:sz="6" w:space="0" w:color="000000"/>
              <w:left w:val="single" w:sz="6" w:space="0" w:color="000000"/>
              <w:bottom w:val="single" w:sz="6" w:space="0" w:color="000000"/>
              <w:right w:val="single" w:sz="6" w:space="0" w:color="000000"/>
            </w:tcBorders>
          </w:tcPr>
          <w:p w14:paraId="7784BB19" w14:textId="77777777" w:rsidR="002D58E4" w:rsidRDefault="00F721D4">
            <w:pPr>
              <w:jc w:val="center"/>
              <w:rPr>
                <w:sz w:val="20"/>
                <w:szCs w:val="20"/>
              </w:rPr>
            </w:pPr>
            <w:r>
              <w:rPr>
                <w:sz w:val="20"/>
                <w:szCs w:val="20"/>
              </w:rPr>
              <w:t>MD 5.2 higher in patients treated with antibiotics (1.68 lower to 12.08 higher)</w:t>
            </w:r>
          </w:p>
        </w:tc>
        <w:tc>
          <w:tcPr>
            <w:tcW w:w="1134" w:type="dxa"/>
            <w:tcBorders>
              <w:top w:val="single" w:sz="6" w:space="0" w:color="000000"/>
              <w:left w:val="single" w:sz="6" w:space="0" w:color="000000"/>
              <w:bottom w:val="single" w:sz="6" w:space="0" w:color="000000"/>
              <w:right w:val="single" w:sz="6" w:space="0" w:color="000000"/>
            </w:tcBorders>
          </w:tcPr>
          <w:p w14:paraId="3A0AB0AF"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4728F421" w14:textId="77777777" w:rsidR="002D58E4" w:rsidRDefault="00F721D4">
            <w:pPr>
              <w:rPr>
                <w:sz w:val="20"/>
                <w:szCs w:val="20"/>
              </w:rPr>
            </w:pPr>
            <w:r>
              <w:rPr>
                <w:sz w:val="20"/>
                <w:szCs w:val="20"/>
              </w:rPr>
              <w:t>CRITICAL</w:t>
            </w:r>
          </w:p>
        </w:tc>
      </w:tr>
      <w:tr w:rsidR="002D58E4" w14:paraId="6C33334E"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3A871B68" w14:textId="77777777" w:rsidR="002D58E4" w:rsidRDefault="00F721D4">
            <w:pPr>
              <w:rPr>
                <w:sz w:val="20"/>
                <w:szCs w:val="20"/>
              </w:rPr>
            </w:pPr>
            <w:r>
              <w:rPr>
                <w:b/>
                <w:sz w:val="20"/>
                <w:szCs w:val="20"/>
              </w:rPr>
              <w:t xml:space="preserve">Mean FSS-11 Score </w:t>
            </w:r>
            <w:r>
              <w:rPr>
                <w:sz w:val="20"/>
                <w:szCs w:val="20"/>
              </w:rPr>
              <w:t xml:space="preserve">(Lower </w:t>
            </w:r>
            <w:r>
              <w:rPr>
                <w:color w:val="000000"/>
                <w:sz w:val="20"/>
                <w:szCs w:val="20"/>
              </w:rPr>
              <w:t>scores indicate less fatigue severity)</w:t>
            </w:r>
            <w:r>
              <w:rPr>
                <w:sz w:val="20"/>
                <w:szCs w:val="20"/>
              </w:rPr>
              <w:t xml:space="preserve"> (at 6 months)</w:t>
            </w:r>
          </w:p>
        </w:tc>
      </w:tr>
      <w:tr w:rsidR="002D58E4" w14:paraId="2FF02F89" w14:textId="77777777" w:rsidTr="00E343BA">
        <w:tc>
          <w:tcPr>
            <w:tcW w:w="708" w:type="dxa"/>
            <w:tcBorders>
              <w:top w:val="single" w:sz="6" w:space="0" w:color="000000"/>
              <w:left w:val="single" w:sz="6" w:space="0" w:color="000000"/>
              <w:bottom w:val="single" w:sz="6" w:space="0" w:color="000000"/>
              <w:right w:val="single" w:sz="6" w:space="0" w:color="000000"/>
            </w:tcBorders>
          </w:tcPr>
          <w:p w14:paraId="03441EF7" w14:textId="77777777" w:rsidR="002D58E4" w:rsidRDefault="00F721D4">
            <w:pPr>
              <w:rPr>
                <w:sz w:val="20"/>
                <w:szCs w:val="20"/>
              </w:rPr>
            </w:pPr>
            <w:r>
              <w:rPr>
                <w:sz w:val="20"/>
                <w:szCs w:val="20"/>
              </w:rPr>
              <w:t xml:space="preserve">2 </w:t>
            </w:r>
          </w:p>
        </w:tc>
        <w:tc>
          <w:tcPr>
            <w:tcW w:w="1135" w:type="dxa"/>
            <w:tcBorders>
              <w:top w:val="single" w:sz="6" w:space="0" w:color="000000"/>
              <w:left w:val="single" w:sz="6" w:space="0" w:color="000000"/>
              <w:bottom w:val="single" w:sz="6" w:space="0" w:color="000000"/>
              <w:right w:val="single" w:sz="6" w:space="0" w:color="000000"/>
            </w:tcBorders>
          </w:tcPr>
          <w:p w14:paraId="6764A54C" w14:textId="77777777" w:rsidR="002D58E4" w:rsidRDefault="00F721D4">
            <w:pPr>
              <w:rPr>
                <w:sz w:val="20"/>
                <w:szCs w:val="20"/>
              </w:rPr>
            </w:pPr>
            <w:r>
              <w:rPr>
                <w:sz w:val="20"/>
                <w:szCs w:val="20"/>
              </w:rPr>
              <w:t xml:space="preserve">RCTs </w:t>
            </w:r>
            <w:r>
              <w:rPr>
                <w:sz w:val="20"/>
                <w:szCs w:val="20"/>
                <w:vertAlign w:val="superscript"/>
              </w:rPr>
              <w:t>2,3</w:t>
            </w:r>
          </w:p>
        </w:tc>
        <w:tc>
          <w:tcPr>
            <w:tcW w:w="991" w:type="dxa"/>
            <w:tcBorders>
              <w:top w:val="single" w:sz="6" w:space="0" w:color="000000"/>
              <w:left w:val="single" w:sz="6" w:space="0" w:color="000000"/>
              <w:bottom w:val="single" w:sz="6" w:space="0" w:color="000000"/>
              <w:right w:val="single" w:sz="6" w:space="0" w:color="000000"/>
            </w:tcBorders>
          </w:tcPr>
          <w:p w14:paraId="1B263DF7" w14:textId="77777777" w:rsidR="002D58E4" w:rsidRDefault="00F721D4">
            <w:pPr>
              <w:rPr>
                <w:sz w:val="20"/>
                <w:szCs w:val="20"/>
              </w:rPr>
            </w:pPr>
            <w:r>
              <w:rPr>
                <w:sz w:val="20"/>
                <w:szCs w:val="20"/>
              </w:rPr>
              <w:t xml:space="preserve">serious </w:t>
            </w:r>
            <w:r>
              <w:rPr>
                <w:sz w:val="20"/>
                <w:szCs w:val="20"/>
                <w:vertAlign w:val="superscript"/>
              </w:rPr>
              <w:t>b</w:t>
            </w:r>
          </w:p>
        </w:tc>
        <w:tc>
          <w:tcPr>
            <w:tcW w:w="1156" w:type="dxa"/>
            <w:tcBorders>
              <w:top w:val="single" w:sz="6" w:space="0" w:color="000000"/>
              <w:left w:val="single" w:sz="6" w:space="0" w:color="000000"/>
              <w:bottom w:val="single" w:sz="6" w:space="0" w:color="000000"/>
              <w:right w:val="single" w:sz="6" w:space="0" w:color="000000"/>
            </w:tcBorders>
          </w:tcPr>
          <w:p w14:paraId="2523DFAF"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6C4903D4"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4824D241" w14:textId="77777777" w:rsidR="002D58E4" w:rsidRDefault="00F721D4">
            <w:pPr>
              <w:rPr>
                <w:sz w:val="20"/>
                <w:szCs w:val="20"/>
              </w:rPr>
            </w:pPr>
            <w:r>
              <w:rPr>
                <w:sz w:val="20"/>
                <w:szCs w:val="20"/>
              </w:rPr>
              <w:t xml:space="preserve">serious </w:t>
            </w:r>
            <w:r>
              <w:rPr>
                <w:sz w:val="20"/>
                <w:szCs w:val="20"/>
                <w:vertAlign w:val="superscript"/>
              </w:rPr>
              <w:t>c</w:t>
            </w:r>
          </w:p>
        </w:tc>
        <w:tc>
          <w:tcPr>
            <w:tcW w:w="877" w:type="dxa"/>
            <w:tcBorders>
              <w:top w:val="single" w:sz="6" w:space="0" w:color="000000"/>
              <w:left w:val="single" w:sz="6" w:space="0" w:color="000000"/>
              <w:bottom w:val="single" w:sz="6" w:space="0" w:color="000000"/>
              <w:right w:val="single" w:sz="6" w:space="0" w:color="000000"/>
            </w:tcBorders>
          </w:tcPr>
          <w:p w14:paraId="47A2D35E"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4C938920" w14:textId="77777777" w:rsidR="002D58E4" w:rsidRDefault="00F721D4">
            <w:pPr>
              <w:jc w:val="center"/>
              <w:rPr>
                <w:sz w:val="20"/>
                <w:szCs w:val="20"/>
              </w:rPr>
            </w:pPr>
            <w:r>
              <w:rPr>
                <w:sz w:val="20"/>
                <w:szCs w:val="20"/>
              </w:rPr>
              <w:t xml:space="preserve">N= 49 </w:t>
            </w:r>
          </w:p>
        </w:tc>
        <w:tc>
          <w:tcPr>
            <w:tcW w:w="1049" w:type="dxa"/>
            <w:tcBorders>
              <w:top w:val="single" w:sz="6" w:space="0" w:color="000000"/>
              <w:left w:val="single" w:sz="6" w:space="0" w:color="000000"/>
              <w:bottom w:val="single" w:sz="6" w:space="0" w:color="000000"/>
              <w:right w:val="single" w:sz="6" w:space="0" w:color="000000"/>
            </w:tcBorders>
          </w:tcPr>
          <w:p w14:paraId="53007182" w14:textId="77777777" w:rsidR="002D58E4" w:rsidRDefault="00F721D4">
            <w:pPr>
              <w:jc w:val="center"/>
              <w:rPr>
                <w:sz w:val="20"/>
                <w:szCs w:val="20"/>
              </w:rPr>
            </w:pPr>
            <w:r>
              <w:rPr>
                <w:sz w:val="20"/>
                <w:szCs w:val="20"/>
              </w:rPr>
              <w:t xml:space="preserve">N= 36 </w:t>
            </w:r>
          </w:p>
        </w:tc>
        <w:tc>
          <w:tcPr>
            <w:tcW w:w="2948" w:type="dxa"/>
            <w:gridSpan w:val="3"/>
            <w:tcBorders>
              <w:top w:val="single" w:sz="6" w:space="0" w:color="000000"/>
              <w:left w:val="single" w:sz="6" w:space="0" w:color="000000"/>
              <w:bottom w:val="single" w:sz="6" w:space="0" w:color="000000"/>
              <w:right w:val="single" w:sz="6" w:space="0" w:color="000000"/>
            </w:tcBorders>
          </w:tcPr>
          <w:p w14:paraId="530F5CBF" w14:textId="77777777" w:rsidR="002D58E4" w:rsidRDefault="00F721D4">
            <w:pPr>
              <w:jc w:val="center"/>
              <w:rPr>
                <w:sz w:val="20"/>
                <w:szCs w:val="20"/>
              </w:rPr>
            </w:pPr>
            <w:r>
              <w:rPr>
                <w:b/>
                <w:sz w:val="20"/>
                <w:szCs w:val="20"/>
              </w:rPr>
              <w:t>MD 0.83 lower in patients treated with antibiotics (1.57 lower to 0.09 lower)</w:t>
            </w:r>
          </w:p>
        </w:tc>
        <w:tc>
          <w:tcPr>
            <w:tcW w:w="1134" w:type="dxa"/>
            <w:tcBorders>
              <w:top w:val="single" w:sz="6" w:space="0" w:color="000000"/>
              <w:left w:val="single" w:sz="6" w:space="0" w:color="000000"/>
              <w:bottom w:val="single" w:sz="6" w:space="0" w:color="000000"/>
              <w:right w:val="single" w:sz="6" w:space="0" w:color="000000"/>
            </w:tcBorders>
          </w:tcPr>
          <w:p w14:paraId="0F65E10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LOW</w:t>
            </w:r>
          </w:p>
        </w:tc>
        <w:tc>
          <w:tcPr>
            <w:tcW w:w="1134" w:type="dxa"/>
            <w:tcBorders>
              <w:top w:val="single" w:sz="6" w:space="0" w:color="000000"/>
              <w:left w:val="single" w:sz="6" w:space="0" w:color="000000"/>
              <w:bottom w:val="single" w:sz="6" w:space="0" w:color="000000"/>
              <w:right w:val="single" w:sz="6" w:space="0" w:color="000000"/>
            </w:tcBorders>
          </w:tcPr>
          <w:p w14:paraId="5276BAFC" w14:textId="77777777" w:rsidR="002D58E4" w:rsidRDefault="00F721D4">
            <w:pPr>
              <w:rPr>
                <w:sz w:val="20"/>
                <w:szCs w:val="20"/>
              </w:rPr>
            </w:pPr>
            <w:r>
              <w:rPr>
                <w:sz w:val="20"/>
                <w:szCs w:val="20"/>
              </w:rPr>
              <w:t>CRITICAL</w:t>
            </w:r>
          </w:p>
        </w:tc>
      </w:tr>
      <w:tr w:rsidR="002D58E4" w14:paraId="72CFAC62"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2C5C7A61" w14:textId="77777777" w:rsidR="002D58E4" w:rsidRDefault="00F721D4">
            <w:pPr>
              <w:rPr>
                <w:sz w:val="20"/>
                <w:szCs w:val="20"/>
              </w:rPr>
            </w:pPr>
            <w:r>
              <w:rPr>
                <w:b/>
                <w:sz w:val="20"/>
                <w:szCs w:val="20"/>
              </w:rPr>
              <w:t xml:space="preserve">Improvement in Quality of Life (Mental component of SF-36) </w:t>
            </w:r>
            <w:r>
              <w:rPr>
                <w:sz w:val="20"/>
                <w:szCs w:val="20"/>
              </w:rPr>
              <w:t>(at 6 months)</w:t>
            </w:r>
            <w:r>
              <w:rPr>
                <w:b/>
                <w:sz w:val="20"/>
                <w:szCs w:val="20"/>
              </w:rPr>
              <w:t xml:space="preserve"> </w:t>
            </w:r>
          </w:p>
        </w:tc>
      </w:tr>
      <w:tr w:rsidR="002D58E4" w14:paraId="308AA138" w14:textId="77777777" w:rsidTr="00E343BA">
        <w:tc>
          <w:tcPr>
            <w:tcW w:w="708" w:type="dxa"/>
            <w:tcBorders>
              <w:top w:val="single" w:sz="6" w:space="0" w:color="000000"/>
              <w:left w:val="single" w:sz="6" w:space="0" w:color="000000"/>
              <w:bottom w:val="single" w:sz="6" w:space="0" w:color="000000"/>
              <w:right w:val="single" w:sz="6" w:space="0" w:color="000000"/>
            </w:tcBorders>
          </w:tcPr>
          <w:p w14:paraId="241520F1" w14:textId="77777777" w:rsidR="002D58E4" w:rsidRDefault="00F721D4">
            <w:pPr>
              <w:rPr>
                <w:sz w:val="20"/>
                <w:szCs w:val="20"/>
              </w:rPr>
            </w:pPr>
            <w:r>
              <w:rPr>
                <w:sz w:val="20"/>
                <w:szCs w:val="20"/>
              </w:rPr>
              <w:t>2</w:t>
            </w:r>
          </w:p>
        </w:tc>
        <w:tc>
          <w:tcPr>
            <w:tcW w:w="1135" w:type="dxa"/>
            <w:tcBorders>
              <w:top w:val="single" w:sz="6" w:space="0" w:color="000000"/>
              <w:left w:val="single" w:sz="6" w:space="0" w:color="000000"/>
              <w:bottom w:val="single" w:sz="6" w:space="0" w:color="000000"/>
              <w:right w:val="single" w:sz="6" w:space="0" w:color="000000"/>
            </w:tcBorders>
          </w:tcPr>
          <w:p w14:paraId="599D8269" w14:textId="77777777" w:rsidR="002D58E4" w:rsidRDefault="00F721D4">
            <w:pPr>
              <w:rPr>
                <w:sz w:val="20"/>
                <w:szCs w:val="20"/>
              </w:rPr>
            </w:pPr>
            <w:r>
              <w:rPr>
                <w:sz w:val="20"/>
                <w:szCs w:val="20"/>
              </w:rPr>
              <w:t xml:space="preserve">RCT </w:t>
            </w:r>
            <w:r>
              <w:rPr>
                <w:sz w:val="20"/>
                <w:szCs w:val="20"/>
                <w:vertAlign w:val="superscript"/>
              </w:rPr>
              <w:t>1</w:t>
            </w:r>
          </w:p>
        </w:tc>
        <w:tc>
          <w:tcPr>
            <w:tcW w:w="991" w:type="dxa"/>
            <w:tcBorders>
              <w:top w:val="single" w:sz="6" w:space="0" w:color="000000"/>
              <w:left w:val="single" w:sz="6" w:space="0" w:color="000000"/>
              <w:bottom w:val="single" w:sz="6" w:space="0" w:color="000000"/>
              <w:right w:val="single" w:sz="6" w:space="0" w:color="000000"/>
            </w:tcBorders>
          </w:tcPr>
          <w:p w14:paraId="0AA0CD37" w14:textId="77777777" w:rsidR="002D58E4" w:rsidRDefault="00F721D4">
            <w:pPr>
              <w:rPr>
                <w:sz w:val="20"/>
                <w:szCs w:val="20"/>
              </w:rPr>
            </w:pPr>
            <w:r>
              <w:rPr>
                <w:sz w:val="20"/>
                <w:szCs w:val="20"/>
              </w:rPr>
              <w:t xml:space="preserve">not serious </w:t>
            </w:r>
          </w:p>
        </w:tc>
        <w:tc>
          <w:tcPr>
            <w:tcW w:w="1156" w:type="dxa"/>
            <w:tcBorders>
              <w:top w:val="single" w:sz="6" w:space="0" w:color="000000"/>
              <w:left w:val="single" w:sz="6" w:space="0" w:color="000000"/>
              <w:bottom w:val="single" w:sz="6" w:space="0" w:color="000000"/>
              <w:right w:val="single" w:sz="6" w:space="0" w:color="000000"/>
            </w:tcBorders>
          </w:tcPr>
          <w:p w14:paraId="55ED6D01"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107B97C8"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707A9404"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298D5EC8"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2F79E5EA" w14:textId="77777777" w:rsidR="002D58E4" w:rsidRDefault="00F721D4">
            <w:pPr>
              <w:jc w:val="center"/>
              <w:rPr>
                <w:sz w:val="20"/>
                <w:szCs w:val="20"/>
              </w:rPr>
            </w:pPr>
            <w:r>
              <w:rPr>
                <w:sz w:val="20"/>
                <w:szCs w:val="20"/>
              </w:rPr>
              <w:t>19/57</w:t>
            </w:r>
          </w:p>
          <w:p w14:paraId="727611E1" w14:textId="77777777" w:rsidR="002D58E4" w:rsidRDefault="00F721D4">
            <w:pPr>
              <w:jc w:val="center"/>
              <w:rPr>
                <w:sz w:val="20"/>
                <w:szCs w:val="20"/>
              </w:rPr>
            </w:pPr>
            <w:r>
              <w:rPr>
                <w:sz w:val="20"/>
                <w:szCs w:val="20"/>
              </w:rPr>
              <w:t>(33.3%)</w:t>
            </w:r>
          </w:p>
        </w:tc>
        <w:tc>
          <w:tcPr>
            <w:tcW w:w="1049" w:type="dxa"/>
            <w:tcBorders>
              <w:top w:val="single" w:sz="6" w:space="0" w:color="000000"/>
              <w:left w:val="single" w:sz="6" w:space="0" w:color="000000"/>
              <w:bottom w:val="single" w:sz="6" w:space="0" w:color="000000"/>
              <w:right w:val="single" w:sz="6" w:space="0" w:color="000000"/>
            </w:tcBorders>
          </w:tcPr>
          <w:p w14:paraId="3698D6B5" w14:textId="77777777" w:rsidR="002D58E4" w:rsidRDefault="00F721D4">
            <w:pPr>
              <w:jc w:val="center"/>
              <w:rPr>
                <w:sz w:val="20"/>
                <w:szCs w:val="20"/>
              </w:rPr>
            </w:pPr>
            <w:r>
              <w:rPr>
                <w:sz w:val="20"/>
                <w:szCs w:val="20"/>
              </w:rPr>
              <w:t>22/58</w:t>
            </w:r>
          </w:p>
          <w:p w14:paraId="20719BDF" w14:textId="77777777" w:rsidR="002D58E4" w:rsidRDefault="00F721D4">
            <w:pPr>
              <w:jc w:val="center"/>
              <w:rPr>
                <w:sz w:val="20"/>
                <w:szCs w:val="20"/>
              </w:rPr>
            </w:pPr>
            <w:r>
              <w:rPr>
                <w:sz w:val="20"/>
                <w:szCs w:val="20"/>
              </w:rPr>
              <w:t>(57.9%)</w:t>
            </w:r>
          </w:p>
        </w:tc>
        <w:tc>
          <w:tcPr>
            <w:tcW w:w="1418" w:type="dxa"/>
            <w:gridSpan w:val="2"/>
            <w:tcBorders>
              <w:top w:val="single" w:sz="6" w:space="0" w:color="000000"/>
              <w:left w:val="single" w:sz="6" w:space="0" w:color="000000"/>
              <w:bottom w:val="single" w:sz="6" w:space="0" w:color="000000"/>
              <w:right w:val="single" w:sz="6" w:space="0" w:color="000000"/>
            </w:tcBorders>
          </w:tcPr>
          <w:p w14:paraId="417583BE" w14:textId="77777777" w:rsidR="002D58E4" w:rsidRDefault="00F721D4">
            <w:pPr>
              <w:jc w:val="center"/>
              <w:rPr>
                <w:sz w:val="20"/>
                <w:szCs w:val="20"/>
              </w:rPr>
            </w:pPr>
            <w:r>
              <w:rPr>
                <w:sz w:val="20"/>
                <w:szCs w:val="20"/>
              </w:rPr>
              <w:t xml:space="preserve">RR 0.88 </w:t>
            </w:r>
          </w:p>
          <w:p w14:paraId="544BDFAC" w14:textId="77777777" w:rsidR="002D58E4" w:rsidRDefault="00F721D4">
            <w:pPr>
              <w:jc w:val="center"/>
              <w:rPr>
                <w:sz w:val="20"/>
                <w:szCs w:val="20"/>
              </w:rPr>
            </w:pPr>
            <w:r>
              <w:rPr>
                <w:sz w:val="20"/>
                <w:szCs w:val="20"/>
              </w:rPr>
              <w:t>(from 0.54 to 1.44)</w:t>
            </w:r>
          </w:p>
        </w:tc>
        <w:tc>
          <w:tcPr>
            <w:tcW w:w="1530" w:type="dxa"/>
            <w:tcBorders>
              <w:top w:val="single" w:sz="6" w:space="0" w:color="000000"/>
              <w:left w:val="single" w:sz="6" w:space="0" w:color="000000"/>
              <w:bottom w:val="single" w:sz="6" w:space="0" w:color="000000"/>
              <w:right w:val="single" w:sz="6" w:space="0" w:color="000000"/>
            </w:tcBorders>
          </w:tcPr>
          <w:p w14:paraId="7DD0A68B" w14:textId="77777777" w:rsidR="002D58E4" w:rsidRDefault="00F721D4">
            <w:pPr>
              <w:jc w:val="center"/>
              <w:rPr>
                <w:sz w:val="20"/>
                <w:szCs w:val="20"/>
              </w:rPr>
            </w:pPr>
            <w:r>
              <w:rPr>
                <w:sz w:val="20"/>
                <w:szCs w:val="20"/>
              </w:rPr>
              <w:t xml:space="preserve">46 less per 1,000 </w:t>
            </w:r>
          </w:p>
          <w:p w14:paraId="48921343" w14:textId="77777777" w:rsidR="002D58E4" w:rsidRDefault="00F721D4">
            <w:pPr>
              <w:jc w:val="center"/>
              <w:rPr>
                <w:sz w:val="20"/>
                <w:szCs w:val="20"/>
              </w:rPr>
            </w:pPr>
            <w:r>
              <w:rPr>
                <w:sz w:val="20"/>
                <w:szCs w:val="20"/>
              </w:rPr>
              <w:t>(from 221 less to 129 more)</w:t>
            </w:r>
          </w:p>
        </w:tc>
        <w:tc>
          <w:tcPr>
            <w:tcW w:w="1134" w:type="dxa"/>
            <w:tcBorders>
              <w:top w:val="single" w:sz="6" w:space="0" w:color="000000"/>
              <w:left w:val="single" w:sz="6" w:space="0" w:color="000000"/>
              <w:bottom w:val="single" w:sz="6" w:space="0" w:color="000000"/>
              <w:right w:val="single" w:sz="6" w:space="0" w:color="000000"/>
            </w:tcBorders>
          </w:tcPr>
          <w:p w14:paraId="26F9D96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5A169CCF" w14:textId="77777777" w:rsidR="002D58E4" w:rsidRDefault="00F721D4">
            <w:pPr>
              <w:rPr>
                <w:sz w:val="20"/>
                <w:szCs w:val="20"/>
              </w:rPr>
            </w:pPr>
            <w:r>
              <w:rPr>
                <w:sz w:val="20"/>
                <w:szCs w:val="20"/>
              </w:rPr>
              <w:t>CRITICAL</w:t>
            </w:r>
          </w:p>
        </w:tc>
      </w:tr>
      <w:tr w:rsidR="002D58E4" w14:paraId="2B22895D"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5157AA06" w14:textId="77777777" w:rsidR="002D58E4" w:rsidRDefault="00F721D4">
            <w:pPr>
              <w:rPr>
                <w:sz w:val="20"/>
                <w:szCs w:val="20"/>
              </w:rPr>
            </w:pPr>
            <w:r>
              <w:rPr>
                <w:b/>
                <w:sz w:val="20"/>
                <w:szCs w:val="20"/>
              </w:rPr>
              <w:t xml:space="preserve">Mean SF-36 Mental Component Score </w:t>
            </w:r>
            <w:r>
              <w:rPr>
                <w:sz w:val="20"/>
                <w:szCs w:val="20"/>
              </w:rPr>
              <w:t>(</w:t>
            </w:r>
            <w:r>
              <w:rPr>
                <w:color w:val="000000"/>
                <w:sz w:val="20"/>
                <w:szCs w:val="20"/>
              </w:rPr>
              <w:t>Higher score indicate better quality of life</w:t>
            </w:r>
            <w:r>
              <w:rPr>
                <w:sz w:val="20"/>
                <w:szCs w:val="20"/>
              </w:rPr>
              <w:t>)</w:t>
            </w:r>
            <w:r>
              <w:rPr>
                <w:b/>
                <w:sz w:val="20"/>
                <w:szCs w:val="20"/>
              </w:rPr>
              <w:t xml:space="preserve"> </w:t>
            </w:r>
            <w:r>
              <w:rPr>
                <w:sz w:val="20"/>
                <w:szCs w:val="20"/>
              </w:rPr>
              <w:t>(at 6 months)</w:t>
            </w:r>
          </w:p>
        </w:tc>
      </w:tr>
      <w:tr w:rsidR="002D58E4" w14:paraId="73495AF8" w14:textId="77777777" w:rsidTr="00E343BA">
        <w:tc>
          <w:tcPr>
            <w:tcW w:w="708" w:type="dxa"/>
            <w:tcBorders>
              <w:top w:val="single" w:sz="6" w:space="0" w:color="000000"/>
              <w:left w:val="single" w:sz="6" w:space="0" w:color="000000"/>
              <w:bottom w:val="single" w:sz="6" w:space="0" w:color="000000"/>
              <w:right w:val="single" w:sz="6" w:space="0" w:color="000000"/>
            </w:tcBorders>
          </w:tcPr>
          <w:p w14:paraId="66FC7ED0" w14:textId="77777777" w:rsidR="002D58E4" w:rsidRDefault="00F721D4">
            <w:pPr>
              <w:rPr>
                <w:sz w:val="20"/>
                <w:szCs w:val="20"/>
              </w:rPr>
            </w:pPr>
            <w:r>
              <w:rPr>
                <w:sz w:val="20"/>
                <w:szCs w:val="20"/>
              </w:rPr>
              <w:t>1</w:t>
            </w:r>
          </w:p>
        </w:tc>
        <w:tc>
          <w:tcPr>
            <w:tcW w:w="1135" w:type="dxa"/>
            <w:tcBorders>
              <w:top w:val="single" w:sz="6" w:space="0" w:color="000000"/>
              <w:left w:val="single" w:sz="6" w:space="0" w:color="000000"/>
              <w:bottom w:val="single" w:sz="6" w:space="0" w:color="000000"/>
              <w:right w:val="single" w:sz="6" w:space="0" w:color="000000"/>
            </w:tcBorders>
          </w:tcPr>
          <w:p w14:paraId="7F99DD15" w14:textId="77777777" w:rsidR="002D58E4" w:rsidRDefault="00F721D4">
            <w:pPr>
              <w:rPr>
                <w:sz w:val="20"/>
                <w:szCs w:val="20"/>
              </w:rPr>
            </w:pPr>
            <w:r>
              <w:rPr>
                <w:sz w:val="20"/>
                <w:szCs w:val="20"/>
              </w:rPr>
              <w:t xml:space="preserve">RCT </w:t>
            </w:r>
            <w:r>
              <w:rPr>
                <w:sz w:val="20"/>
                <w:szCs w:val="20"/>
                <w:vertAlign w:val="superscript"/>
              </w:rPr>
              <w:t>2</w:t>
            </w:r>
          </w:p>
        </w:tc>
        <w:tc>
          <w:tcPr>
            <w:tcW w:w="991" w:type="dxa"/>
            <w:tcBorders>
              <w:top w:val="single" w:sz="6" w:space="0" w:color="000000"/>
              <w:left w:val="single" w:sz="6" w:space="0" w:color="000000"/>
              <w:bottom w:val="single" w:sz="6" w:space="0" w:color="000000"/>
              <w:right w:val="single" w:sz="6" w:space="0" w:color="000000"/>
            </w:tcBorders>
          </w:tcPr>
          <w:p w14:paraId="4CC36192" w14:textId="77777777" w:rsidR="002D58E4" w:rsidRDefault="00F721D4">
            <w:pPr>
              <w:rPr>
                <w:sz w:val="20"/>
                <w:szCs w:val="20"/>
              </w:rPr>
            </w:pPr>
            <w:r>
              <w:rPr>
                <w:sz w:val="20"/>
                <w:szCs w:val="20"/>
              </w:rPr>
              <w:t>not serious</w:t>
            </w:r>
          </w:p>
        </w:tc>
        <w:tc>
          <w:tcPr>
            <w:tcW w:w="1156" w:type="dxa"/>
            <w:tcBorders>
              <w:top w:val="single" w:sz="6" w:space="0" w:color="000000"/>
              <w:left w:val="single" w:sz="6" w:space="0" w:color="000000"/>
              <w:bottom w:val="single" w:sz="6" w:space="0" w:color="000000"/>
              <w:right w:val="single" w:sz="6" w:space="0" w:color="000000"/>
            </w:tcBorders>
          </w:tcPr>
          <w:p w14:paraId="7E82EA16" w14:textId="77777777" w:rsidR="002D58E4" w:rsidRDefault="00F721D4">
            <w:pPr>
              <w:rPr>
                <w:sz w:val="20"/>
                <w:szCs w:val="20"/>
              </w:rPr>
            </w:pPr>
            <w:r>
              <w:rPr>
                <w:sz w:val="20"/>
                <w:szCs w:val="20"/>
              </w:rPr>
              <w:t>not serious</w:t>
            </w:r>
          </w:p>
        </w:tc>
        <w:tc>
          <w:tcPr>
            <w:tcW w:w="1148" w:type="dxa"/>
            <w:tcBorders>
              <w:top w:val="single" w:sz="6" w:space="0" w:color="000000"/>
              <w:left w:val="single" w:sz="6" w:space="0" w:color="000000"/>
              <w:bottom w:val="single" w:sz="6" w:space="0" w:color="000000"/>
              <w:right w:val="single" w:sz="6" w:space="0" w:color="000000"/>
            </w:tcBorders>
          </w:tcPr>
          <w:p w14:paraId="7F5B5C34" w14:textId="77777777" w:rsidR="002D58E4" w:rsidRDefault="00F721D4">
            <w:pPr>
              <w:rPr>
                <w:sz w:val="20"/>
                <w:szCs w:val="20"/>
              </w:rPr>
            </w:pPr>
            <w:r>
              <w:rPr>
                <w:sz w:val="20"/>
                <w:szCs w:val="20"/>
              </w:rPr>
              <w:t>not serious</w:t>
            </w:r>
          </w:p>
        </w:tc>
        <w:tc>
          <w:tcPr>
            <w:tcW w:w="1073" w:type="dxa"/>
            <w:tcBorders>
              <w:top w:val="single" w:sz="6" w:space="0" w:color="000000"/>
              <w:left w:val="single" w:sz="6" w:space="0" w:color="000000"/>
              <w:bottom w:val="single" w:sz="6" w:space="0" w:color="000000"/>
              <w:right w:val="single" w:sz="6" w:space="0" w:color="000000"/>
            </w:tcBorders>
          </w:tcPr>
          <w:p w14:paraId="6EED2DCD" w14:textId="77777777" w:rsidR="002D58E4" w:rsidRDefault="00F721D4">
            <w:pPr>
              <w:rPr>
                <w:sz w:val="20"/>
                <w:szCs w:val="20"/>
              </w:rPr>
            </w:pPr>
            <w:r>
              <w:rPr>
                <w:sz w:val="20"/>
                <w:szCs w:val="20"/>
              </w:rPr>
              <w:t xml:space="preserve">serious </w:t>
            </w:r>
            <w:r>
              <w:rPr>
                <w:sz w:val="20"/>
                <w:szCs w:val="20"/>
                <w:vertAlign w:val="superscript"/>
              </w:rPr>
              <w:t>b</w:t>
            </w:r>
          </w:p>
        </w:tc>
        <w:tc>
          <w:tcPr>
            <w:tcW w:w="877" w:type="dxa"/>
            <w:tcBorders>
              <w:top w:val="single" w:sz="6" w:space="0" w:color="000000"/>
              <w:left w:val="single" w:sz="6" w:space="0" w:color="000000"/>
              <w:bottom w:val="single" w:sz="6" w:space="0" w:color="000000"/>
              <w:right w:val="single" w:sz="6" w:space="0" w:color="000000"/>
            </w:tcBorders>
          </w:tcPr>
          <w:p w14:paraId="1C02F581" w14:textId="77777777" w:rsidR="002D58E4" w:rsidRDefault="00F721D4">
            <w:pPr>
              <w:rPr>
                <w:sz w:val="20"/>
                <w:szCs w:val="20"/>
              </w:rPr>
            </w:pPr>
            <w:r>
              <w:rPr>
                <w:sz w:val="20"/>
                <w:szCs w:val="20"/>
              </w:rPr>
              <w:t>none</w:t>
            </w:r>
          </w:p>
        </w:tc>
        <w:tc>
          <w:tcPr>
            <w:tcW w:w="1106" w:type="dxa"/>
            <w:tcBorders>
              <w:top w:val="single" w:sz="6" w:space="0" w:color="000000"/>
              <w:left w:val="single" w:sz="6" w:space="0" w:color="000000"/>
              <w:bottom w:val="single" w:sz="6" w:space="0" w:color="000000"/>
              <w:right w:val="single" w:sz="6" w:space="0" w:color="000000"/>
            </w:tcBorders>
          </w:tcPr>
          <w:p w14:paraId="38911C39" w14:textId="77777777" w:rsidR="002D58E4" w:rsidRDefault="00F721D4">
            <w:pPr>
              <w:jc w:val="center"/>
              <w:rPr>
                <w:sz w:val="20"/>
                <w:szCs w:val="20"/>
              </w:rPr>
            </w:pPr>
            <w:r>
              <w:rPr>
                <w:sz w:val="20"/>
                <w:szCs w:val="20"/>
              </w:rPr>
              <w:t>N= 23</w:t>
            </w:r>
          </w:p>
        </w:tc>
        <w:tc>
          <w:tcPr>
            <w:tcW w:w="1049" w:type="dxa"/>
            <w:tcBorders>
              <w:top w:val="single" w:sz="6" w:space="0" w:color="000000"/>
              <w:left w:val="single" w:sz="6" w:space="0" w:color="000000"/>
              <w:bottom w:val="single" w:sz="6" w:space="0" w:color="000000"/>
              <w:right w:val="single" w:sz="6" w:space="0" w:color="000000"/>
            </w:tcBorders>
          </w:tcPr>
          <w:p w14:paraId="31F47FB0" w14:textId="77777777" w:rsidR="002D58E4" w:rsidRDefault="00F721D4">
            <w:pPr>
              <w:jc w:val="center"/>
              <w:rPr>
                <w:sz w:val="20"/>
                <w:szCs w:val="20"/>
              </w:rPr>
            </w:pPr>
            <w:r>
              <w:rPr>
                <w:sz w:val="20"/>
                <w:szCs w:val="20"/>
              </w:rPr>
              <w:t>N= 14</w:t>
            </w:r>
          </w:p>
        </w:tc>
        <w:tc>
          <w:tcPr>
            <w:tcW w:w="2948" w:type="dxa"/>
            <w:gridSpan w:val="3"/>
            <w:tcBorders>
              <w:top w:val="single" w:sz="6" w:space="0" w:color="000000"/>
              <w:left w:val="single" w:sz="6" w:space="0" w:color="000000"/>
              <w:bottom w:val="single" w:sz="6" w:space="0" w:color="000000"/>
              <w:right w:val="single" w:sz="6" w:space="0" w:color="000000"/>
            </w:tcBorders>
          </w:tcPr>
          <w:p w14:paraId="0BD359A2" w14:textId="77777777" w:rsidR="002D58E4" w:rsidRDefault="00F721D4">
            <w:pPr>
              <w:jc w:val="center"/>
              <w:rPr>
                <w:sz w:val="20"/>
                <w:szCs w:val="20"/>
              </w:rPr>
            </w:pPr>
            <w:r>
              <w:rPr>
                <w:b/>
                <w:sz w:val="20"/>
                <w:szCs w:val="20"/>
              </w:rPr>
              <w:t>MD 8.6 lower in patients treated with antibiotics (16.4 lower to 0.8 lower)</w:t>
            </w:r>
          </w:p>
        </w:tc>
        <w:tc>
          <w:tcPr>
            <w:tcW w:w="1134" w:type="dxa"/>
            <w:tcBorders>
              <w:top w:val="single" w:sz="6" w:space="0" w:color="000000"/>
              <w:left w:val="single" w:sz="6" w:space="0" w:color="000000"/>
              <w:bottom w:val="single" w:sz="6" w:space="0" w:color="000000"/>
              <w:right w:val="single" w:sz="6" w:space="0" w:color="000000"/>
            </w:tcBorders>
          </w:tcPr>
          <w:p w14:paraId="46225565"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2E32F0B7" w14:textId="77777777" w:rsidR="002D58E4" w:rsidRDefault="00F721D4">
            <w:pPr>
              <w:rPr>
                <w:sz w:val="20"/>
                <w:szCs w:val="20"/>
              </w:rPr>
            </w:pPr>
            <w:r>
              <w:rPr>
                <w:sz w:val="20"/>
                <w:szCs w:val="20"/>
              </w:rPr>
              <w:t>CRITICAL</w:t>
            </w:r>
          </w:p>
        </w:tc>
      </w:tr>
      <w:tr w:rsidR="002D58E4" w14:paraId="3DA6033D"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6033C8AA" w14:textId="77777777" w:rsidR="002D58E4" w:rsidRDefault="00F721D4">
            <w:pPr>
              <w:rPr>
                <w:sz w:val="20"/>
                <w:szCs w:val="20"/>
              </w:rPr>
            </w:pPr>
            <w:r>
              <w:rPr>
                <w:b/>
                <w:sz w:val="20"/>
                <w:szCs w:val="20"/>
              </w:rPr>
              <w:t xml:space="preserve">Mean neurocognitive performance (cognitive “index” score) </w:t>
            </w:r>
            <w:r>
              <w:rPr>
                <w:sz w:val="20"/>
                <w:szCs w:val="20"/>
              </w:rPr>
              <w:t xml:space="preserve">(at 6 months) </w:t>
            </w:r>
          </w:p>
        </w:tc>
      </w:tr>
      <w:tr w:rsidR="002D58E4" w14:paraId="5613945C" w14:textId="77777777" w:rsidTr="00E343BA">
        <w:tc>
          <w:tcPr>
            <w:tcW w:w="708" w:type="dxa"/>
            <w:tcBorders>
              <w:top w:val="single" w:sz="6" w:space="0" w:color="000000"/>
              <w:left w:val="single" w:sz="6" w:space="0" w:color="000000"/>
              <w:bottom w:val="single" w:sz="6" w:space="0" w:color="000000"/>
              <w:right w:val="single" w:sz="6" w:space="0" w:color="000000"/>
            </w:tcBorders>
          </w:tcPr>
          <w:p w14:paraId="24D72111" w14:textId="77777777" w:rsidR="002D58E4" w:rsidRDefault="00F721D4">
            <w:pPr>
              <w:rPr>
                <w:sz w:val="20"/>
                <w:szCs w:val="20"/>
              </w:rPr>
            </w:pPr>
            <w:r>
              <w:rPr>
                <w:sz w:val="20"/>
                <w:szCs w:val="20"/>
              </w:rPr>
              <w:t xml:space="preserve">1 </w:t>
            </w:r>
          </w:p>
        </w:tc>
        <w:tc>
          <w:tcPr>
            <w:tcW w:w="1135" w:type="dxa"/>
            <w:tcBorders>
              <w:top w:val="single" w:sz="6" w:space="0" w:color="000000"/>
              <w:left w:val="single" w:sz="6" w:space="0" w:color="000000"/>
              <w:bottom w:val="single" w:sz="6" w:space="0" w:color="000000"/>
              <w:right w:val="single" w:sz="6" w:space="0" w:color="000000"/>
            </w:tcBorders>
          </w:tcPr>
          <w:p w14:paraId="6C1C3DD9" w14:textId="77777777" w:rsidR="002D58E4" w:rsidRDefault="00F721D4">
            <w:pPr>
              <w:rPr>
                <w:sz w:val="20"/>
                <w:szCs w:val="20"/>
              </w:rPr>
            </w:pPr>
            <w:r>
              <w:rPr>
                <w:sz w:val="20"/>
                <w:szCs w:val="20"/>
              </w:rPr>
              <w:t xml:space="preserve">RCT </w:t>
            </w:r>
            <w:r>
              <w:rPr>
                <w:sz w:val="20"/>
                <w:szCs w:val="20"/>
                <w:vertAlign w:val="superscript"/>
              </w:rPr>
              <w:t>2</w:t>
            </w:r>
          </w:p>
        </w:tc>
        <w:tc>
          <w:tcPr>
            <w:tcW w:w="991" w:type="dxa"/>
            <w:tcBorders>
              <w:top w:val="single" w:sz="6" w:space="0" w:color="000000"/>
              <w:left w:val="single" w:sz="6" w:space="0" w:color="000000"/>
              <w:bottom w:val="single" w:sz="6" w:space="0" w:color="000000"/>
              <w:right w:val="single" w:sz="6" w:space="0" w:color="000000"/>
            </w:tcBorders>
          </w:tcPr>
          <w:p w14:paraId="127DA246" w14:textId="77777777" w:rsidR="002D58E4" w:rsidRDefault="00F721D4">
            <w:pPr>
              <w:rPr>
                <w:sz w:val="20"/>
                <w:szCs w:val="20"/>
              </w:rPr>
            </w:pPr>
            <w:r>
              <w:rPr>
                <w:sz w:val="20"/>
                <w:szCs w:val="20"/>
              </w:rPr>
              <w:t xml:space="preserve">not serious </w:t>
            </w:r>
          </w:p>
        </w:tc>
        <w:tc>
          <w:tcPr>
            <w:tcW w:w="1156" w:type="dxa"/>
            <w:tcBorders>
              <w:top w:val="single" w:sz="6" w:space="0" w:color="000000"/>
              <w:left w:val="single" w:sz="6" w:space="0" w:color="000000"/>
              <w:bottom w:val="single" w:sz="6" w:space="0" w:color="000000"/>
              <w:right w:val="single" w:sz="6" w:space="0" w:color="000000"/>
            </w:tcBorders>
          </w:tcPr>
          <w:p w14:paraId="78C71564" w14:textId="77777777" w:rsidR="002D58E4" w:rsidRDefault="00F721D4">
            <w:pPr>
              <w:rPr>
                <w:sz w:val="20"/>
                <w:szCs w:val="20"/>
              </w:rPr>
            </w:pPr>
            <w:r>
              <w:rPr>
                <w:sz w:val="20"/>
                <w:szCs w:val="20"/>
              </w:rPr>
              <w:t>not serious</w:t>
            </w:r>
          </w:p>
        </w:tc>
        <w:tc>
          <w:tcPr>
            <w:tcW w:w="1148" w:type="dxa"/>
            <w:tcBorders>
              <w:top w:val="single" w:sz="6" w:space="0" w:color="000000"/>
              <w:left w:val="single" w:sz="6" w:space="0" w:color="000000"/>
              <w:bottom w:val="single" w:sz="6" w:space="0" w:color="000000"/>
              <w:right w:val="single" w:sz="6" w:space="0" w:color="000000"/>
            </w:tcBorders>
          </w:tcPr>
          <w:p w14:paraId="088CA5DA"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16C34DE0"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5D8F4E42"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5DBA298B" w14:textId="77777777" w:rsidR="002D58E4" w:rsidRDefault="00F721D4">
            <w:pPr>
              <w:jc w:val="center"/>
              <w:rPr>
                <w:sz w:val="20"/>
                <w:szCs w:val="20"/>
              </w:rPr>
            </w:pPr>
            <w:r>
              <w:rPr>
                <w:sz w:val="20"/>
                <w:szCs w:val="20"/>
              </w:rPr>
              <w:t xml:space="preserve">N= 20 </w:t>
            </w:r>
          </w:p>
        </w:tc>
        <w:tc>
          <w:tcPr>
            <w:tcW w:w="1049" w:type="dxa"/>
            <w:tcBorders>
              <w:top w:val="single" w:sz="6" w:space="0" w:color="000000"/>
              <w:left w:val="single" w:sz="6" w:space="0" w:color="000000"/>
              <w:bottom w:val="single" w:sz="6" w:space="0" w:color="000000"/>
              <w:right w:val="single" w:sz="6" w:space="0" w:color="000000"/>
            </w:tcBorders>
          </w:tcPr>
          <w:p w14:paraId="49D8A518" w14:textId="77777777" w:rsidR="002D58E4" w:rsidRDefault="00F721D4">
            <w:pPr>
              <w:jc w:val="center"/>
              <w:rPr>
                <w:sz w:val="20"/>
                <w:szCs w:val="20"/>
              </w:rPr>
            </w:pPr>
            <w:r>
              <w:rPr>
                <w:sz w:val="20"/>
                <w:szCs w:val="20"/>
              </w:rPr>
              <w:t xml:space="preserve">N= 12 </w:t>
            </w:r>
          </w:p>
        </w:tc>
        <w:tc>
          <w:tcPr>
            <w:tcW w:w="2948" w:type="dxa"/>
            <w:gridSpan w:val="3"/>
            <w:tcBorders>
              <w:top w:val="single" w:sz="6" w:space="0" w:color="000000"/>
              <w:left w:val="single" w:sz="6" w:space="0" w:color="000000"/>
              <w:bottom w:val="single" w:sz="6" w:space="0" w:color="000000"/>
              <w:right w:val="single" w:sz="6" w:space="0" w:color="000000"/>
            </w:tcBorders>
          </w:tcPr>
          <w:p w14:paraId="17425D44" w14:textId="77777777" w:rsidR="002D58E4" w:rsidRDefault="00F721D4">
            <w:pPr>
              <w:jc w:val="center"/>
              <w:rPr>
                <w:sz w:val="20"/>
                <w:szCs w:val="20"/>
              </w:rPr>
            </w:pPr>
            <w:r>
              <w:rPr>
                <w:sz w:val="20"/>
                <w:szCs w:val="20"/>
              </w:rPr>
              <w:t>MD 0.20 lower in patients treated with antibiotics (0.65 lower to 0.25 higher)</w:t>
            </w:r>
          </w:p>
        </w:tc>
        <w:tc>
          <w:tcPr>
            <w:tcW w:w="1134" w:type="dxa"/>
            <w:tcBorders>
              <w:top w:val="single" w:sz="6" w:space="0" w:color="000000"/>
              <w:left w:val="single" w:sz="6" w:space="0" w:color="000000"/>
              <w:bottom w:val="single" w:sz="6" w:space="0" w:color="000000"/>
              <w:right w:val="single" w:sz="6" w:space="0" w:color="000000"/>
            </w:tcBorders>
          </w:tcPr>
          <w:p w14:paraId="6800C17B"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34" w:type="dxa"/>
            <w:tcBorders>
              <w:top w:val="single" w:sz="6" w:space="0" w:color="000000"/>
              <w:left w:val="single" w:sz="6" w:space="0" w:color="000000"/>
              <w:bottom w:val="single" w:sz="6" w:space="0" w:color="000000"/>
              <w:right w:val="single" w:sz="6" w:space="0" w:color="000000"/>
            </w:tcBorders>
          </w:tcPr>
          <w:p w14:paraId="000B8C57" w14:textId="77777777" w:rsidR="002D58E4" w:rsidRDefault="00F721D4">
            <w:pPr>
              <w:rPr>
                <w:sz w:val="20"/>
                <w:szCs w:val="20"/>
              </w:rPr>
            </w:pPr>
            <w:r>
              <w:rPr>
                <w:sz w:val="20"/>
                <w:szCs w:val="20"/>
              </w:rPr>
              <w:t xml:space="preserve">CRITICAL </w:t>
            </w:r>
          </w:p>
        </w:tc>
      </w:tr>
      <w:tr w:rsidR="002D58E4" w14:paraId="5F933DE3"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482F7473" w14:textId="77777777" w:rsidR="002D58E4" w:rsidRDefault="00F721D4">
            <w:pPr>
              <w:rPr>
                <w:sz w:val="20"/>
                <w:szCs w:val="20"/>
              </w:rPr>
            </w:pPr>
            <w:r>
              <w:rPr>
                <w:b/>
                <w:sz w:val="20"/>
                <w:szCs w:val="20"/>
              </w:rPr>
              <w:t>Mean Improvement in Subjective Pain Score</w:t>
            </w:r>
            <w:r>
              <w:rPr>
                <w:sz w:val="20"/>
                <w:szCs w:val="20"/>
              </w:rPr>
              <w:t xml:space="preserve"> (Higher scores indicate more pain) (at 6 months)</w:t>
            </w:r>
          </w:p>
        </w:tc>
      </w:tr>
      <w:tr w:rsidR="002D58E4" w14:paraId="75988A8B" w14:textId="77777777" w:rsidTr="00E343BA">
        <w:tc>
          <w:tcPr>
            <w:tcW w:w="708" w:type="dxa"/>
            <w:tcBorders>
              <w:top w:val="single" w:sz="6" w:space="0" w:color="000000"/>
              <w:left w:val="single" w:sz="6" w:space="0" w:color="000000"/>
              <w:bottom w:val="single" w:sz="6" w:space="0" w:color="000000"/>
              <w:right w:val="single" w:sz="6" w:space="0" w:color="000000"/>
            </w:tcBorders>
          </w:tcPr>
          <w:p w14:paraId="2EBA0CB3" w14:textId="77777777" w:rsidR="002D58E4" w:rsidRDefault="00F721D4">
            <w:pPr>
              <w:rPr>
                <w:sz w:val="20"/>
                <w:szCs w:val="20"/>
              </w:rPr>
            </w:pPr>
            <w:r>
              <w:rPr>
                <w:sz w:val="20"/>
                <w:szCs w:val="20"/>
              </w:rPr>
              <w:t>3</w:t>
            </w:r>
          </w:p>
        </w:tc>
        <w:tc>
          <w:tcPr>
            <w:tcW w:w="1135" w:type="dxa"/>
            <w:tcBorders>
              <w:top w:val="single" w:sz="6" w:space="0" w:color="000000"/>
              <w:left w:val="single" w:sz="6" w:space="0" w:color="000000"/>
              <w:bottom w:val="single" w:sz="6" w:space="0" w:color="000000"/>
              <w:right w:val="single" w:sz="6" w:space="0" w:color="000000"/>
            </w:tcBorders>
          </w:tcPr>
          <w:p w14:paraId="328603B3" w14:textId="77777777" w:rsidR="002D58E4" w:rsidRDefault="00F721D4">
            <w:pPr>
              <w:rPr>
                <w:sz w:val="20"/>
                <w:szCs w:val="20"/>
              </w:rPr>
            </w:pPr>
            <w:r>
              <w:rPr>
                <w:sz w:val="20"/>
                <w:szCs w:val="20"/>
              </w:rPr>
              <w:t xml:space="preserve">RCTs </w:t>
            </w:r>
            <w:r>
              <w:rPr>
                <w:sz w:val="20"/>
                <w:szCs w:val="20"/>
                <w:vertAlign w:val="superscript"/>
              </w:rPr>
              <w:t>1,2</w:t>
            </w:r>
          </w:p>
        </w:tc>
        <w:tc>
          <w:tcPr>
            <w:tcW w:w="991" w:type="dxa"/>
            <w:tcBorders>
              <w:top w:val="single" w:sz="6" w:space="0" w:color="000000"/>
              <w:left w:val="single" w:sz="6" w:space="0" w:color="000000"/>
              <w:bottom w:val="single" w:sz="6" w:space="0" w:color="000000"/>
              <w:right w:val="single" w:sz="6" w:space="0" w:color="000000"/>
            </w:tcBorders>
          </w:tcPr>
          <w:p w14:paraId="5A48A73E" w14:textId="77777777" w:rsidR="002D58E4" w:rsidRDefault="00F721D4">
            <w:pPr>
              <w:rPr>
                <w:sz w:val="20"/>
                <w:szCs w:val="20"/>
              </w:rPr>
            </w:pPr>
            <w:r>
              <w:rPr>
                <w:sz w:val="20"/>
                <w:szCs w:val="20"/>
              </w:rPr>
              <w:t xml:space="preserve">not serious </w:t>
            </w:r>
          </w:p>
        </w:tc>
        <w:tc>
          <w:tcPr>
            <w:tcW w:w="1156" w:type="dxa"/>
            <w:tcBorders>
              <w:top w:val="single" w:sz="6" w:space="0" w:color="000000"/>
              <w:left w:val="single" w:sz="6" w:space="0" w:color="000000"/>
              <w:bottom w:val="single" w:sz="6" w:space="0" w:color="000000"/>
              <w:right w:val="single" w:sz="6" w:space="0" w:color="000000"/>
            </w:tcBorders>
          </w:tcPr>
          <w:p w14:paraId="3044DEB9"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5D2139F2"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5EB8D17A"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734929FB"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58DC7B44" w14:textId="77777777" w:rsidR="002D58E4" w:rsidRDefault="00F721D4">
            <w:pPr>
              <w:jc w:val="center"/>
              <w:rPr>
                <w:sz w:val="20"/>
                <w:szCs w:val="20"/>
              </w:rPr>
            </w:pPr>
            <w:r>
              <w:rPr>
                <w:sz w:val="20"/>
                <w:szCs w:val="20"/>
              </w:rPr>
              <w:t xml:space="preserve">N= 87 </w:t>
            </w:r>
          </w:p>
        </w:tc>
        <w:tc>
          <w:tcPr>
            <w:tcW w:w="1049" w:type="dxa"/>
            <w:tcBorders>
              <w:top w:val="single" w:sz="6" w:space="0" w:color="000000"/>
              <w:left w:val="single" w:sz="6" w:space="0" w:color="000000"/>
              <w:bottom w:val="single" w:sz="6" w:space="0" w:color="000000"/>
              <w:right w:val="single" w:sz="6" w:space="0" w:color="000000"/>
            </w:tcBorders>
          </w:tcPr>
          <w:p w14:paraId="1D71CDED" w14:textId="77777777" w:rsidR="002D58E4" w:rsidRDefault="00F721D4">
            <w:pPr>
              <w:jc w:val="center"/>
              <w:rPr>
                <w:sz w:val="20"/>
                <w:szCs w:val="20"/>
              </w:rPr>
            </w:pPr>
            <w:r>
              <w:rPr>
                <w:sz w:val="20"/>
                <w:szCs w:val="20"/>
              </w:rPr>
              <w:t xml:space="preserve">N= 79 </w:t>
            </w:r>
          </w:p>
        </w:tc>
        <w:tc>
          <w:tcPr>
            <w:tcW w:w="2948" w:type="dxa"/>
            <w:gridSpan w:val="3"/>
            <w:tcBorders>
              <w:top w:val="single" w:sz="6" w:space="0" w:color="000000"/>
              <w:left w:val="single" w:sz="6" w:space="0" w:color="000000"/>
              <w:bottom w:val="single" w:sz="6" w:space="0" w:color="000000"/>
              <w:right w:val="single" w:sz="6" w:space="0" w:color="000000"/>
            </w:tcBorders>
          </w:tcPr>
          <w:p w14:paraId="31F5B7FE" w14:textId="77777777" w:rsidR="002D58E4" w:rsidRDefault="00F721D4">
            <w:pPr>
              <w:jc w:val="center"/>
              <w:rPr>
                <w:sz w:val="20"/>
                <w:szCs w:val="20"/>
              </w:rPr>
            </w:pPr>
            <w:r>
              <w:rPr>
                <w:sz w:val="20"/>
                <w:szCs w:val="20"/>
              </w:rPr>
              <w:t>MD 5.11 lower in patients treated with antibiotics (14.35 lower to 4.13 higher)</w:t>
            </w:r>
          </w:p>
        </w:tc>
        <w:tc>
          <w:tcPr>
            <w:tcW w:w="1134" w:type="dxa"/>
            <w:tcBorders>
              <w:top w:val="single" w:sz="6" w:space="0" w:color="000000"/>
              <w:left w:val="single" w:sz="6" w:space="0" w:color="000000"/>
              <w:bottom w:val="single" w:sz="6" w:space="0" w:color="000000"/>
              <w:right w:val="single" w:sz="6" w:space="0" w:color="000000"/>
            </w:tcBorders>
          </w:tcPr>
          <w:p w14:paraId="3AA05C4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3500AA78" w14:textId="77777777" w:rsidR="002D58E4" w:rsidRDefault="00F721D4">
            <w:pPr>
              <w:rPr>
                <w:sz w:val="20"/>
                <w:szCs w:val="20"/>
              </w:rPr>
            </w:pPr>
            <w:r>
              <w:rPr>
                <w:sz w:val="20"/>
                <w:szCs w:val="20"/>
              </w:rPr>
              <w:t xml:space="preserve">IMPORTANT </w:t>
            </w:r>
          </w:p>
        </w:tc>
      </w:tr>
      <w:tr w:rsidR="002D58E4" w14:paraId="61F240FB"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7807E53D" w14:textId="77777777" w:rsidR="002D58E4" w:rsidRDefault="00F721D4">
            <w:pPr>
              <w:rPr>
                <w:b/>
                <w:sz w:val="20"/>
                <w:szCs w:val="20"/>
              </w:rPr>
            </w:pPr>
            <w:r>
              <w:rPr>
                <w:b/>
                <w:sz w:val="20"/>
                <w:szCs w:val="20"/>
              </w:rPr>
              <w:t xml:space="preserve">Patients Withdrawing Due to Adverse Events </w:t>
            </w:r>
            <w:r>
              <w:rPr>
                <w:sz w:val="20"/>
                <w:szCs w:val="20"/>
              </w:rPr>
              <w:t>(Ranging from 3 to 6 months)</w:t>
            </w:r>
          </w:p>
        </w:tc>
      </w:tr>
      <w:tr w:rsidR="002D58E4" w14:paraId="2CD9C26B" w14:textId="77777777" w:rsidTr="00E343BA">
        <w:tc>
          <w:tcPr>
            <w:tcW w:w="708" w:type="dxa"/>
            <w:tcBorders>
              <w:top w:val="single" w:sz="6" w:space="0" w:color="000000"/>
              <w:left w:val="single" w:sz="6" w:space="0" w:color="000000"/>
              <w:bottom w:val="single" w:sz="6" w:space="0" w:color="000000"/>
              <w:right w:val="single" w:sz="6" w:space="0" w:color="000000"/>
            </w:tcBorders>
          </w:tcPr>
          <w:p w14:paraId="25B3C5B6" w14:textId="77777777" w:rsidR="002D58E4" w:rsidRDefault="00F721D4">
            <w:pPr>
              <w:rPr>
                <w:sz w:val="20"/>
                <w:szCs w:val="20"/>
              </w:rPr>
            </w:pPr>
            <w:r>
              <w:rPr>
                <w:sz w:val="20"/>
                <w:szCs w:val="20"/>
              </w:rPr>
              <w:t xml:space="preserve">5 </w:t>
            </w:r>
          </w:p>
        </w:tc>
        <w:tc>
          <w:tcPr>
            <w:tcW w:w="1135" w:type="dxa"/>
            <w:tcBorders>
              <w:top w:val="single" w:sz="6" w:space="0" w:color="000000"/>
              <w:left w:val="single" w:sz="6" w:space="0" w:color="000000"/>
              <w:bottom w:val="single" w:sz="6" w:space="0" w:color="000000"/>
              <w:right w:val="single" w:sz="6" w:space="0" w:color="000000"/>
            </w:tcBorders>
          </w:tcPr>
          <w:p w14:paraId="7CB49980" w14:textId="77777777" w:rsidR="002D58E4" w:rsidRDefault="00F721D4">
            <w:pPr>
              <w:rPr>
                <w:sz w:val="20"/>
                <w:szCs w:val="20"/>
              </w:rPr>
            </w:pPr>
            <w:r>
              <w:rPr>
                <w:sz w:val="20"/>
                <w:szCs w:val="20"/>
              </w:rPr>
              <w:t xml:space="preserve">RCTs </w:t>
            </w:r>
            <w:r>
              <w:rPr>
                <w:sz w:val="20"/>
                <w:szCs w:val="20"/>
                <w:vertAlign w:val="superscript"/>
              </w:rPr>
              <w:t>1,2,3,4</w:t>
            </w:r>
          </w:p>
        </w:tc>
        <w:tc>
          <w:tcPr>
            <w:tcW w:w="991" w:type="dxa"/>
            <w:tcBorders>
              <w:top w:val="single" w:sz="6" w:space="0" w:color="000000"/>
              <w:left w:val="single" w:sz="6" w:space="0" w:color="000000"/>
              <w:bottom w:val="single" w:sz="6" w:space="0" w:color="000000"/>
              <w:right w:val="single" w:sz="6" w:space="0" w:color="000000"/>
            </w:tcBorders>
          </w:tcPr>
          <w:p w14:paraId="3771C128" w14:textId="77777777" w:rsidR="002D58E4" w:rsidRDefault="00F721D4">
            <w:pPr>
              <w:rPr>
                <w:sz w:val="20"/>
                <w:szCs w:val="20"/>
              </w:rPr>
            </w:pPr>
            <w:r>
              <w:rPr>
                <w:sz w:val="20"/>
                <w:szCs w:val="20"/>
              </w:rPr>
              <w:t>serious</w:t>
            </w:r>
            <w:r>
              <w:rPr>
                <w:sz w:val="20"/>
                <w:szCs w:val="20"/>
                <w:vertAlign w:val="superscript"/>
              </w:rPr>
              <w:t xml:space="preserve"> d</w:t>
            </w:r>
          </w:p>
        </w:tc>
        <w:tc>
          <w:tcPr>
            <w:tcW w:w="1156" w:type="dxa"/>
            <w:tcBorders>
              <w:top w:val="single" w:sz="6" w:space="0" w:color="000000"/>
              <w:left w:val="single" w:sz="6" w:space="0" w:color="000000"/>
              <w:bottom w:val="single" w:sz="6" w:space="0" w:color="000000"/>
              <w:right w:val="single" w:sz="6" w:space="0" w:color="000000"/>
            </w:tcBorders>
          </w:tcPr>
          <w:p w14:paraId="220BE689"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3D97E8CA"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07CA711E"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7C62364E"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5ECA4732" w14:textId="77777777" w:rsidR="002D58E4" w:rsidRDefault="00F721D4">
            <w:pPr>
              <w:jc w:val="center"/>
              <w:rPr>
                <w:sz w:val="20"/>
                <w:szCs w:val="20"/>
              </w:rPr>
            </w:pPr>
            <w:r>
              <w:rPr>
                <w:sz w:val="20"/>
                <w:szCs w:val="20"/>
              </w:rPr>
              <w:t xml:space="preserve">9/130 </w:t>
            </w:r>
          </w:p>
          <w:p w14:paraId="111A228F" w14:textId="77777777" w:rsidR="002D58E4" w:rsidRDefault="00F721D4">
            <w:pPr>
              <w:jc w:val="center"/>
              <w:rPr>
                <w:sz w:val="20"/>
                <w:szCs w:val="20"/>
              </w:rPr>
            </w:pPr>
            <w:r>
              <w:rPr>
                <w:sz w:val="20"/>
                <w:szCs w:val="20"/>
              </w:rPr>
              <w:t xml:space="preserve">(6.9%) </w:t>
            </w:r>
          </w:p>
        </w:tc>
        <w:tc>
          <w:tcPr>
            <w:tcW w:w="1049" w:type="dxa"/>
            <w:tcBorders>
              <w:top w:val="single" w:sz="6" w:space="0" w:color="000000"/>
              <w:left w:val="single" w:sz="6" w:space="0" w:color="000000"/>
              <w:bottom w:val="single" w:sz="6" w:space="0" w:color="000000"/>
              <w:right w:val="single" w:sz="6" w:space="0" w:color="000000"/>
            </w:tcBorders>
          </w:tcPr>
          <w:p w14:paraId="32AC6FD0" w14:textId="77777777" w:rsidR="002D58E4" w:rsidRDefault="00F721D4">
            <w:pPr>
              <w:jc w:val="center"/>
              <w:rPr>
                <w:sz w:val="20"/>
                <w:szCs w:val="20"/>
              </w:rPr>
            </w:pPr>
            <w:r>
              <w:rPr>
                <w:sz w:val="20"/>
                <w:szCs w:val="20"/>
              </w:rPr>
              <w:t xml:space="preserve">8/118 (6.8%) </w:t>
            </w:r>
          </w:p>
        </w:tc>
        <w:tc>
          <w:tcPr>
            <w:tcW w:w="1289" w:type="dxa"/>
            <w:tcBorders>
              <w:top w:val="single" w:sz="6" w:space="0" w:color="000000"/>
              <w:left w:val="single" w:sz="6" w:space="0" w:color="000000"/>
              <w:bottom w:val="single" w:sz="6" w:space="0" w:color="000000"/>
              <w:right w:val="single" w:sz="6" w:space="0" w:color="000000"/>
            </w:tcBorders>
          </w:tcPr>
          <w:p w14:paraId="1C4A4A51" w14:textId="77777777" w:rsidR="002D58E4" w:rsidRDefault="00F721D4">
            <w:pPr>
              <w:jc w:val="center"/>
              <w:rPr>
                <w:sz w:val="20"/>
                <w:szCs w:val="20"/>
              </w:rPr>
            </w:pPr>
            <w:r>
              <w:rPr>
                <w:sz w:val="20"/>
                <w:szCs w:val="20"/>
              </w:rPr>
              <w:t>RR 0.92</w:t>
            </w:r>
            <w:r>
              <w:rPr>
                <w:sz w:val="20"/>
                <w:szCs w:val="20"/>
              </w:rPr>
              <w:br/>
              <w:t xml:space="preserve">(0.37 to 2.29) </w:t>
            </w:r>
          </w:p>
        </w:tc>
        <w:tc>
          <w:tcPr>
            <w:tcW w:w="1659" w:type="dxa"/>
            <w:gridSpan w:val="2"/>
            <w:tcBorders>
              <w:top w:val="single" w:sz="6" w:space="0" w:color="000000"/>
              <w:left w:val="single" w:sz="6" w:space="0" w:color="000000"/>
              <w:bottom w:val="single" w:sz="6" w:space="0" w:color="000000"/>
              <w:right w:val="single" w:sz="6" w:space="0" w:color="000000"/>
            </w:tcBorders>
          </w:tcPr>
          <w:p w14:paraId="6911D167" w14:textId="77777777" w:rsidR="002D58E4" w:rsidRDefault="00F721D4">
            <w:pPr>
              <w:jc w:val="center"/>
              <w:rPr>
                <w:sz w:val="20"/>
                <w:szCs w:val="20"/>
              </w:rPr>
            </w:pPr>
            <w:r>
              <w:rPr>
                <w:sz w:val="20"/>
                <w:szCs w:val="20"/>
              </w:rPr>
              <w:t>5 fewer per 1,000</w:t>
            </w:r>
            <w:r>
              <w:rPr>
                <w:sz w:val="20"/>
                <w:szCs w:val="20"/>
              </w:rPr>
              <w:br/>
              <w:t xml:space="preserve">(from 43 fewer to 87 more) </w:t>
            </w:r>
          </w:p>
        </w:tc>
        <w:tc>
          <w:tcPr>
            <w:tcW w:w="1134" w:type="dxa"/>
            <w:tcBorders>
              <w:top w:val="single" w:sz="6" w:space="0" w:color="000000"/>
              <w:left w:val="single" w:sz="6" w:space="0" w:color="000000"/>
              <w:bottom w:val="single" w:sz="6" w:space="0" w:color="000000"/>
              <w:right w:val="single" w:sz="6" w:space="0" w:color="000000"/>
            </w:tcBorders>
          </w:tcPr>
          <w:p w14:paraId="6B9B3D4C"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3D8B877E" w14:textId="77777777" w:rsidR="002D58E4" w:rsidRDefault="00F721D4">
            <w:pPr>
              <w:rPr>
                <w:sz w:val="20"/>
                <w:szCs w:val="20"/>
              </w:rPr>
            </w:pPr>
            <w:r>
              <w:rPr>
                <w:sz w:val="20"/>
                <w:szCs w:val="20"/>
              </w:rPr>
              <w:t xml:space="preserve">CRITICAL </w:t>
            </w:r>
          </w:p>
        </w:tc>
      </w:tr>
      <w:tr w:rsidR="002D58E4" w14:paraId="752F3D43"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39044DF3" w14:textId="77777777" w:rsidR="002D58E4" w:rsidRDefault="00F721D4">
            <w:pPr>
              <w:rPr>
                <w:b/>
                <w:sz w:val="20"/>
                <w:szCs w:val="20"/>
              </w:rPr>
            </w:pPr>
            <w:r>
              <w:rPr>
                <w:b/>
                <w:sz w:val="20"/>
                <w:szCs w:val="20"/>
              </w:rPr>
              <w:t xml:space="preserve">Adverse Event Related to Route of Administration </w:t>
            </w:r>
            <w:r>
              <w:rPr>
                <w:sz w:val="20"/>
                <w:szCs w:val="20"/>
              </w:rPr>
              <w:t>(at 6 months)</w:t>
            </w:r>
          </w:p>
        </w:tc>
      </w:tr>
      <w:tr w:rsidR="002D58E4" w14:paraId="71A3BBA7" w14:textId="77777777" w:rsidTr="00E343BA">
        <w:tc>
          <w:tcPr>
            <w:tcW w:w="708" w:type="dxa"/>
            <w:tcBorders>
              <w:top w:val="single" w:sz="6" w:space="0" w:color="000000"/>
              <w:left w:val="single" w:sz="6" w:space="0" w:color="000000"/>
              <w:bottom w:val="single" w:sz="6" w:space="0" w:color="000000"/>
              <w:right w:val="single" w:sz="6" w:space="0" w:color="000000"/>
            </w:tcBorders>
          </w:tcPr>
          <w:p w14:paraId="304E3950" w14:textId="77777777" w:rsidR="002D58E4" w:rsidRDefault="00F721D4">
            <w:pPr>
              <w:rPr>
                <w:sz w:val="20"/>
                <w:szCs w:val="20"/>
              </w:rPr>
            </w:pPr>
            <w:r>
              <w:rPr>
                <w:sz w:val="20"/>
                <w:szCs w:val="20"/>
              </w:rPr>
              <w:t xml:space="preserve">2 </w:t>
            </w:r>
          </w:p>
        </w:tc>
        <w:tc>
          <w:tcPr>
            <w:tcW w:w="1135" w:type="dxa"/>
            <w:tcBorders>
              <w:top w:val="single" w:sz="6" w:space="0" w:color="000000"/>
              <w:left w:val="single" w:sz="6" w:space="0" w:color="000000"/>
              <w:bottom w:val="single" w:sz="6" w:space="0" w:color="000000"/>
              <w:right w:val="single" w:sz="6" w:space="0" w:color="000000"/>
            </w:tcBorders>
          </w:tcPr>
          <w:p w14:paraId="43F98336" w14:textId="77777777" w:rsidR="002D58E4" w:rsidRDefault="00F721D4">
            <w:pPr>
              <w:rPr>
                <w:sz w:val="20"/>
                <w:szCs w:val="20"/>
              </w:rPr>
            </w:pPr>
            <w:r>
              <w:rPr>
                <w:sz w:val="20"/>
                <w:szCs w:val="20"/>
              </w:rPr>
              <w:t xml:space="preserve">RCTs </w:t>
            </w:r>
            <w:r>
              <w:rPr>
                <w:sz w:val="20"/>
                <w:szCs w:val="20"/>
                <w:vertAlign w:val="superscript"/>
              </w:rPr>
              <w:t>2,3</w:t>
            </w:r>
          </w:p>
        </w:tc>
        <w:tc>
          <w:tcPr>
            <w:tcW w:w="991" w:type="dxa"/>
            <w:tcBorders>
              <w:top w:val="single" w:sz="6" w:space="0" w:color="000000"/>
              <w:left w:val="single" w:sz="6" w:space="0" w:color="000000"/>
              <w:bottom w:val="single" w:sz="6" w:space="0" w:color="000000"/>
              <w:right w:val="single" w:sz="6" w:space="0" w:color="000000"/>
            </w:tcBorders>
          </w:tcPr>
          <w:p w14:paraId="562B7D97" w14:textId="77777777" w:rsidR="002D58E4" w:rsidRDefault="00F721D4">
            <w:pPr>
              <w:rPr>
                <w:sz w:val="20"/>
                <w:szCs w:val="20"/>
              </w:rPr>
            </w:pPr>
            <w:r>
              <w:rPr>
                <w:sz w:val="20"/>
                <w:szCs w:val="20"/>
              </w:rPr>
              <w:t>serious</w:t>
            </w:r>
            <w:r>
              <w:rPr>
                <w:sz w:val="20"/>
                <w:szCs w:val="20"/>
                <w:vertAlign w:val="superscript"/>
              </w:rPr>
              <w:t xml:space="preserve"> b</w:t>
            </w:r>
          </w:p>
        </w:tc>
        <w:tc>
          <w:tcPr>
            <w:tcW w:w="1156" w:type="dxa"/>
            <w:tcBorders>
              <w:top w:val="single" w:sz="6" w:space="0" w:color="000000"/>
              <w:left w:val="single" w:sz="6" w:space="0" w:color="000000"/>
              <w:bottom w:val="single" w:sz="6" w:space="0" w:color="000000"/>
              <w:right w:val="single" w:sz="6" w:space="0" w:color="000000"/>
            </w:tcBorders>
          </w:tcPr>
          <w:p w14:paraId="5D7DF4ED"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442A1797"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1DD7E07D"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7DCBCCB6"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0E794FE4" w14:textId="77777777" w:rsidR="002D58E4" w:rsidRDefault="00F721D4">
            <w:pPr>
              <w:jc w:val="center"/>
              <w:rPr>
                <w:sz w:val="20"/>
                <w:szCs w:val="20"/>
              </w:rPr>
            </w:pPr>
            <w:r>
              <w:rPr>
                <w:sz w:val="20"/>
                <w:szCs w:val="20"/>
              </w:rPr>
              <w:t xml:space="preserve">2/51 </w:t>
            </w:r>
          </w:p>
          <w:p w14:paraId="5EFA9559" w14:textId="77777777" w:rsidR="002D58E4" w:rsidRDefault="00F721D4">
            <w:pPr>
              <w:jc w:val="center"/>
              <w:rPr>
                <w:sz w:val="20"/>
                <w:szCs w:val="20"/>
              </w:rPr>
            </w:pPr>
            <w:r>
              <w:rPr>
                <w:sz w:val="20"/>
                <w:szCs w:val="20"/>
              </w:rPr>
              <w:t xml:space="preserve">(3.9%) </w:t>
            </w:r>
          </w:p>
        </w:tc>
        <w:tc>
          <w:tcPr>
            <w:tcW w:w="1049" w:type="dxa"/>
            <w:tcBorders>
              <w:top w:val="single" w:sz="6" w:space="0" w:color="000000"/>
              <w:left w:val="single" w:sz="6" w:space="0" w:color="000000"/>
              <w:bottom w:val="single" w:sz="6" w:space="0" w:color="000000"/>
              <w:right w:val="single" w:sz="6" w:space="0" w:color="000000"/>
            </w:tcBorders>
          </w:tcPr>
          <w:p w14:paraId="4E406806" w14:textId="77777777" w:rsidR="002D58E4" w:rsidRDefault="00F721D4">
            <w:pPr>
              <w:jc w:val="center"/>
              <w:rPr>
                <w:sz w:val="20"/>
                <w:szCs w:val="20"/>
              </w:rPr>
            </w:pPr>
            <w:r>
              <w:rPr>
                <w:sz w:val="20"/>
                <w:szCs w:val="20"/>
              </w:rPr>
              <w:t xml:space="preserve">4/41 </w:t>
            </w:r>
          </w:p>
          <w:p w14:paraId="17E38F37" w14:textId="77777777" w:rsidR="002D58E4" w:rsidRDefault="00F721D4">
            <w:pPr>
              <w:jc w:val="center"/>
              <w:rPr>
                <w:sz w:val="20"/>
                <w:szCs w:val="20"/>
              </w:rPr>
            </w:pPr>
            <w:r>
              <w:rPr>
                <w:sz w:val="20"/>
                <w:szCs w:val="20"/>
              </w:rPr>
              <w:t xml:space="preserve">(9.8%) </w:t>
            </w:r>
          </w:p>
        </w:tc>
        <w:tc>
          <w:tcPr>
            <w:tcW w:w="1289" w:type="dxa"/>
            <w:tcBorders>
              <w:top w:val="single" w:sz="6" w:space="0" w:color="000000"/>
              <w:left w:val="single" w:sz="6" w:space="0" w:color="000000"/>
              <w:bottom w:val="single" w:sz="6" w:space="0" w:color="000000"/>
              <w:right w:val="single" w:sz="6" w:space="0" w:color="000000"/>
            </w:tcBorders>
          </w:tcPr>
          <w:p w14:paraId="0FF9ED14" w14:textId="77777777" w:rsidR="002D58E4" w:rsidRDefault="00F721D4">
            <w:pPr>
              <w:jc w:val="center"/>
              <w:rPr>
                <w:sz w:val="20"/>
                <w:szCs w:val="20"/>
              </w:rPr>
            </w:pPr>
            <w:r>
              <w:rPr>
                <w:sz w:val="20"/>
                <w:szCs w:val="20"/>
              </w:rPr>
              <w:t>RR 0.49</w:t>
            </w:r>
            <w:r>
              <w:rPr>
                <w:sz w:val="20"/>
                <w:szCs w:val="20"/>
              </w:rPr>
              <w:br/>
              <w:t xml:space="preserve">(0.06 to 4.24) </w:t>
            </w:r>
          </w:p>
        </w:tc>
        <w:tc>
          <w:tcPr>
            <w:tcW w:w="1659" w:type="dxa"/>
            <w:gridSpan w:val="2"/>
            <w:tcBorders>
              <w:top w:val="single" w:sz="6" w:space="0" w:color="000000"/>
              <w:left w:val="single" w:sz="6" w:space="0" w:color="000000"/>
              <w:bottom w:val="single" w:sz="6" w:space="0" w:color="000000"/>
              <w:right w:val="single" w:sz="6" w:space="0" w:color="000000"/>
            </w:tcBorders>
          </w:tcPr>
          <w:p w14:paraId="0208BF4F" w14:textId="77777777" w:rsidR="002D58E4" w:rsidRDefault="00F721D4">
            <w:pPr>
              <w:jc w:val="center"/>
              <w:rPr>
                <w:sz w:val="20"/>
                <w:szCs w:val="20"/>
              </w:rPr>
            </w:pPr>
            <w:r>
              <w:rPr>
                <w:sz w:val="20"/>
                <w:szCs w:val="20"/>
              </w:rPr>
              <w:t>50 fewer per 1,000</w:t>
            </w:r>
            <w:r>
              <w:rPr>
                <w:sz w:val="20"/>
                <w:szCs w:val="20"/>
              </w:rPr>
              <w:br/>
              <w:t xml:space="preserve">(from 92 fewer to 316 more) </w:t>
            </w:r>
          </w:p>
        </w:tc>
        <w:tc>
          <w:tcPr>
            <w:tcW w:w="1134" w:type="dxa"/>
            <w:tcBorders>
              <w:top w:val="single" w:sz="6" w:space="0" w:color="000000"/>
              <w:left w:val="single" w:sz="6" w:space="0" w:color="000000"/>
              <w:bottom w:val="single" w:sz="6" w:space="0" w:color="000000"/>
              <w:right w:val="single" w:sz="6" w:space="0" w:color="000000"/>
            </w:tcBorders>
          </w:tcPr>
          <w:p w14:paraId="249FDF2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24412135" w14:textId="77777777" w:rsidR="002D58E4" w:rsidRDefault="00F721D4">
            <w:pPr>
              <w:rPr>
                <w:sz w:val="20"/>
                <w:szCs w:val="20"/>
              </w:rPr>
            </w:pPr>
            <w:r>
              <w:rPr>
                <w:sz w:val="20"/>
                <w:szCs w:val="20"/>
              </w:rPr>
              <w:t xml:space="preserve">CRITICAL </w:t>
            </w:r>
          </w:p>
        </w:tc>
      </w:tr>
      <w:tr w:rsidR="002D58E4" w14:paraId="3A65B5DE"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3162E7DC" w14:textId="77777777" w:rsidR="002D58E4" w:rsidRDefault="00F721D4">
            <w:pPr>
              <w:rPr>
                <w:b/>
                <w:sz w:val="20"/>
                <w:szCs w:val="20"/>
              </w:rPr>
            </w:pPr>
            <w:r>
              <w:rPr>
                <w:b/>
                <w:sz w:val="20"/>
                <w:szCs w:val="20"/>
              </w:rPr>
              <w:t>Serious Adverse Events</w:t>
            </w:r>
            <w:r>
              <w:rPr>
                <w:sz w:val="20"/>
                <w:szCs w:val="20"/>
              </w:rPr>
              <w:t xml:space="preserve"> (Ranging from 3 to 6 months)</w:t>
            </w:r>
          </w:p>
        </w:tc>
      </w:tr>
      <w:tr w:rsidR="002D58E4" w14:paraId="324F2912" w14:textId="77777777" w:rsidTr="00E343BA">
        <w:tc>
          <w:tcPr>
            <w:tcW w:w="708" w:type="dxa"/>
            <w:tcBorders>
              <w:top w:val="single" w:sz="6" w:space="0" w:color="000000"/>
              <w:left w:val="single" w:sz="6" w:space="0" w:color="000000"/>
              <w:bottom w:val="single" w:sz="6" w:space="0" w:color="000000"/>
              <w:right w:val="single" w:sz="6" w:space="0" w:color="000000"/>
            </w:tcBorders>
          </w:tcPr>
          <w:p w14:paraId="6AFEE268" w14:textId="77777777" w:rsidR="002D58E4" w:rsidRDefault="00F721D4">
            <w:pPr>
              <w:rPr>
                <w:sz w:val="20"/>
                <w:szCs w:val="20"/>
              </w:rPr>
            </w:pPr>
            <w:r>
              <w:rPr>
                <w:sz w:val="20"/>
                <w:szCs w:val="20"/>
              </w:rPr>
              <w:t xml:space="preserve">5 </w:t>
            </w:r>
          </w:p>
        </w:tc>
        <w:tc>
          <w:tcPr>
            <w:tcW w:w="1135" w:type="dxa"/>
            <w:tcBorders>
              <w:top w:val="single" w:sz="6" w:space="0" w:color="000000"/>
              <w:left w:val="single" w:sz="6" w:space="0" w:color="000000"/>
              <w:bottom w:val="single" w:sz="6" w:space="0" w:color="000000"/>
              <w:right w:val="single" w:sz="6" w:space="0" w:color="000000"/>
            </w:tcBorders>
          </w:tcPr>
          <w:p w14:paraId="4F40AB0A" w14:textId="77777777" w:rsidR="002D58E4" w:rsidRDefault="00F721D4">
            <w:pPr>
              <w:rPr>
                <w:sz w:val="20"/>
                <w:szCs w:val="20"/>
              </w:rPr>
            </w:pPr>
            <w:r>
              <w:rPr>
                <w:sz w:val="20"/>
                <w:szCs w:val="20"/>
              </w:rPr>
              <w:t xml:space="preserve">RCTs </w:t>
            </w:r>
            <w:r>
              <w:rPr>
                <w:sz w:val="20"/>
                <w:szCs w:val="20"/>
                <w:vertAlign w:val="superscript"/>
              </w:rPr>
              <w:t>1,2,3,4</w:t>
            </w:r>
          </w:p>
        </w:tc>
        <w:tc>
          <w:tcPr>
            <w:tcW w:w="991" w:type="dxa"/>
            <w:tcBorders>
              <w:top w:val="single" w:sz="6" w:space="0" w:color="000000"/>
              <w:left w:val="single" w:sz="6" w:space="0" w:color="000000"/>
              <w:bottom w:val="single" w:sz="6" w:space="0" w:color="000000"/>
              <w:right w:val="single" w:sz="6" w:space="0" w:color="000000"/>
            </w:tcBorders>
          </w:tcPr>
          <w:p w14:paraId="7EEE70D3" w14:textId="77777777" w:rsidR="002D58E4" w:rsidRDefault="00F721D4">
            <w:pPr>
              <w:rPr>
                <w:sz w:val="20"/>
                <w:szCs w:val="20"/>
              </w:rPr>
            </w:pPr>
            <w:r>
              <w:rPr>
                <w:sz w:val="20"/>
                <w:szCs w:val="20"/>
              </w:rPr>
              <w:t>serious</w:t>
            </w:r>
            <w:r>
              <w:rPr>
                <w:sz w:val="20"/>
                <w:szCs w:val="20"/>
                <w:vertAlign w:val="superscript"/>
              </w:rPr>
              <w:t xml:space="preserve"> d</w:t>
            </w:r>
          </w:p>
        </w:tc>
        <w:tc>
          <w:tcPr>
            <w:tcW w:w="1156" w:type="dxa"/>
            <w:tcBorders>
              <w:top w:val="single" w:sz="6" w:space="0" w:color="000000"/>
              <w:left w:val="single" w:sz="6" w:space="0" w:color="000000"/>
              <w:bottom w:val="single" w:sz="6" w:space="0" w:color="000000"/>
              <w:right w:val="single" w:sz="6" w:space="0" w:color="000000"/>
            </w:tcBorders>
          </w:tcPr>
          <w:p w14:paraId="1C6B58D3"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5D3B4807"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46472948" w14:textId="77777777" w:rsidR="002D58E4" w:rsidRDefault="00F721D4">
            <w:pPr>
              <w:rPr>
                <w:sz w:val="20"/>
                <w:szCs w:val="20"/>
              </w:rPr>
            </w:pPr>
            <w:r>
              <w:rPr>
                <w:sz w:val="20"/>
                <w:szCs w:val="20"/>
              </w:rPr>
              <w:t xml:space="preserve">serious </w:t>
            </w:r>
            <w:r>
              <w:rPr>
                <w:sz w:val="20"/>
                <w:szCs w:val="20"/>
                <w:vertAlign w:val="superscript"/>
              </w:rPr>
              <w:t>a</w:t>
            </w:r>
          </w:p>
        </w:tc>
        <w:tc>
          <w:tcPr>
            <w:tcW w:w="877" w:type="dxa"/>
            <w:tcBorders>
              <w:top w:val="single" w:sz="6" w:space="0" w:color="000000"/>
              <w:left w:val="single" w:sz="6" w:space="0" w:color="000000"/>
              <w:bottom w:val="single" w:sz="6" w:space="0" w:color="000000"/>
              <w:right w:val="single" w:sz="6" w:space="0" w:color="000000"/>
            </w:tcBorders>
          </w:tcPr>
          <w:p w14:paraId="330788D9"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4319B091" w14:textId="77777777" w:rsidR="002D58E4" w:rsidRDefault="00F721D4">
            <w:pPr>
              <w:jc w:val="center"/>
              <w:rPr>
                <w:sz w:val="20"/>
                <w:szCs w:val="20"/>
              </w:rPr>
            </w:pPr>
            <w:r>
              <w:rPr>
                <w:sz w:val="20"/>
                <w:szCs w:val="20"/>
              </w:rPr>
              <w:t xml:space="preserve">4/130 </w:t>
            </w:r>
          </w:p>
          <w:p w14:paraId="4B978C4F" w14:textId="77777777" w:rsidR="002D58E4" w:rsidRDefault="00F721D4">
            <w:pPr>
              <w:jc w:val="center"/>
              <w:rPr>
                <w:sz w:val="20"/>
                <w:szCs w:val="20"/>
              </w:rPr>
            </w:pPr>
            <w:r>
              <w:rPr>
                <w:sz w:val="20"/>
                <w:szCs w:val="20"/>
              </w:rPr>
              <w:t xml:space="preserve">(3.1%) </w:t>
            </w:r>
          </w:p>
        </w:tc>
        <w:tc>
          <w:tcPr>
            <w:tcW w:w="1049" w:type="dxa"/>
            <w:tcBorders>
              <w:top w:val="single" w:sz="6" w:space="0" w:color="000000"/>
              <w:left w:val="single" w:sz="6" w:space="0" w:color="000000"/>
              <w:bottom w:val="single" w:sz="6" w:space="0" w:color="000000"/>
              <w:right w:val="single" w:sz="6" w:space="0" w:color="000000"/>
            </w:tcBorders>
          </w:tcPr>
          <w:p w14:paraId="0FEE802E" w14:textId="77777777" w:rsidR="002D58E4" w:rsidRDefault="00F721D4">
            <w:pPr>
              <w:jc w:val="center"/>
              <w:rPr>
                <w:sz w:val="20"/>
                <w:szCs w:val="20"/>
              </w:rPr>
            </w:pPr>
            <w:r>
              <w:rPr>
                <w:sz w:val="20"/>
                <w:szCs w:val="20"/>
              </w:rPr>
              <w:t xml:space="preserve">3/118 (2.5%) </w:t>
            </w:r>
          </w:p>
        </w:tc>
        <w:tc>
          <w:tcPr>
            <w:tcW w:w="1289" w:type="dxa"/>
            <w:tcBorders>
              <w:top w:val="single" w:sz="6" w:space="0" w:color="000000"/>
              <w:left w:val="single" w:sz="6" w:space="0" w:color="000000"/>
              <w:bottom w:val="single" w:sz="6" w:space="0" w:color="000000"/>
              <w:right w:val="single" w:sz="6" w:space="0" w:color="000000"/>
            </w:tcBorders>
          </w:tcPr>
          <w:p w14:paraId="4BB81125" w14:textId="77777777" w:rsidR="002D58E4" w:rsidRDefault="00F721D4">
            <w:pPr>
              <w:jc w:val="center"/>
              <w:rPr>
                <w:sz w:val="20"/>
                <w:szCs w:val="20"/>
              </w:rPr>
            </w:pPr>
            <w:r>
              <w:rPr>
                <w:sz w:val="20"/>
                <w:szCs w:val="20"/>
              </w:rPr>
              <w:t>RR 1.05</w:t>
            </w:r>
            <w:r>
              <w:rPr>
                <w:sz w:val="20"/>
                <w:szCs w:val="20"/>
              </w:rPr>
              <w:br/>
              <w:t xml:space="preserve">(0.18 to 6.15) </w:t>
            </w:r>
          </w:p>
        </w:tc>
        <w:tc>
          <w:tcPr>
            <w:tcW w:w="1659" w:type="dxa"/>
            <w:gridSpan w:val="2"/>
            <w:tcBorders>
              <w:top w:val="single" w:sz="6" w:space="0" w:color="000000"/>
              <w:left w:val="single" w:sz="6" w:space="0" w:color="000000"/>
              <w:bottom w:val="single" w:sz="6" w:space="0" w:color="000000"/>
              <w:right w:val="single" w:sz="6" w:space="0" w:color="000000"/>
            </w:tcBorders>
          </w:tcPr>
          <w:p w14:paraId="6F768743" w14:textId="77777777" w:rsidR="002D58E4" w:rsidRDefault="00F721D4">
            <w:pPr>
              <w:jc w:val="center"/>
              <w:rPr>
                <w:sz w:val="20"/>
                <w:szCs w:val="20"/>
              </w:rPr>
            </w:pPr>
            <w:r>
              <w:rPr>
                <w:sz w:val="20"/>
                <w:szCs w:val="20"/>
              </w:rPr>
              <w:t>1 more per 1,000</w:t>
            </w:r>
            <w:r>
              <w:rPr>
                <w:sz w:val="20"/>
                <w:szCs w:val="20"/>
              </w:rPr>
              <w:br/>
              <w:t xml:space="preserve">(from 21 fewer to 131 more) </w:t>
            </w:r>
          </w:p>
        </w:tc>
        <w:tc>
          <w:tcPr>
            <w:tcW w:w="1134" w:type="dxa"/>
            <w:tcBorders>
              <w:top w:val="single" w:sz="6" w:space="0" w:color="000000"/>
              <w:left w:val="single" w:sz="6" w:space="0" w:color="000000"/>
              <w:bottom w:val="single" w:sz="6" w:space="0" w:color="000000"/>
              <w:right w:val="single" w:sz="6" w:space="0" w:color="000000"/>
            </w:tcBorders>
          </w:tcPr>
          <w:p w14:paraId="313018D7"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LOW </w:t>
            </w:r>
          </w:p>
        </w:tc>
        <w:tc>
          <w:tcPr>
            <w:tcW w:w="1134" w:type="dxa"/>
            <w:tcBorders>
              <w:top w:val="single" w:sz="6" w:space="0" w:color="000000"/>
              <w:left w:val="single" w:sz="6" w:space="0" w:color="000000"/>
              <w:bottom w:val="single" w:sz="6" w:space="0" w:color="000000"/>
              <w:right w:val="single" w:sz="6" w:space="0" w:color="000000"/>
            </w:tcBorders>
          </w:tcPr>
          <w:p w14:paraId="1D35C18E" w14:textId="77777777" w:rsidR="002D58E4" w:rsidRDefault="00F721D4">
            <w:pPr>
              <w:rPr>
                <w:sz w:val="20"/>
                <w:szCs w:val="20"/>
              </w:rPr>
            </w:pPr>
            <w:r>
              <w:rPr>
                <w:sz w:val="20"/>
                <w:szCs w:val="20"/>
              </w:rPr>
              <w:t xml:space="preserve">CRITICAL </w:t>
            </w:r>
          </w:p>
        </w:tc>
      </w:tr>
      <w:tr w:rsidR="002D58E4" w14:paraId="4712269E"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EDEDED"/>
          </w:tcPr>
          <w:p w14:paraId="21E77221" w14:textId="77777777" w:rsidR="002D58E4" w:rsidRDefault="00F721D4">
            <w:pPr>
              <w:rPr>
                <w:b/>
                <w:sz w:val="20"/>
                <w:szCs w:val="20"/>
              </w:rPr>
            </w:pPr>
            <w:r>
              <w:rPr>
                <w:b/>
                <w:sz w:val="20"/>
                <w:szCs w:val="20"/>
              </w:rPr>
              <w:t xml:space="preserve">Gastrointestinal Adverse Events </w:t>
            </w:r>
            <w:r>
              <w:rPr>
                <w:sz w:val="20"/>
                <w:szCs w:val="20"/>
              </w:rPr>
              <w:t>(Ranging from 3 to 6 months)</w:t>
            </w:r>
          </w:p>
        </w:tc>
      </w:tr>
      <w:tr w:rsidR="002D58E4" w14:paraId="39FA4076" w14:textId="77777777" w:rsidTr="00E343BA">
        <w:tc>
          <w:tcPr>
            <w:tcW w:w="708" w:type="dxa"/>
            <w:tcBorders>
              <w:top w:val="single" w:sz="6" w:space="0" w:color="000000"/>
              <w:left w:val="single" w:sz="6" w:space="0" w:color="000000"/>
              <w:bottom w:val="single" w:sz="6" w:space="0" w:color="000000"/>
              <w:right w:val="single" w:sz="6" w:space="0" w:color="000000"/>
            </w:tcBorders>
          </w:tcPr>
          <w:p w14:paraId="1E6051F1" w14:textId="77777777" w:rsidR="002D58E4" w:rsidRDefault="00F721D4">
            <w:pPr>
              <w:rPr>
                <w:sz w:val="20"/>
                <w:szCs w:val="20"/>
              </w:rPr>
            </w:pPr>
            <w:r>
              <w:rPr>
                <w:sz w:val="20"/>
                <w:szCs w:val="20"/>
              </w:rPr>
              <w:t xml:space="preserve">4 </w:t>
            </w:r>
          </w:p>
        </w:tc>
        <w:tc>
          <w:tcPr>
            <w:tcW w:w="1135" w:type="dxa"/>
            <w:tcBorders>
              <w:top w:val="single" w:sz="6" w:space="0" w:color="000000"/>
              <w:left w:val="single" w:sz="6" w:space="0" w:color="000000"/>
              <w:bottom w:val="single" w:sz="6" w:space="0" w:color="000000"/>
              <w:right w:val="single" w:sz="6" w:space="0" w:color="000000"/>
            </w:tcBorders>
          </w:tcPr>
          <w:p w14:paraId="70345C85" w14:textId="77777777" w:rsidR="002D58E4" w:rsidRDefault="00F721D4">
            <w:pPr>
              <w:rPr>
                <w:sz w:val="20"/>
                <w:szCs w:val="20"/>
              </w:rPr>
            </w:pPr>
            <w:r>
              <w:rPr>
                <w:sz w:val="20"/>
                <w:szCs w:val="20"/>
              </w:rPr>
              <w:t xml:space="preserve">RCTs </w:t>
            </w:r>
            <w:r>
              <w:rPr>
                <w:sz w:val="20"/>
                <w:szCs w:val="20"/>
                <w:vertAlign w:val="superscript"/>
              </w:rPr>
              <w:t>1,3,4</w:t>
            </w:r>
          </w:p>
        </w:tc>
        <w:tc>
          <w:tcPr>
            <w:tcW w:w="991" w:type="dxa"/>
            <w:tcBorders>
              <w:top w:val="single" w:sz="6" w:space="0" w:color="000000"/>
              <w:left w:val="single" w:sz="6" w:space="0" w:color="000000"/>
              <w:bottom w:val="single" w:sz="6" w:space="0" w:color="000000"/>
              <w:right w:val="single" w:sz="6" w:space="0" w:color="000000"/>
            </w:tcBorders>
          </w:tcPr>
          <w:p w14:paraId="23CE4F95" w14:textId="77777777" w:rsidR="002D58E4" w:rsidRDefault="00F721D4">
            <w:pPr>
              <w:rPr>
                <w:sz w:val="20"/>
                <w:szCs w:val="20"/>
              </w:rPr>
            </w:pPr>
            <w:r>
              <w:rPr>
                <w:sz w:val="20"/>
                <w:szCs w:val="20"/>
              </w:rPr>
              <w:t xml:space="preserve">serious </w:t>
            </w:r>
            <w:r>
              <w:rPr>
                <w:sz w:val="20"/>
                <w:szCs w:val="20"/>
                <w:vertAlign w:val="superscript"/>
              </w:rPr>
              <w:t>d</w:t>
            </w:r>
          </w:p>
        </w:tc>
        <w:tc>
          <w:tcPr>
            <w:tcW w:w="1156" w:type="dxa"/>
            <w:tcBorders>
              <w:top w:val="single" w:sz="6" w:space="0" w:color="000000"/>
              <w:left w:val="single" w:sz="6" w:space="0" w:color="000000"/>
              <w:bottom w:val="single" w:sz="6" w:space="0" w:color="000000"/>
              <w:right w:val="single" w:sz="6" w:space="0" w:color="000000"/>
            </w:tcBorders>
          </w:tcPr>
          <w:p w14:paraId="3CCFC4F2" w14:textId="77777777" w:rsidR="002D58E4" w:rsidRDefault="00F721D4">
            <w:pPr>
              <w:rPr>
                <w:sz w:val="20"/>
                <w:szCs w:val="20"/>
              </w:rPr>
            </w:pPr>
            <w:r>
              <w:rPr>
                <w:sz w:val="20"/>
                <w:szCs w:val="20"/>
              </w:rPr>
              <w:t xml:space="preserve">not serious </w:t>
            </w:r>
          </w:p>
        </w:tc>
        <w:tc>
          <w:tcPr>
            <w:tcW w:w="1148" w:type="dxa"/>
            <w:tcBorders>
              <w:top w:val="single" w:sz="6" w:space="0" w:color="000000"/>
              <w:left w:val="single" w:sz="6" w:space="0" w:color="000000"/>
              <w:bottom w:val="single" w:sz="6" w:space="0" w:color="000000"/>
              <w:right w:val="single" w:sz="6" w:space="0" w:color="000000"/>
            </w:tcBorders>
          </w:tcPr>
          <w:p w14:paraId="09C34C23" w14:textId="77777777" w:rsidR="002D58E4" w:rsidRDefault="00F721D4">
            <w:pPr>
              <w:rPr>
                <w:sz w:val="20"/>
                <w:szCs w:val="20"/>
              </w:rPr>
            </w:pPr>
            <w:r>
              <w:rPr>
                <w:sz w:val="20"/>
                <w:szCs w:val="20"/>
              </w:rPr>
              <w:t xml:space="preserve">not serious </w:t>
            </w:r>
          </w:p>
        </w:tc>
        <w:tc>
          <w:tcPr>
            <w:tcW w:w="1073" w:type="dxa"/>
            <w:tcBorders>
              <w:top w:val="single" w:sz="6" w:space="0" w:color="000000"/>
              <w:left w:val="single" w:sz="6" w:space="0" w:color="000000"/>
              <w:bottom w:val="single" w:sz="6" w:space="0" w:color="000000"/>
              <w:right w:val="single" w:sz="6" w:space="0" w:color="000000"/>
            </w:tcBorders>
          </w:tcPr>
          <w:p w14:paraId="244C947D" w14:textId="77777777" w:rsidR="002D58E4" w:rsidRDefault="00F721D4">
            <w:pPr>
              <w:rPr>
                <w:sz w:val="20"/>
                <w:szCs w:val="20"/>
              </w:rPr>
            </w:pPr>
            <w:r>
              <w:rPr>
                <w:sz w:val="20"/>
                <w:szCs w:val="20"/>
              </w:rPr>
              <w:t xml:space="preserve">not serious </w:t>
            </w:r>
          </w:p>
        </w:tc>
        <w:tc>
          <w:tcPr>
            <w:tcW w:w="877" w:type="dxa"/>
            <w:tcBorders>
              <w:top w:val="single" w:sz="6" w:space="0" w:color="000000"/>
              <w:left w:val="single" w:sz="6" w:space="0" w:color="000000"/>
              <w:bottom w:val="single" w:sz="6" w:space="0" w:color="000000"/>
              <w:right w:val="single" w:sz="6" w:space="0" w:color="000000"/>
            </w:tcBorders>
          </w:tcPr>
          <w:p w14:paraId="28E9349C" w14:textId="77777777" w:rsidR="002D58E4" w:rsidRDefault="00F721D4">
            <w:pPr>
              <w:rPr>
                <w:sz w:val="20"/>
                <w:szCs w:val="20"/>
              </w:rPr>
            </w:pPr>
            <w:r>
              <w:rPr>
                <w:sz w:val="20"/>
                <w:szCs w:val="20"/>
              </w:rPr>
              <w:t xml:space="preserve">none </w:t>
            </w:r>
          </w:p>
        </w:tc>
        <w:tc>
          <w:tcPr>
            <w:tcW w:w="1106" w:type="dxa"/>
            <w:tcBorders>
              <w:top w:val="single" w:sz="6" w:space="0" w:color="000000"/>
              <w:left w:val="single" w:sz="6" w:space="0" w:color="000000"/>
              <w:bottom w:val="single" w:sz="6" w:space="0" w:color="000000"/>
              <w:right w:val="single" w:sz="6" w:space="0" w:color="000000"/>
            </w:tcBorders>
          </w:tcPr>
          <w:p w14:paraId="15941D2A" w14:textId="77777777" w:rsidR="002D58E4" w:rsidRDefault="00F721D4">
            <w:pPr>
              <w:jc w:val="center"/>
              <w:rPr>
                <w:sz w:val="20"/>
                <w:szCs w:val="20"/>
              </w:rPr>
            </w:pPr>
            <w:r>
              <w:rPr>
                <w:sz w:val="20"/>
                <w:szCs w:val="20"/>
              </w:rPr>
              <w:t xml:space="preserve">21/107 (19.6%) </w:t>
            </w:r>
          </w:p>
        </w:tc>
        <w:tc>
          <w:tcPr>
            <w:tcW w:w="1049" w:type="dxa"/>
            <w:tcBorders>
              <w:top w:val="single" w:sz="6" w:space="0" w:color="000000"/>
              <w:left w:val="single" w:sz="6" w:space="0" w:color="000000"/>
              <w:bottom w:val="single" w:sz="6" w:space="0" w:color="000000"/>
              <w:right w:val="single" w:sz="6" w:space="0" w:color="000000"/>
            </w:tcBorders>
          </w:tcPr>
          <w:p w14:paraId="6E2F9B96" w14:textId="77777777" w:rsidR="002D58E4" w:rsidRDefault="00F721D4">
            <w:pPr>
              <w:jc w:val="center"/>
              <w:rPr>
                <w:sz w:val="20"/>
                <w:szCs w:val="20"/>
              </w:rPr>
            </w:pPr>
            <w:r>
              <w:rPr>
                <w:sz w:val="20"/>
                <w:szCs w:val="20"/>
              </w:rPr>
              <w:t xml:space="preserve">8/104 (7.7%) </w:t>
            </w:r>
          </w:p>
        </w:tc>
        <w:tc>
          <w:tcPr>
            <w:tcW w:w="1289" w:type="dxa"/>
            <w:tcBorders>
              <w:top w:val="single" w:sz="6" w:space="0" w:color="000000"/>
              <w:left w:val="single" w:sz="6" w:space="0" w:color="000000"/>
              <w:bottom w:val="single" w:sz="6" w:space="0" w:color="000000"/>
              <w:right w:val="single" w:sz="6" w:space="0" w:color="000000"/>
            </w:tcBorders>
          </w:tcPr>
          <w:p w14:paraId="3370C6B3" w14:textId="77777777" w:rsidR="002D58E4" w:rsidRDefault="00F721D4">
            <w:pPr>
              <w:jc w:val="center"/>
              <w:rPr>
                <w:b/>
                <w:sz w:val="20"/>
                <w:szCs w:val="20"/>
              </w:rPr>
            </w:pPr>
            <w:r>
              <w:rPr>
                <w:b/>
                <w:sz w:val="20"/>
                <w:szCs w:val="20"/>
              </w:rPr>
              <w:t>RR 2.14</w:t>
            </w:r>
            <w:r>
              <w:rPr>
                <w:b/>
                <w:sz w:val="20"/>
                <w:szCs w:val="20"/>
              </w:rPr>
              <w:br/>
              <w:t xml:space="preserve">(1.05 to 4.36) </w:t>
            </w:r>
          </w:p>
        </w:tc>
        <w:tc>
          <w:tcPr>
            <w:tcW w:w="1659" w:type="dxa"/>
            <w:gridSpan w:val="2"/>
            <w:tcBorders>
              <w:top w:val="single" w:sz="6" w:space="0" w:color="000000"/>
              <w:left w:val="single" w:sz="6" w:space="0" w:color="000000"/>
              <w:bottom w:val="single" w:sz="6" w:space="0" w:color="000000"/>
              <w:right w:val="single" w:sz="6" w:space="0" w:color="000000"/>
            </w:tcBorders>
          </w:tcPr>
          <w:p w14:paraId="08838896" w14:textId="77777777" w:rsidR="002D58E4" w:rsidRDefault="00F721D4">
            <w:pPr>
              <w:jc w:val="center"/>
              <w:rPr>
                <w:b/>
                <w:sz w:val="20"/>
                <w:szCs w:val="20"/>
              </w:rPr>
            </w:pPr>
            <w:r>
              <w:rPr>
                <w:b/>
                <w:sz w:val="20"/>
                <w:szCs w:val="20"/>
              </w:rPr>
              <w:t>88 more per 1,000</w:t>
            </w:r>
            <w:r>
              <w:rPr>
                <w:b/>
                <w:sz w:val="20"/>
                <w:szCs w:val="20"/>
              </w:rPr>
              <w:br/>
              <w:t xml:space="preserve">(from 4 more to 258 more) </w:t>
            </w:r>
          </w:p>
        </w:tc>
        <w:tc>
          <w:tcPr>
            <w:tcW w:w="1134" w:type="dxa"/>
            <w:tcBorders>
              <w:top w:val="single" w:sz="6" w:space="0" w:color="000000"/>
              <w:left w:val="single" w:sz="6" w:space="0" w:color="000000"/>
              <w:bottom w:val="single" w:sz="6" w:space="0" w:color="000000"/>
              <w:right w:val="single" w:sz="6" w:space="0" w:color="000000"/>
            </w:tcBorders>
          </w:tcPr>
          <w:p w14:paraId="391BA7E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134" w:type="dxa"/>
            <w:tcBorders>
              <w:top w:val="single" w:sz="6" w:space="0" w:color="000000"/>
              <w:left w:val="single" w:sz="6" w:space="0" w:color="000000"/>
              <w:bottom w:val="single" w:sz="6" w:space="0" w:color="000000"/>
              <w:right w:val="single" w:sz="6" w:space="0" w:color="000000"/>
            </w:tcBorders>
          </w:tcPr>
          <w:p w14:paraId="75041DDB" w14:textId="77777777" w:rsidR="002D58E4" w:rsidRDefault="00F721D4">
            <w:pPr>
              <w:rPr>
                <w:sz w:val="20"/>
                <w:szCs w:val="20"/>
              </w:rPr>
            </w:pPr>
            <w:r>
              <w:rPr>
                <w:sz w:val="20"/>
                <w:szCs w:val="20"/>
              </w:rPr>
              <w:t xml:space="preserve">CRITICAL </w:t>
            </w:r>
          </w:p>
        </w:tc>
      </w:tr>
      <w:tr w:rsidR="002D58E4" w14:paraId="0459975C"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F2F2F2"/>
          </w:tcPr>
          <w:p w14:paraId="5087C9E8" w14:textId="77777777" w:rsidR="002D58E4" w:rsidRDefault="00F721D4">
            <w:pPr>
              <w:rPr>
                <w:b/>
                <w:sz w:val="20"/>
                <w:szCs w:val="20"/>
              </w:rPr>
            </w:pPr>
            <w:r>
              <w:rPr>
                <w:b/>
                <w:sz w:val="20"/>
                <w:szCs w:val="20"/>
              </w:rPr>
              <w:t>Vascular access device related adverse events</w:t>
            </w:r>
          </w:p>
        </w:tc>
      </w:tr>
      <w:tr w:rsidR="002D58E4" w14:paraId="352E2466" w14:textId="77777777" w:rsidTr="00E343BA">
        <w:tc>
          <w:tcPr>
            <w:tcW w:w="708" w:type="dxa"/>
            <w:tcBorders>
              <w:top w:val="single" w:sz="6" w:space="0" w:color="000000"/>
              <w:left w:val="single" w:sz="6" w:space="0" w:color="000000"/>
              <w:bottom w:val="single" w:sz="6" w:space="0" w:color="000000"/>
              <w:right w:val="single" w:sz="6" w:space="0" w:color="000000"/>
            </w:tcBorders>
          </w:tcPr>
          <w:p w14:paraId="7C10623C" w14:textId="77777777" w:rsidR="002D58E4" w:rsidRDefault="00F721D4">
            <w:pPr>
              <w:rPr>
                <w:sz w:val="20"/>
                <w:szCs w:val="20"/>
              </w:rPr>
            </w:pPr>
            <w:r>
              <w:rPr>
                <w:sz w:val="20"/>
                <w:szCs w:val="20"/>
              </w:rPr>
              <w:t>21</w:t>
            </w:r>
          </w:p>
        </w:tc>
        <w:tc>
          <w:tcPr>
            <w:tcW w:w="1135" w:type="dxa"/>
            <w:tcBorders>
              <w:top w:val="single" w:sz="6" w:space="0" w:color="000000"/>
              <w:left w:val="single" w:sz="6" w:space="0" w:color="000000"/>
              <w:bottom w:val="single" w:sz="6" w:space="0" w:color="000000"/>
              <w:right w:val="single" w:sz="6" w:space="0" w:color="000000"/>
            </w:tcBorders>
          </w:tcPr>
          <w:p w14:paraId="1B959262" w14:textId="77777777" w:rsidR="002D58E4" w:rsidRDefault="00F721D4">
            <w:pPr>
              <w:rPr>
                <w:sz w:val="20"/>
                <w:szCs w:val="20"/>
              </w:rPr>
            </w:pPr>
            <w:r>
              <w:rPr>
                <w:sz w:val="20"/>
                <w:szCs w:val="20"/>
              </w:rPr>
              <w:t xml:space="preserve">Single-arm observational studies (meta-analysis) </w:t>
            </w:r>
            <w:r>
              <w:rPr>
                <w:sz w:val="20"/>
                <w:szCs w:val="20"/>
                <w:vertAlign w:val="superscript"/>
              </w:rPr>
              <w:t>5</w:t>
            </w:r>
          </w:p>
        </w:tc>
        <w:tc>
          <w:tcPr>
            <w:tcW w:w="991" w:type="dxa"/>
            <w:tcBorders>
              <w:top w:val="single" w:sz="6" w:space="0" w:color="000000"/>
              <w:left w:val="single" w:sz="6" w:space="0" w:color="000000"/>
              <w:bottom w:val="single" w:sz="6" w:space="0" w:color="000000"/>
              <w:right w:val="single" w:sz="6" w:space="0" w:color="000000"/>
            </w:tcBorders>
          </w:tcPr>
          <w:p w14:paraId="541D735F" w14:textId="77777777" w:rsidR="002D58E4" w:rsidRDefault="00F721D4">
            <w:pPr>
              <w:rPr>
                <w:sz w:val="20"/>
                <w:szCs w:val="20"/>
              </w:rPr>
            </w:pPr>
            <w:r>
              <w:rPr>
                <w:sz w:val="20"/>
                <w:szCs w:val="20"/>
              </w:rPr>
              <w:t>not serious</w:t>
            </w:r>
            <w:r>
              <w:rPr>
                <w:sz w:val="20"/>
                <w:szCs w:val="20"/>
                <w:vertAlign w:val="superscript"/>
              </w:rPr>
              <w:t xml:space="preserve"> e</w:t>
            </w:r>
          </w:p>
        </w:tc>
        <w:tc>
          <w:tcPr>
            <w:tcW w:w="1156" w:type="dxa"/>
            <w:tcBorders>
              <w:top w:val="single" w:sz="6" w:space="0" w:color="000000"/>
              <w:left w:val="single" w:sz="6" w:space="0" w:color="000000"/>
              <w:bottom w:val="single" w:sz="6" w:space="0" w:color="000000"/>
              <w:right w:val="single" w:sz="6" w:space="0" w:color="000000"/>
            </w:tcBorders>
          </w:tcPr>
          <w:p w14:paraId="08DFDF14" w14:textId="77777777" w:rsidR="002D58E4" w:rsidRDefault="00F721D4">
            <w:pPr>
              <w:rPr>
                <w:sz w:val="20"/>
                <w:szCs w:val="20"/>
              </w:rPr>
            </w:pPr>
            <w:r>
              <w:rPr>
                <w:sz w:val="20"/>
                <w:szCs w:val="20"/>
              </w:rPr>
              <w:t xml:space="preserve">not serious </w:t>
            </w:r>
            <w:r>
              <w:rPr>
                <w:sz w:val="20"/>
                <w:szCs w:val="20"/>
                <w:vertAlign w:val="superscript"/>
              </w:rPr>
              <w:t>f</w:t>
            </w:r>
          </w:p>
        </w:tc>
        <w:tc>
          <w:tcPr>
            <w:tcW w:w="1148" w:type="dxa"/>
            <w:tcBorders>
              <w:top w:val="single" w:sz="6" w:space="0" w:color="000000"/>
              <w:left w:val="single" w:sz="6" w:space="0" w:color="000000"/>
              <w:bottom w:val="single" w:sz="6" w:space="0" w:color="000000"/>
              <w:right w:val="single" w:sz="6" w:space="0" w:color="000000"/>
            </w:tcBorders>
          </w:tcPr>
          <w:p w14:paraId="0F7DB465" w14:textId="77777777" w:rsidR="002D58E4" w:rsidRDefault="00F721D4">
            <w:pPr>
              <w:rPr>
                <w:sz w:val="20"/>
                <w:szCs w:val="20"/>
              </w:rPr>
            </w:pPr>
            <w:r>
              <w:rPr>
                <w:sz w:val="20"/>
                <w:szCs w:val="20"/>
              </w:rPr>
              <w:t xml:space="preserve">not serious </w:t>
            </w:r>
            <w:r>
              <w:rPr>
                <w:sz w:val="20"/>
                <w:szCs w:val="20"/>
                <w:vertAlign w:val="superscript"/>
              </w:rPr>
              <w:t>g</w:t>
            </w:r>
          </w:p>
        </w:tc>
        <w:tc>
          <w:tcPr>
            <w:tcW w:w="1073" w:type="dxa"/>
            <w:tcBorders>
              <w:top w:val="single" w:sz="6" w:space="0" w:color="000000"/>
              <w:left w:val="single" w:sz="6" w:space="0" w:color="000000"/>
              <w:bottom w:val="single" w:sz="6" w:space="0" w:color="000000"/>
              <w:right w:val="single" w:sz="6" w:space="0" w:color="000000"/>
            </w:tcBorders>
          </w:tcPr>
          <w:p w14:paraId="647E4E05" w14:textId="77777777" w:rsidR="002D58E4" w:rsidRDefault="00F721D4">
            <w:pPr>
              <w:rPr>
                <w:sz w:val="20"/>
                <w:szCs w:val="20"/>
              </w:rPr>
            </w:pPr>
            <w:r>
              <w:rPr>
                <w:sz w:val="20"/>
                <w:szCs w:val="20"/>
              </w:rPr>
              <w:t>not serious</w:t>
            </w:r>
          </w:p>
        </w:tc>
        <w:tc>
          <w:tcPr>
            <w:tcW w:w="877" w:type="dxa"/>
            <w:tcBorders>
              <w:top w:val="single" w:sz="6" w:space="0" w:color="000000"/>
              <w:left w:val="single" w:sz="6" w:space="0" w:color="000000"/>
              <w:bottom w:val="single" w:sz="6" w:space="0" w:color="000000"/>
              <w:right w:val="single" w:sz="6" w:space="0" w:color="000000"/>
            </w:tcBorders>
          </w:tcPr>
          <w:p w14:paraId="5C841305" w14:textId="77777777" w:rsidR="002D58E4" w:rsidRDefault="00F721D4">
            <w:pPr>
              <w:rPr>
                <w:sz w:val="20"/>
                <w:szCs w:val="20"/>
              </w:rPr>
            </w:pPr>
            <w:r>
              <w:rPr>
                <w:sz w:val="20"/>
                <w:szCs w:val="20"/>
              </w:rPr>
              <w:t>Large magnitude of effect</w:t>
            </w:r>
            <w:r>
              <w:rPr>
                <w:sz w:val="20"/>
                <w:szCs w:val="20"/>
                <w:vertAlign w:val="superscript"/>
              </w:rPr>
              <w:t xml:space="preserve"> h</w:t>
            </w:r>
          </w:p>
        </w:tc>
        <w:tc>
          <w:tcPr>
            <w:tcW w:w="1106" w:type="dxa"/>
            <w:tcBorders>
              <w:top w:val="single" w:sz="6" w:space="0" w:color="000000"/>
              <w:left w:val="single" w:sz="6" w:space="0" w:color="000000"/>
              <w:bottom w:val="single" w:sz="6" w:space="0" w:color="000000"/>
              <w:right w:val="single" w:sz="6" w:space="0" w:color="000000"/>
            </w:tcBorders>
          </w:tcPr>
          <w:p w14:paraId="51DA94A9" w14:textId="77777777" w:rsidR="002D58E4" w:rsidRDefault="00F721D4">
            <w:pPr>
              <w:jc w:val="center"/>
              <w:rPr>
                <w:sz w:val="20"/>
                <w:szCs w:val="20"/>
              </w:rPr>
            </w:pPr>
            <w:r>
              <w:rPr>
                <w:sz w:val="20"/>
                <w:szCs w:val="20"/>
              </w:rPr>
              <w:t>441/ 12,147</w:t>
            </w:r>
          </w:p>
          <w:p w14:paraId="4985FC2C" w14:textId="77777777" w:rsidR="002D58E4" w:rsidRDefault="00F721D4">
            <w:pPr>
              <w:jc w:val="center"/>
              <w:rPr>
                <w:sz w:val="20"/>
                <w:szCs w:val="20"/>
              </w:rPr>
            </w:pPr>
            <w:r>
              <w:rPr>
                <w:sz w:val="20"/>
                <w:szCs w:val="20"/>
              </w:rPr>
              <w:t>(4.1%)</w:t>
            </w:r>
          </w:p>
        </w:tc>
        <w:tc>
          <w:tcPr>
            <w:tcW w:w="1049" w:type="dxa"/>
            <w:tcBorders>
              <w:top w:val="single" w:sz="6" w:space="0" w:color="000000"/>
              <w:left w:val="single" w:sz="6" w:space="0" w:color="000000"/>
              <w:bottom w:val="single" w:sz="6" w:space="0" w:color="000000"/>
              <w:right w:val="single" w:sz="6" w:space="0" w:color="000000"/>
            </w:tcBorders>
          </w:tcPr>
          <w:p w14:paraId="34280997" w14:textId="77777777" w:rsidR="002D58E4" w:rsidRDefault="00F721D4">
            <w:pPr>
              <w:jc w:val="center"/>
              <w:rPr>
                <w:sz w:val="20"/>
                <w:szCs w:val="20"/>
              </w:rPr>
            </w:pPr>
            <w:r>
              <w:rPr>
                <w:sz w:val="20"/>
                <w:szCs w:val="20"/>
              </w:rPr>
              <w:t>NA</w:t>
            </w:r>
          </w:p>
        </w:tc>
        <w:tc>
          <w:tcPr>
            <w:tcW w:w="1289" w:type="dxa"/>
            <w:tcBorders>
              <w:top w:val="single" w:sz="6" w:space="0" w:color="000000"/>
              <w:left w:val="single" w:sz="6" w:space="0" w:color="000000"/>
              <w:bottom w:val="single" w:sz="6" w:space="0" w:color="000000"/>
              <w:right w:val="single" w:sz="6" w:space="0" w:color="000000"/>
            </w:tcBorders>
          </w:tcPr>
          <w:p w14:paraId="7F04A504" w14:textId="77777777" w:rsidR="002D58E4" w:rsidRDefault="00F721D4">
            <w:pPr>
              <w:jc w:val="center"/>
              <w:rPr>
                <w:sz w:val="20"/>
                <w:szCs w:val="20"/>
              </w:rPr>
            </w:pPr>
            <w:r>
              <w:rPr>
                <w:sz w:val="20"/>
                <w:szCs w:val="20"/>
              </w:rPr>
              <w:t>NA</w:t>
            </w:r>
            <w:r>
              <w:rPr>
                <w:sz w:val="20"/>
                <w:szCs w:val="20"/>
                <w:vertAlign w:val="superscript"/>
              </w:rPr>
              <w:t xml:space="preserve"> i</w:t>
            </w:r>
          </w:p>
        </w:tc>
        <w:tc>
          <w:tcPr>
            <w:tcW w:w="1659" w:type="dxa"/>
            <w:gridSpan w:val="2"/>
            <w:tcBorders>
              <w:top w:val="single" w:sz="6" w:space="0" w:color="000000"/>
              <w:left w:val="single" w:sz="6" w:space="0" w:color="000000"/>
              <w:bottom w:val="single" w:sz="6" w:space="0" w:color="000000"/>
              <w:right w:val="single" w:sz="6" w:space="0" w:color="000000"/>
            </w:tcBorders>
          </w:tcPr>
          <w:p w14:paraId="703B8F60" w14:textId="77777777" w:rsidR="002D58E4" w:rsidRDefault="00F721D4">
            <w:pPr>
              <w:jc w:val="center"/>
              <w:rPr>
                <w:b/>
                <w:sz w:val="20"/>
                <w:szCs w:val="20"/>
              </w:rPr>
            </w:pPr>
            <w:r>
              <w:rPr>
                <w:b/>
                <w:sz w:val="20"/>
                <w:szCs w:val="20"/>
              </w:rPr>
              <w:t xml:space="preserve">41 more per 1,000 </w:t>
            </w:r>
          </w:p>
          <w:p w14:paraId="37F838B5" w14:textId="77777777" w:rsidR="002D58E4" w:rsidRDefault="00F721D4">
            <w:pPr>
              <w:jc w:val="center"/>
              <w:rPr>
                <w:b/>
                <w:sz w:val="20"/>
                <w:szCs w:val="20"/>
              </w:rPr>
            </w:pPr>
            <w:r>
              <w:rPr>
                <w:b/>
                <w:sz w:val="20"/>
                <w:szCs w:val="20"/>
              </w:rPr>
              <w:t>(26 more to 64 more)</w:t>
            </w:r>
          </w:p>
        </w:tc>
        <w:tc>
          <w:tcPr>
            <w:tcW w:w="1134" w:type="dxa"/>
            <w:tcBorders>
              <w:top w:val="single" w:sz="6" w:space="0" w:color="000000"/>
              <w:left w:val="single" w:sz="6" w:space="0" w:color="000000"/>
              <w:bottom w:val="single" w:sz="6" w:space="0" w:color="000000"/>
              <w:right w:val="single" w:sz="6" w:space="0" w:color="000000"/>
            </w:tcBorders>
          </w:tcPr>
          <w:p w14:paraId="48A441B5"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6079A14E" w14:textId="77777777" w:rsidR="002D58E4" w:rsidRDefault="00F721D4">
            <w:pPr>
              <w:rPr>
                <w:sz w:val="20"/>
                <w:szCs w:val="20"/>
              </w:rPr>
            </w:pPr>
            <w:r>
              <w:rPr>
                <w:sz w:val="20"/>
                <w:szCs w:val="20"/>
              </w:rPr>
              <w:t>CRITICAL</w:t>
            </w:r>
          </w:p>
        </w:tc>
      </w:tr>
      <w:tr w:rsidR="002D58E4" w14:paraId="4D1CB990" w14:textId="77777777" w:rsidTr="00E343BA">
        <w:tc>
          <w:tcPr>
            <w:tcW w:w="14461" w:type="dxa"/>
            <w:gridSpan w:val="14"/>
            <w:tcBorders>
              <w:top w:val="single" w:sz="6" w:space="0" w:color="000000"/>
              <w:left w:val="single" w:sz="6" w:space="0" w:color="000000"/>
              <w:bottom w:val="single" w:sz="6" w:space="0" w:color="000000"/>
              <w:right w:val="single" w:sz="6" w:space="0" w:color="000000"/>
            </w:tcBorders>
            <w:shd w:val="clear" w:color="auto" w:fill="F2F2F2"/>
          </w:tcPr>
          <w:p w14:paraId="46372895" w14:textId="77777777" w:rsidR="002D58E4" w:rsidRDefault="00F721D4">
            <w:pPr>
              <w:rPr>
                <w:b/>
                <w:sz w:val="20"/>
                <w:szCs w:val="20"/>
              </w:rPr>
            </w:pPr>
            <w:r>
              <w:rPr>
                <w:b/>
                <w:sz w:val="20"/>
                <w:szCs w:val="20"/>
              </w:rPr>
              <w:t>Drug-related adverse events</w:t>
            </w:r>
          </w:p>
        </w:tc>
      </w:tr>
      <w:tr w:rsidR="002D58E4" w14:paraId="6F201BA8" w14:textId="77777777" w:rsidTr="00E343BA">
        <w:tc>
          <w:tcPr>
            <w:tcW w:w="708" w:type="dxa"/>
            <w:tcBorders>
              <w:top w:val="single" w:sz="6" w:space="0" w:color="000000"/>
              <w:left w:val="single" w:sz="6" w:space="0" w:color="000000"/>
              <w:bottom w:val="single" w:sz="6" w:space="0" w:color="000000"/>
              <w:right w:val="single" w:sz="6" w:space="0" w:color="000000"/>
            </w:tcBorders>
          </w:tcPr>
          <w:p w14:paraId="6207B68E" w14:textId="77777777" w:rsidR="002D58E4" w:rsidRDefault="00F721D4">
            <w:pPr>
              <w:rPr>
                <w:sz w:val="20"/>
                <w:szCs w:val="20"/>
              </w:rPr>
            </w:pPr>
            <w:r>
              <w:rPr>
                <w:sz w:val="20"/>
                <w:szCs w:val="20"/>
              </w:rPr>
              <w:t>23</w:t>
            </w:r>
          </w:p>
        </w:tc>
        <w:tc>
          <w:tcPr>
            <w:tcW w:w="1135" w:type="dxa"/>
            <w:tcBorders>
              <w:top w:val="single" w:sz="6" w:space="0" w:color="000000"/>
              <w:left w:val="single" w:sz="6" w:space="0" w:color="000000"/>
              <w:bottom w:val="single" w:sz="6" w:space="0" w:color="000000"/>
              <w:right w:val="single" w:sz="6" w:space="0" w:color="000000"/>
            </w:tcBorders>
          </w:tcPr>
          <w:p w14:paraId="5CF35F58" w14:textId="77777777" w:rsidR="002D58E4" w:rsidRDefault="00F721D4">
            <w:pPr>
              <w:rPr>
                <w:sz w:val="20"/>
                <w:szCs w:val="20"/>
              </w:rPr>
            </w:pPr>
            <w:r>
              <w:rPr>
                <w:sz w:val="20"/>
                <w:szCs w:val="20"/>
              </w:rPr>
              <w:t xml:space="preserve">Single-arm observational studies (meta-analysis) </w:t>
            </w:r>
            <w:r>
              <w:rPr>
                <w:sz w:val="20"/>
                <w:szCs w:val="20"/>
                <w:vertAlign w:val="superscript"/>
              </w:rPr>
              <w:t>5</w:t>
            </w:r>
          </w:p>
        </w:tc>
        <w:tc>
          <w:tcPr>
            <w:tcW w:w="991" w:type="dxa"/>
            <w:tcBorders>
              <w:top w:val="single" w:sz="6" w:space="0" w:color="000000"/>
              <w:left w:val="single" w:sz="6" w:space="0" w:color="000000"/>
              <w:bottom w:val="single" w:sz="6" w:space="0" w:color="000000"/>
              <w:right w:val="single" w:sz="6" w:space="0" w:color="000000"/>
            </w:tcBorders>
          </w:tcPr>
          <w:p w14:paraId="7F9D932C" w14:textId="77777777" w:rsidR="002D58E4" w:rsidRDefault="00F721D4">
            <w:pPr>
              <w:rPr>
                <w:sz w:val="20"/>
                <w:szCs w:val="20"/>
              </w:rPr>
            </w:pPr>
            <w:r>
              <w:rPr>
                <w:sz w:val="20"/>
                <w:szCs w:val="20"/>
              </w:rPr>
              <w:t xml:space="preserve">not serious </w:t>
            </w:r>
            <w:r>
              <w:rPr>
                <w:sz w:val="20"/>
                <w:szCs w:val="20"/>
                <w:vertAlign w:val="superscript"/>
              </w:rPr>
              <w:t>e</w:t>
            </w:r>
          </w:p>
        </w:tc>
        <w:tc>
          <w:tcPr>
            <w:tcW w:w="1156" w:type="dxa"/>
            <w:tcBorders>
              <w:top w:val="single" w:sz="6" w:space="0" w:color="000000"/>
              <w:left w:val="single" w:sz="6" w:space="0" w:color="000000"/>
              <w:bottom w:val="single" w:sz="6" w:space="0" w:color="000000"/>
              <w:right w:val="single" w:sz="6" w:space="0" w:color="000000"/>
            </w:tcBorders>
          </w:tcPr>
          <w:p w14:paraId="5B2407E1" w14:textId="77777777" w:rsidR="002D58E4" w:rsidRDefault="00F721D4">
            <w:pPr>
              <w:rPr>
                <w:sz w:val="20"/>
                <w:szCs w:val="20"/>
              </w:rPr>
            </w:pPr>
            <w:r>
              <w:rPr>
                <w:sz w:val="20"/>
                <w:szCs w:val="20"/>
              </w:rPr>
              <w:t xml:space="preserve">not serious </w:t>
            </w:r>
            <w:r>
              <w:rPr>
                <w:sz w:val="20"/>
                <w:szCs w:val="20"/>
                <w:vertAlign w:val="superscript"/>
              </w:rPr>
              <w:t>f</w:t>
            </w:r>
          </w:p>
        </w:tc>
        <w:tc>
          <w:tcPr>
            <w:tcW w:w="1148" w:type="dxa"/>
            <w:tcBorders>
              <w:top w:val="single" w:sz="6" w:space="0" w:color="000000"/>
              <w:left w:val="single" w:sz="6" w:space="0" w:color="000000"/>
              <w:bottom w:val="single" w:sz="6" w:space="0" w:color="000000"/>
              <w:right w:val="single" w:sz="6" w:space="0" w:color="000000"/>
            </w:tcBorders>
          </w:tcPr>
          <w:p w14:paraId="104F1730" w14:textId="77777777" w:rsidR="002D58E4" w:rsidRDefault="00F721D4">
            <w:pPr>
              <w:rPr>
                <w:sz w:val="20"/>
                <w:szCs w:val="20"/>
              </w:rPr>
            </w:pPr>
            <w:r>
              <w:rPr>
                <w:sz w:val="20"/>
                <w:szCs w:val="20"/>
              </w:rPr>
              <w:t xml:space="preserve">not serious </w:t>
            </w:r>
            <w:r>
              <w:rPr>
                <w:sz w:val="20"/>
                <w:szCs w:val="20"/>
                <w:vertAlign w:val="superscript"/>
              </w:rPr>
              <w:t>g</w:t>
            </w:r>
          </w:p>
        </w:tc>
        <w:tc>
          <w:tcPr>
            <w:tcW w:w="1073" w:type="dxa"/>
            <w:tcBorders>
              <w:top w:val="single" w:sz="6" w:space="0" w:color="000000"/>
              <w:left w:val="single" w:sz="6" w:space="0" w:color="000000"/>
              <w:bottom w:val="single" w:sz="6" w:space="0" w:color="000000"/>
              <w:right w:val="single" w:sz="6" w:space="0" w:color="000000"/>
            </w:tcBorders>
          </w:tcPr>
          <w:p w14:paraId="453934C0" w14:textId="77777777" w:rsidR="002D58E4" w:rsidRDefault="00F721D4">
            <w:pPr>
              <w:rPr>
                <w:sz w:val="20"/>
                <w:szCs w:val="20"/>
              </w:rPr>
            </w:pPr>
            <w:r>
              <w:rPr>
                <w:sz w:val="20"/>
                <w:szCs w:val="20"/>
              </w:rPr>
              <w:t>not serious</w:t>
            </w:r>
          </w:p>
        </w:tc>
        <w:tc>
          <w:tcPr>
            <w:tcW w:w="877" w:type="dxa"/>
            <w:tcBorders>
              <w:top w:val="single" w:sz="6" w:space="0" w:color="000000"/>
              <w:left w:val="single" w:sz="6" w:space="0" w:color="000000"/>
              <w:bottom w:val="single" w:sz="6" w:space="0" w:color="000000"/>
              <w:right w:val="single" w:sz="6" w:space="0" w:color="000000"/>
            </w:tcBorders>
          </w:tcPr>
          <w:p w14:paraId="3EA978F3" w14:textId="77777777" w:rsidR="002D58E4" w:rsidRDefault="00F721D4">
            <w:pPr>
              <w:rPr>
                <w:sz w:val="20"/>
                <w:szCs w:val="20"/>
              </w:rPr>
            </w:pPr>
            <w:r>
              <w:rPr>
                <w:sz w:val="20"/>
                <w:szCs w:val="20"/>
              </w:rPr>
              <w:t xml:space="preserve">Large magnitude of effect </w:t>
            </w:r>
            <w:r>
              <w:rPr>
                <w:sz w:val="20"/>
                <w:szCs w:val="20"/>
                <w:vertAlign w:val="superscript"/>
              </w:rPr>
              <w:t>h</w:t>
            </w:r>
          </w:p>
        </w:tc>
        <w:tc>
          <w:tcPr>
            <w:tcW w:w="1106" w:type="dxa"/>
            <w:tcBorders>
              <w:top w:val="single" w:sz="6" w:space="0" w:color="000000"/>
              <w:left w:val="single" w:sz="6" w:space="0" w:color="000000"/>
              <w:bottom w:val="single" w:sz="6" w:space="0" w:color="000000"/>
              <w:right w:val="single" w:sz="6" w:space="0" w:color="000000"/>
            </w:tcBorders>
          </w:tcPr>
          <w:p w14:paraId="0691DBE5" w14:textId="77777777" w:rsidR="002D58E4" w:rsidRDefault="00F721D4">
            <w:pPr>
              <w:jc w:val="center"/>
              <w:rPr>
                <w:sz w:val="20"/>
                <w:szCs w:val="20"/>
              </w:rPr>
            </w:pPr>
            <w:r>
              <w:rPr>
                <w:sz w:val="20"/>
                <w:szCs w:val="20"/>
              </w:rPr>
              <w:t>929/ 14,543</w:t>
            </w:r>
          </w:p>
          <w:p w14:paraId="24AD9CF6" w14:textId="77777777" w:rsidR="002D58E4" w:rsidRDefault="00F721D4">
            <w:pPr>
              <w:jc w:val="center"/>
              <w:rPr>
                <w:sz w:val="20"/>
                <w:szCs w:val="20"/>
              </w:rPr>
            </w:pPr>
            <w:r>
              <w:rPr>
                <w:sz w:val="20"/>
                <w:szCs w:val="20"/>
              </w:rPr>
              <w:t>(6.7%)</w:t>
            </w:r>
          </w:p>
        </w:tc>
        <w:tc>
          <w:tcPr>
            <w:tcW w:w="1049" w:type="dxa"/>
            <w:tcBorders>
              <w:top w:val="single" w:sz="6" w:space="0" w:color="000000"/>
              <w:left w:val="single" w:sz="6" w:space="0" w:color="000000"/>
              <w:bottom w:val="single" w:sz="6" w:space="0" w:color="000000"/>
              <w:right w:val="single" w:sz="6" w:space="0" w:color="000000"/>
            </w:tcBorders>
          </w:tcPr>
          <w:p w14:paraId="336B48C2" w14:textId="77777777" w:rsidR="002D58E4" w:rsidRDefault="00F721D4">
            <w:pPr>
              <w:jc w:val="center"/>
              <w:rPr>
                <w:sz w:val="20"/>
                <w:szCs w:val="20"/>
              </w:rPr>
            </w:pPr>
            <w:r>
              <w:rPr>
                <w:sz w:val="20"/>
                <w:szCs w:val="20"/>
              </w:rPr>
              <w:t>NA</w:t>
            </w:r>
          </w:p>
        </w:tc>
        <w:tc>
          <w:tcPr>
            <w:tcW w:w="1289" w:type="dxa"/>
            <w:tcBorders>
              <w:top w:val="single" w:sz="6" w:space="0" w:color="000000"/>
              <w:left w:val="single" w:sz="6" w:space="0" w:color="000000"/>
              <w:bottom w:val="single" w:sz="6" w:space="0" w:color="000000"/>
              <w:right w:val="single" w:sz="6" w:space="0" w:color="000000"/>
            </w:tcBorders>
          </w:tcPr>
          <w:p w14:paraId="35D30794" w14:textId="77777777" w:rsidR="002D58E4" w:rsidRDefault="00F721D4">
            <w:pPr>
              <w:jc w:val="center"/>
              <w:rPr>
                <w:sz w:val="20"/>
                <w:szCs w:val="20"/>
              </w:rPr>
            </w:pPr>
            <w:r>
              <w:rPr>
                <w:sz w:val="20"/>
                <w:szCs w:val="20"/>
              </w:rPr>
              <w:t xml:space="preserve">NA </w:t>
            </w:r>
            <w:r>
              <w:rPr>
                <w:sz w:val="20"/>
                <w:szCs w:val="20"/>
                <w:vertAlign w:val="superscript"/>
              </w:rPr>
              <w:t>i</w:t>
            </w:r>
          </w:p>
        </w:tc>
        <w:tc>
          <w:tcPr>
            <w:tcW w:w="1659" w:type="dxa"/>
            <w:gridSpan w:val="2"/>
            <w:tcBorders>
              <w:top w:val="single" w:sz="6" w:space="0" w:color="000000"/>
              <w:left w:val="single" w:sz="6" w:space="0" w:color="000000"/>
              <w:bottom w:val="single" w:sz="6" w:space="0" w:color="000000"/>
              <w:right w:val="single" w:sz="6" w:space="0" w:color="000000"/>
            </w:tcBorders>
          </w:tcPr>
          <w:p w14:paraId="7BD68F14" w14:textId="77777777" w:rsidR="002D58E4" w:rsidRDefault="00F721D4">
            <w:pPr>
              <w:jc w:val="center"/>
              <w:rPr>
                <w:b/>
                <w:sz w:val="20"/>
                <w:szCs w:val="20"/>
              </w:rPr>
            </w:pPr>
            <w:r>
              <w:rPr>
                <w:b/>
                <w:sz w:val="20"/>
                <w:szCs w:val="20"/>
              </w:rPr>
              <w:t xml:space="preserve">67 more per 1,000 </w:t>
            </w:r>
          </w:p>
          <w:p w14:paraId="713BFC0E" w14:textId="77777777" w:rsidR="002D58E4" w:rsidRDefault="00F721D4">
            <w:pPr>
              <w:jc w:val="center"/>
              <w:rPr>
                <w:b/>
                <w:sz w:val="20"/>
                <w:szCs w:val="20"/>
              </w:rPr>
            </w:pPr>
            <w:r>
              <w:rPr>
                <w:b/>
                <w:sz w:val="20"/>
                <w:szCs w:val="20"/>
              </w:rPr>
              <w:t>(47 more to 95 more)</w:t>
            </w:r>
          </w:p>
        </w:tc>
        <w:tc>
          <w:tcPr>
            <w:tcW w:w="1134" w:type="dxa"/>
            <w:tcBorders>
              <w:top w:val="single" w:sz="6" w:space="0" w:color="000000"/>
              <w:left w:val="single" w:sz="6" w:space="0" w:color="000000"/>
              <w:bottom w:val="single" w:sz="6" w:space="0" w:color="000000"/>
              <w:right w:val="single" w:sz="6" w:space="0" w:color="000000"/>
            </w:tcBorders>
          </w:tcPr>
          <w:p w14:paraId="2541A6C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MODERATE</w:t>
            </w:r>
          </w:p>
        </w:tc>
        <w:tc>
          <w:tcPr>
            <w:tcW w:w="1134" w:type="dxa"/>
            <w:tcBorders>
              <w:top w:val="single" w:sz="6" w:space="0" w:color="000000"/>
              <w:left w:val="single" w:sz="6" w:space="0" w:color="000000"/>
              <w:bottom w:val="single" w:sz="6" w:space="0" w:color="000000"/>
              <w:right w:val="single" w:sz="6" w:space="0" w:color="000000"/>
            </w:tcBorders>
          </w:tcPr>
          <w:p w14:paraId="62A8570B" w14:textId="77777777" w:rsidR="002D58E4" w:rsidRDefault="00F721D4">
            <w:pPr>
              <w:rPr>
                <w:sz w:val="20"/>
                <w:szCs w:val="20"/>
              </w:rPr>
            </w:pPr>
            <w:r>
              <w:rPr>
                <w:sz w:val="20"/>
                <w:szCs w:val="20"/>
              </w:rPr>
              <w:t>CRITICAL</w:t>
            </w:r>
          </w:p>
        </w:tc>
      </w:tr>
    </w:tbl>
    <w:p w14:paraId="3DD1F3FE" w14:textId="77777777" w:rsidR="002D58E4" w:rsidRDefault="00F721D4">
      <w:pPr>
        <w:pBdr>
          <w:top w:val="nil"/>
          <w:left w:val="nil"/>
          <w:bottom w:val="nil"/>
          <w:right w:val="nil"/>
          <w:between w:val="nil"/>
        </w:pBdr>
        <w:spacing w:after="0" w:line="240" w:lineRule="auto"/>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MD:</w:t>
      </w:r>
      <w:r>
        <w:rPr>
          <w:color w:val="000000"/>
          <w:sz w:val="18"/>
          <w:szCs w:val="18"/>
        </w:rPr>
        <w:t xml:space="preserve"> Mean difference; </w:t>
      </w:r>
      <w:r>
        <w:rPr>
          <w:b/>
          <w:color w:val="000000"/>
          <w:sz w:val="18"/>
          <w:szCs w:val="18"/>
        </w:rPr>
        <w:t>RR:</w:t>
      </w:r>
      <w:r>
        <w:rPr>
          <w:color w:val="000000"/>
          <w:sz w:val="18"/>
          <w:szCs w:val="18"/>
        </w:rPr>
        <w:t xml:space="preserve"> Risk ratio</w:t>
      </w:r>
    </w:p>
    <w:p w14:paraId="3A8A29C5" w14:textId="77777777" w:rsidR="002D58E4" w:rsidRDefault="002D58E4">
      <w:pPr>
        <w:spacing w:after="0"/>
        <w:rPr>
          <w:color w:val="000000"/>
          <w:sz w:val="20"/>
          <w:szCs w:val="20"/>
        </w:rPr>
      </w:pPr>
    </w:p>
    <w:p w14:paraId="5145FC5C" w14:textId="784BFA80" w:rsidR="002D58E4" w:rsidRDefault="00F721D4">
      <w:pPr>
        <w:spacing w:after="0"/>
        <w:rPr>
          <w:color w:val="000000"/>
          <w:sz w:val="20"/>
          <w:szCs w:val="20"/>
        </w:rPr>
      </w:pPr>
      <w:r>
        <w:rPr>
          <w:color w:val="000000"/>
          <w:sz w:val="20"/>
          <w:szCs w:val="20"/>
        </w:rPr>
        <w:t>*</w:t>
      </w:r>
      <w:r>
        <w:rPr>
          <w:b/>
          <w:sz w:val="20"/>
          <w:szCs w:val="20"/>
        </w:rPr>
        <w:t xml:space="preserve"> </w:t>
      </w:r>
      <w:r>
        <w:rPr>
          <w:sz w:val="20"/>
          <w:szCs w:val="20"/>
        </w:rPr>
        <w:t>Fallon 2008: thrombus [n=2] and staphylococcal infection [n=1], Krupp: IV sepsis [n=3]</w:t>
      </w:r>
    </w:p>
    <w:p w14:paraId="04EF254D" w14:textId="77777777" w:rsidR="002D58E4" w:rsidRDefault="00F721D4">
      <w:pPr>
        <w:spacing w:after="0"/>
        <w:rPr>
          <w:b/>
          <w:color w:val="000000"/>
          <w:sz w:val="20"/>
          <w:szCs w:val="20"/>
        </w:rPr>
      </w:pPr>
      <w:r>
        <w:rPr>
          <w:b/>
          <w:color w:val="000000"/>
          <w:sz w:val="20"/>
          <w:szCs w:val="20"/>
        </w:rPr>
        <w:t xml:space="preserve">Summary of regimens used in each study: </w:t>
      </w:r>
    </w:p>
    <w:p w14:paraId="6576A036" w14:textId="77777777" w:rsidR="002D58E4" w:rsidRDefault="00F721D4">
      <w:pPr>
        <w:spacing w:after="0"/>
        <w:ind w:left="720"/>
        <w:rPr>
          <w:color w:val="000000"/>
          <w:sz w:val="20"/>
          <w:szCs w:val="20"/>
        </w:rPr>
      </w:pPr>
      <w:r>
        <w:rPr>
          <w:color w:val="000000"/>
          <w:sz w:val="20"/>
          <w:szCs w:val="20"/>
        </w:rPr>
        <w:t xml:space="preserve">-Fallon: 10 weeks of IV ATB </w:t>
      </w:r>
    </w:p>
    <w:p w14:paraId="12ED1C06" w14:textId="77777777" w:rsidR="002D58E4" w:rsidRDefault="00F721D4">
      <w:pPr>
        <w:spacing w:after="0"/>
        <w:ind w:left="720"/>
        <w:rPr>
          <w:color w:val="000000"/>
          <w:sz w:val="20"/>
          <w:szCs w:val="20"/>
        </w:rPr>
      </w:pPr>
      <w:r>
        <w:rPr>
          <w:color w:val="000000"/>
          <w:sz w:val="20"/>
          <w:szCs w:val="20"/>
        </w:rPr>
        <w:t xml:space="preserve">-Krupp: 4 weeks of IV ATB </w:t>
      </w:r>
    </w:p>
    <w:p w14:paraId="2D58D4F1" w14:textId="77777777" w:rsidR="002D58E4" w:rsidRDefault="00F721D4">
      <w:pPr>
        <w:spacing w:after="0"/>
        <w:ind w:left="720"/>
        <w:rPr>
          <w:color w:val="000000"/>
          <w:sz w:val="20"/>
          <w:szCs w:val="20"/>
        </w:rPr>
      </w:pPr>
      <w:r>
        <w:rPr>
          <w:color w:val="000000"/>
          <w:sz w:val="20"/>
          <w:szCs w:val="20"/>
        </w:rPr>
        <w:t xml:space="preserve">-Kaplan/Klemper (both studies): 4 weeks of IV ATB followed by 8 weeks of doxy </w:t>
      </w:r>
    </w:p>
    <w:p w14:paraId="43EDF552" w14:textId="77777777" w:rsidR="002D58E4" w:rsidRDefault="00F721D4">
      <w:pPr>
        <w:spacing w:after="0"/>
        <w:ind w:left="720"/>
        <w:rPr>
          <w:color w:val="000000"/>
          <w:sz w:val="20"/>
          <w:szCs w:val="20"/>
        </w:rPr>
      </w:pPr>
      <w:r>
        <w:rPr>
          <w:color w:val="000000"/>
          <w:sz w:val="20"/>
          <w:szCs w:val="20"/>
        </w:rPr>
        <w:t xml:space="preserve">-Sjowall: 3 weeks of doxy </w:t>
      </w:r>
    </w:p>
    <w:p w14:paraId="1AE9277A" w14:textId="77777777" w:rsidR="002D58E4" w:rsidRDefault="00F721D4" w:rsidP="00E343BA">
      <w:pPr>
        <w:pStyle w:val="Heading4"/>
        <w:spacing w:after="0"/>
        <w:ind w:right="-3980"/>
        <w:rPr>
          <w:rFonts w:ascii="Calibri" w:eastAsia="Calibri" w:hAnsi="Calibri" w:cs="Calibri"/>
          <w:color w:val="000000"/>
        </w:rPr>
      </w:pPr>
      <w:r>
        <w:rPr>
          <w:rFonts w:ascii="Calibri" w:eastAsia="Calibri" w:hAnsi="Calibri" w:cs="Calibri"/>
          <w:color w:val="000000"/>
        </w:rPr>
        <w:t>Explanations</w:t>
      </w:r>
    </w:p>
    <w:p w14:paraId="7D9C413E" w14:textId="77777777" w:rsidR="002D58E4" w:rsidRDefault="00F721D4" w:rsidP="00E343BA">
      <w:pPr>
        <w:spacing w:after="0" w:line="240" w:lineRule="auto"/>
        <w:ind w:right="-3980"/>
        <w:rPr>
          <w:color w:val="000000"/>
          <w:sz w:val="18"/>
          <w:szCs w:val="18"/>
        </w:rPr>
      </w:pPr>
      <w:r>
        <w:rPr>
          <w:color w:val="000000"/>
          <w:sz w:val="18"/>
          <w:szCs w:val="18"/>
        </w:rPr>
        <w:t xml:space="preserve">a. 95% CI is wide and crosses the null value, OIS criteria not met (sample size less than 200). </w:t>
      </w:r>
    </w:p>
    <w:p w14:paraId="6E7FE420" w14:textId="4BA0E618" w:rsidR="002D58E4" w:rsidRDefault="00F721D4" w:rsidP="00E343BA">
      <w:pPr>
        <w:spacing w:after="0" w:line="240" w:lineRule="auto"/>
        <w:ind w:right="-3980"/>
        <w:rPr>
          <w:color w:val="000000"/>
          <w:sz w:val="18"/>
          <w:szCs w:val="18"/>
        </w:rPr>
      </w:pPr>
      <w:r>
        <w:rPr>
          <w:color w:val="000000"/>
          <w:sz w:val="18"/>
          <w:szCs w:val="18"/>
        </w:rPr>
        <w:t xml:space="preserve">b. Krupp study received high risk of bias ratings due to potentially compromised blinding (self-reported outcomes) and potential attrition bias (asymmetrical lost-to-follow-up at the 6-month follow-up visit (more frequent in the placebo group). </w:t>
      </w:r>
    </w:p>
    <w:p w14:paraId="3B5FA286" w14:textId="77777777" w:rsidR="002D58E4" w:rsidRDefault="00F721D4" w:rsidP="00E343BA">
      <w:pPr>
        <w:spacing w:after="0" w:line="240" w:lineRule="auto"/>
        <w:ind w:right="-3980"/>
        <w:rPr>
          <w:color w:val="000000"/>
          <w:sz w:val="18"/>
          <w:szCs w:val="18"/>
        </w:rPr>
      </w:pPr>
      <w:r>
        <w:rPr>
          <w:color w:val="000000"/>
          <w:sz w:val="18"/>
          <w:szCs w:val="18"/>
        </w:rPr>
        <w:t>c. Due to the f</w:t>
      </w:r>
      <w:r>
        <w:rPr>
          <w:sz w:val="18"/>
          <w:szCs w:val="18"/>
        </w:rPr>
        <w:t>ollowing concerns, rating down for indirectness (uncertainty due to lack of validity of FSS-11 in Lyme disease, i.e. FSS was validated in other diseases and modified for Lyme disease) and imprecision (sample size less than 200 and uncertainty related to minimal important difference).</w:t>
      </w:r>
      <w:r>
        <w:t xml:space="preserve"> </w:t>
      </w:r>
    </w:p>
    <w:p w14:paraId="5EEAD51B" w14:textId="28BF61E1" w:rsidR="002D58E4" w:rsidRDefault="00F721D4" w:rsidP="00E343BA">
      <w:pPr>
        <w:spacing w:after="0" w:line="240" w:lineRule="auto"/>
        <w:ind w:right="-3980"/>
        <w:rPr>
          <w:color w:val="000000"/>
          <w:sz w:val="18"/>
          <w:szCs w:val="18"/>
        </w:rPr>
      </w:pPr>
      <w:r>
        <w:rPr>
          <w:color w:val="000000"/>
          <w:sz w:val="18"/>
          <w:szCs w:val="18"/>
        </w:rPr>
        <w:t xml:space="preserve">d. Krupp study received high risk of bias ratings due to potentially compromised blinding (self-reported outcomes) and potential attrition bias (asymmetrical lost-to-follow-up at the 6-month follow-up visit (more frequent in the placebo group)). Sjöwall study received two high risk of bias ratings due to potential attrition bias and inappropriate study design. </w:t>
      </w:r>
    </w:p>
    <w:p w14:paraId="71FE5242" w14:textId="77777777" w:rsidR="002D58E4" w:rsidRDefault="00F721D4" w:rsidP="00E343BA">
      <w:pPr>
        <w:spacing w:after="0" w:line="240" w:lineRule="auto"/>
        <w:ind w:right="-3980"/>
        <w:rPr>
          <w:color w:val="000000"/>
          <w:sz w:val="18"/>
          <w:szCs w:val="18"/>
        </w:rPr>
      </w:pPr>
      <w:r>
        <w:rPr>
          <w:color w:val="000000"/>
          <w:sz w:val="18"/>
          <w:szCs w:val="18"/>
        </w:rPr>
        <w:t>e. According to the authors of the meta-analysis, only 4 out of the 42 studies were considered at high risk of bias thus it was not rated down for risk of bias.</w:t>
      </w:r>
    </w:p>
    <w:p w14:paraId="44A6ABEE" w14:textId="77777777" w:rsidR="002D58E4" w:rsidRDefault="00F721D4" w:rsidP="00E343BA">
      <w:pPr>
        <w:spacing w:after="0" w:line="240" w:lineRule="auto"/>
        <w:ind w:right="-3980"/>
        <w:rPr>
          <w:color w:val="000000"/>
          <w:sz w:val="18"/>
          <w:szCs w:val="18"/>
        </w:rPr>
      </w:pPr>
      <w:r>
        <w:rPr>
          <w:color w:val="000000"/>
          <w:sz w:val="18"/>
          <w:szCs w:val="18"/>
        </w:rPr>
        <w:t xml:space="preserve">f. </w:t>
      </w:r>
      <w:r>
        <w:rPr>
          <w:sz w:val="18"/>
          <w:szCs w:val="18"/>
        </w:rPr>
        <w:t>Not rated down for heterogeneity despite high I square values. Reasons: 1) statistical heterogeneity was mainly driven by some outlier studies that showed high adverse events rates that were likely by chance; 2) pooling of absolute rates substantially increases statistical heterogeneity due to differences in baseline risks of populations.</w:t>
      </w:r>
    </w:p>
    <w:p w14:paraId="491EB056" w14:textId="77777777" w:rsidR="002D58E4" w:rsidRDefault="00F721D4" w:rsidP="00E343BA">
      <w:pPr>
        <w:spacing w:after="0" w:line="240" w:lineRule="auto"/>
        <w:ind w:right="-3980"/>
        <w:rPr>
          <w:color w:val="000000"/>
          <w:sz w:val="18"/>
          <w:szCs w:val="18"/>
        </w:rPr>
      </w:pPr>
      <w:r>
        <w:rPr>
          <w:color w:val="000000"/>
          <w:sz w:val="18"/>
          <w:szCs w:val="18"/>
        </w:rPr>
        <w:t>g. No serious concern regarding indirectness as only rates for “OPAT” intervention (Outpatient parenteral antibiotic therapy) were included.</w:t>
      </w:r>
    </w:p>
    <w:p w14:paraId="395FBC24" w14:textId="77777777" w:rsidR="002D58E4" w:rsidRDefault="00F721D4" w:rsidP="00E343BA">
      <w:pPr>
        <w:spacing w:after="0" w:line="240" w:lineRule="auto"/>
        <w:ind w:right="-3980"/>
        <w:rPr>
          <w:color w:val="000000"/>
          <w:sz w:val="18"/>
          <w:szCs w:val="18"/>
        </w:rPr>
      </w:pPr>
      <w:r>
        <w:rPr>
          <w:color w:val="000000"/>
          <w:sz w:val="18"/>
          <w:szCs w:val="18"/>
        </w:rPr>
        <w:t xml:space="preserve">h. Assuming that patients in the control group would not receive i.v. access and not receive antibiotics, the events in the control group would be zero; therefore, the magnitude of effect is at least expected to be large, which increases the confidence in the estimate of effect. </w:t>
      </w:r>
    </w:p>
    <w:p w14:paraId="28C1964F" w14:textId="77777777" w:rsidR="002D58E4" w:rsidRDefault="00F721D4" w:rsidP="00E343BA">
      <w:pPr>
        <w:ind w:right="-3980"/>
        <w:rPr>
          <w:color w:val="000000"/>
          <w:sz w:val="18"/>
          <w:szCs w:val="18"/>
        </w:rPr>
      </w:pPr>
      <w:r>
        <w:rPr>
          <w:color w:val="000000"/>
          <w:sz w:val="18"/>
          <w:szCs w:val="18"/>
        </w:rPr>
        <w:t xml:space="preserve">i. The risk for i.v. access or drug related adverse events in the control group was assumed to be zero, as those patients would not receive i.v. access nor antibiotics. Due to zero events in the control group, a RR could not be calculated. </w:t>
      </w:r>
      <w:r>
        <w:br w:type="page"/>
      </w:r>
    </w:p>
    <w:p w14:paraId="25B01763" w14:textId="77777777" w:rsidR="002D58E4" w:rsidRDefault="00F721D4" w:rsidP="00E343BA">
      <w:pPr>
        <w:spacing w:after="0" w:line="240" w:lineRule="auto"/>
        <w:ind w:right="-3980"/>
        <w:rPr>
          <w:b/>
          <w:color w:val="000000"/>
          <w:u w:val="single"/>
        </w:rPr>
      </w:pPr>
      <w:r>
        <w:rPr>
          <w:b/>
          <w:color w:val="000000"/>
          <w:u w:val="single"/>
        </w:rPr>
        <w:t>RETREATMENT WITH 2 WEEKS OF PARENTERAL ANTIBIOTICS FOLLOWED BY PROLONGED ORAL ANTIBIOTICS vs 2 WEEKS OF PARENTERAL ANTIBIOTICS</w:t>
      </w:r>
    </w:p>
    <w:p w14:paraId="6F7DFDC4" w14:textId="77777777" w:rsidR="002D58E4" w:rsidRDefault="002D58E4" w:rsidP="00E343BA">
      <w:pPr>
        <w:spacing w:after="0" w:line="240" w:lineRule="auto"/>
        <w:ind w:right="-3980"/>
        <w:rPr>
          <w:b/>
          <w:color w:val="000000"/>
          <w:u w:val="single"/>
        </w:rPr>
      </w:pPr>
    </w:p>
    <w:p w14:paraId="4F7D2903" w14:textId="77777777" w:rsidR="002D58E4" w:rsidRDefault="00F721D4" w:rsidP="00E343BA">
      <w:pPr>
        <w:spacing w:after="0"/>
        <w:ind w:right="-3980"/>
        <w:rPr>
          <w:b/>
        </w:rPr>
      </w:pPr>
      <w:bookmarkStart w:id="26" w:name="_4i7ojhp" w:colFirst="0" w:colLast="0"/>
      <w:bookmarkEnd w:id="26"/>
      <w:r>
        <w:rPr>
          <w:b/>
        </w:rPr>
        <w:t>In patients with persistent symptoms following standard treatment of Lyme disease, should 2 weeks of parenteral antibiotic therapy followed by 12 weeks of oral antibiotic therapy be used over 2 weeks of parenteral antibiotic therapy?</w:t>
      </w:r>
    </w:p>
    <w:p w14:paraId="0F9B25A5" w14:textId="77777777" w:rsidR="002D58E4" w:rsidRDefault="00F721D4">
      <w:pPr>
        <w:spacing w:after="0"/>
      </w:pPr>
      <w:r>
        <w:t xml:space="preserve">P: In patients with persistent symptoms treated with 2 weeks of parenteral antibiotic therapy </w:t>
      </w:r>
    </w:p>
    <w:p w14:paraId="4DFFDE57" w14:textId="77777777" w:rsidR="002D58E4" w:rsidRDefault="00F721D4">
      <w:pPr>
        <w:spacing w:after="0"/>
      </w:pPr>
      <w:r>
        <w:t>I: 2 weeks of IV Ceftriaxone followed by 12 weeks of oral antibiotic therapy</w:t>
      </w:r>
    </w:p>
    <w:p w14:paraId="6C01A0AB" w14:textId="77777777" w:rsidR="002D58E4" w:rsidRDefault="00F721D4">
      <w:pPr>
        <w:spacing w:after="0"/>
      </w:pPr>
      <w:r>
        <w:t xml:space="preserve">C: 2 weeks of IV Ceftriaxone </w:t>
      </w:r>
    </w:p>
    <w:p w14:paraId="157DC3FF" w14:textId="77777777" w:rsidR="002D58E4" w:rsidRDefault="002D58E4">
      <w:pPr>
        <w:spacing w:after="0" w:line="240" w:lineRule="auto"/>
        <w:rPr>
          <w:b/>
          <w:color w:val="000000"/>
          <w:u w:val="single"/>
        </w:rPr>
      </w:pPr>
    </w:p>
    <w:p w14:paraId="14D4DB7D" w14:textId="0B255C79" w:rsidR="002D58E4" w:rsidRDefault="00F721D4" w:rsidP="00E343BA">
      <w:pPr>
        <w:spacing w:after="0" w:line="240" w:lineRule="auto"/>
        <w:ind w:right="-3980"/>
        <w:rPr>
          <w:color w:val="000000"/>
          <w:sz w:val="18"/>
          <w:szCs w:val="18"/>
        </w:rPr>
      </w:pPr>
      <w:r>
        <w:rPr>
          <w:b/>
          <w:color w:val="000000"/>
          <w:sz w:val="18"/>
          <w:szCs w:val="18"/>
        </w:rPr>
        <w:t>Bibliography:</w:t>
      </w:r>
      <w:r>
        <w:rPr>
          <w:color w:val="000000"/>
          <w:sz w:val="18"/>
          <w:szCs w:val="18"/>
        </w:rPr>
        <w:t xml:space="preserve"> 1. Berende, et al. N Engl J Med. 2016 Mar 31; 374(13): 1209-20 (PLEASE); 2. Berende, et al., PLoS One. 2018 Apr 2;13(4):e0195260 (PLEASE).</w:t>
      </w:r>
    </w:p>
    <w:p w14:paraId="33593957" w14:textId="77777777" w:rsidR="00E343BA" w:rsidRDefault="00E343BA">
      <w:pPr>
        <w:spacing w:after="0" w:line="240" w:lineRule="auto"/>
        <w:rPr>
          <w:color w:val="000000"/>
          <w:sz w:val="18"/>
          <w:szCs w:val="18"/>
        </w:rPr>
      </w:pPr>
    </w:p>
    <w:tbl>
      <w:tblPr>
        <w:tblStyle w:val="afff8"/>
        <w:tblW w:w="1496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4"/>
        <w:gridCol w:w="787"/>
        <w:gridCol w:w="898"/>
        <w:gridCol w:w="1244"/>
        <w:gridCol w:w="1117"/>
        <w:gridCol w:w="1071"/>
        <w:gridCol w:w="1317"/>
        <w:gridCol w:w="12"/>
        <w:gridCol w:w="1128"/>
        <w:gridCol w:w="1025"/>
        <w:gridCol w:w="13"/>
        <w:gridCol w:w="1219"/>
        <w:gridCol w:w="1997"/>
        <w:gridCol w:w="1136"/>
        <w:gridCol w:w="1273"/>
      </w:tblGrid>
      <w:tr w:rsidR="00E343BA" w14:paraId="3E1AAA72" w14:textId="77777777" w:rsidTr="00E343BA">
        <w:tc>
          <w:tcPr>
            <w:tcW w:w="7170" w:type="dxa"/>
            <w:gridSpan w:val="8"/>
            <w:tcBorders>
              <w:top w:val="single" w:sz="6" w:space="0" w:color="000000"/>
              <w:left w:val="single" w:sz="6" w:space="0" w:color="000000"/>
              <w:bottom w:val="single" w:sz="6" w:space="0" w:color="000000"/>
              <w:right w:val="single" w:sz="6" w:space="0" w:color="000000"/>
            </w:tcBorders>
            <w:shd w:val="clear" w:color="auto" w:fill="D9D9D9"/>
            <w:vAlign w:val="center"/>
          </w:tcPr>
          <w:p w14:paraId="44F519AF" w14:textId="77777777" w:rsidR="00E343BA" w:rsidRDefault="00E343BA">
            <w:pPr>
              <w:jc w:val="center"/>
              <w:rPr>
                <w:b/>
                <w:sz w:val="20"/>
                <w:szCs w:val="20"/>
              </w:rPr>
            </w:pPr>
            <w:r>
              <w:rPr>
                <w:b/>
                <w:sz w:val="20"/>
                <w:szCs w:val="20"/>
              </w:rPr>
              <w:t>Certainty assessment</w:t>
            </w:r>
          </w:p>
        </w:tc>
        <w:tc>
          <w:tcPr>
            <w:tcW w:w="2166"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09E72F29" w14:textId="77777777" w:rsidR="00E343BA" w:rsidRDefault="00E343BA">
            <w:pPr>
              <w:jc w:val="center"/>
              <w:rPr>
                <w:b/>
                <w:sz w:val="20"/>
                <w:szCs w:val="20"/>
              </w:rPr>
            </w:pPr>
            <w:r>
              <w:rPr>
                <w:b/>
                <w:sz w:val="20"/>
                <w:szCs w:val="20"/>
              </w:rPr>
              <w:t>№ of events/№ of patients</w:t>
            </w:r>
          </w:p>
        </w:tc>
        <w:tc>
          <w:tcPr>
            <w:tcW w:w="3216"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508F08B" w14:textId="77777777" w:rsidR="00E343BA" w:rsidRDefault="00E343BA">
            <w:pPr>
              <w:jc w:val="center"/>
              <w:rPr>
                <w:b/>
                <w:sz w:val="20"/>
                <w:szCs w:val="20"/>
              </w:rPr>
            </w:pPr>
            <w:r>
              <w:rPr>
                <w:b/>
                <w:sz w:val="20"/>
                <w:szCs w:val="20"/>
              </w:rPr>
              <w:t>Effect</w:t>
            </w:r>
          </w:p>
        </w:tc>
        <w:tc>
          <w:tcPr>
            <w:tcW w:w="1136" w:type="dxa"/>
            <w:vMerge w:val="restart"/>
            <w:tcBorders>
              <w:top w:val="single" w:sz="6" w:space="0" w:color="000000"/>
              <w:left w:val="single" w:sz="6" w:space="0" w:color="000000"/>
              <w:right w:val="single" w:sz="6" w:space="0" w:color="000000"/>
            </w:tcBorders>
            <w:shd w:val="clear" w:color="auto" w:fill="D9D9D9"/>
            <w:vAlign w:val="center"/>
          </w:tcPr>
          <w:p w14:paraId="4300C443" w14:textId="77777777" w:rsidR="00E343BA" w:rsidRDefault="00E343BA">
            <w:pPr>
              <w:jc w:val="center"/>
              <w:rPr>
                <w:b/>
                <w:sz w:val="20"/>
                <w:szCs w:val="20"/>
              </w:rPr>
            </w:pPr>
            <w:r>
              <w:rPr>
                <w:b/>
                <w:sz w:val="20"/>
                <w:szCs w:val="20"/>
              </w:rPr>
              <w:t>Certainty</w:t>
            </w:r>
          </w:p>
        </w:tc>
        <w:tc>
          <w:tcPr>
            <w:tcW w:w="1273" w:type="dxa"/>
            <w:vMerge w:val="restart"/>
            <w:tcBorders>
              <w:top w:val="single" w:sz="6" w:space="0" w:color="000000"/>
              <w:left w:val="single" w:sz="6" w:space="0" w:color="000000"/>
              <w:right w:val="single" w:sz="6" w:space="0" w:color="000000"/>
            </w:tcBorders>
            <w:shd w:val="clear" w:color="auto" w:fill="D9D9D9"/>
            <w:vAlign w:val="center"/>
          </w:tcPr>
          <w:p w14:paraId="0F7607EC" w14:textId="77777777" w:rsidR="00E343BA" w:rsidRDefault="00E343BA">
            <w:pPr>
              <w:spacing w:line="256" w:lineRule="auto"/>
              <w:rPr>
                <w:sz w:val="20"/>
                <w:szCs w:val="20"/>
              </w:rPr>
            </w:pPr>
            <w:r>
              <w:rPr>
                <w:b/>
                <w:sz w:val="20"/>
                <w:szCs w:val="20"/>
              </w:rPr>
              <w:t>Importance</w:t>
            </w:r>
          </w:p>
        </w:tc>
      </w:tr>
      <w:tr w:rsidR="00E343BA" w14:paraId="2FA33746" w14:textId="77777777" w:rsidTr="00E343BA">
        <w:tc>
          <w:tcPr>
            <w:tcW w:w="72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009BCB8" w14:textId="77777777" w:rsidR="00E343BA" w:rsidRDefault="00E343BA">
            <w:pPr>
              <w:jc w:val="center"/>
              <w:rPr>
                <w:b/>
                <w:sz w:val="20"/>
                <w:szCs w:val="20"/>
              </w:rPr>
            </w:pPr>
            <w:r>
              <w:rPr>
                <w:b/>
                <w:sz w:val="20"/>
                <w:szCs w:val="20"/>
              </w:rPr>
              <w:t>№ of studies</w:t>
            </w:r>
          </w:p>
        </w:tc>
        <w:tc>
          <w:tcPr>
            <w:tcW w:w="78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099A880" w14:textId="77777777" w:rsidR="00E343BA" w:rsidRDefault="00E343BA">
            <w:pPr>
              <w:jc w:val="center"/>
              <w:rPr>
                <w:b/>
                <w:sz w:val="20"/>
                <w:szCs w:val="20"/>
              </w:rPr>
            </w:pPr>
            <w:r>
              <w:rPr>
                <w:b/>
                <w:sz w:val="20"/>
                <w:szCs w:val="20"/>
              </w:rPr>
              <w:t>Study design</w:t>
            </w:r>
          </w:p>
        </w:tc>
        <w:tc>
          <w:tcPr>
            <w:tcW w:w="89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1E1FF2F" w14:textId="77777777" w:rsidR="00E343BA" w:rsidRDefault="00E343BA">
            <w:pPr>
              <w:jc w:val="center"/>
              <w:rPr>
                <w:b/>
                <w:sz w:val="20"/>
                <w:szCs w:val="20"/>
              </w:rPr>
            </w:pPr>
            <w:r>
              <w:rPr>
                <w:b/>
                <w:sz w:val="20"/>
                <w:szCs w:val="20"/>
              </w:rPr>
              <w:t>Risk of bias</w:t>
            </w:r>
          </w:p>
        </w:tc>
        <w:tc>
          <w:tcPr>
            <w:tcW w:w="124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60768E5" w14:textId="77777777" w:rsidR="00E343BA" w:rsidRDefault="00E343BA">
            <w:pPr>
              <w:jc w:val="center"/>
              <w:rPr>
                <w:b/>
                <w:sz w:val="20"/>
                <w:szCs w:val="20"/>
              </w:rPr>
            </w:pPr>
            <w:r>
              <w:rPr>
                <w:b/>
                <w:sz w:val="20"/>
                <w:szCs w:val="20"/>
              </w:rPr>
              <w:t>Inconsistency</w:t>
            </w:r>
          </w:p>
        </w:tc>
        <w:tc>
          <w:tcPr>
            <w:tcW w:w="111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4FE339" w14:textId="77777777" w:rsidR="00E343BA" w:rsidRDefault="00E343BA">
            <w:pPr>
              <w:jc w:val="center"/>
              <w:rPr>
                <w:b/>
                <w:sz w:val="20"/>
                <w:szCs w:val="20"/>
              </w:rPr>
            </w:pPr>
            <w:r>
              <w:rPr>
                <w:b/>
                <w:sz w:val="20"/>
                <w:szCs w:val="20"/>
              </w:rPr>
              <w:t>Indirectness</w:t>
            </w:r>
          </w:p>
        </w:tc>
        <w:tc>
          <w:tcPr>
            <w:tcW w:w="107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4CCC6DD" w14:textId="77777777" w:rsidR="00E343BA" w:rsidRDefault="00E343BA">
            <w:pPr>
              <w:jc w:val="center"/>
              <w:rPr>
                <w:b/>
                <w:sz w:val="20"/>
                <w:szCs w:val="20"/>
              </w:rPr>
            </w:pPr>
            <w:r>
              <w:rPr>
                <w:b/>
                <w:sz w:val="20"/>
                <w:szCs w:val="20"/>
              </w:rPr>
              <w:t>Imprecision</w:t>
            </w:r>
          </w:p>
        </w:tc>
        <w:tc>
          <w:tcPr>
            <w:tcW w:w="131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F5FF3A" w14:textId="77777777" w:rsidR="00E343BA" w:rsidRDefault="00E343BA">
            <w:pPr>
              <w:jc w:val="center"/>
              <w:rPr>
                <w:b/>
                <w:sz w:val="20"/>
                <w:szCs w:val="20"/>
              </w:rPr>
            </w:pPr>
            <w:r>
              <w:rPr>
                <w:b/>
                <w:sz w:val="20"/>
                <w:szCs w:val="20"/>
              </w:rPr>
              <w:t>Other considerations</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5E4D1FF9" w14:textId="77777777" w:rsidR="00E343BA" w:rsidRDefault="00E343BA">
            <w:pPr>
              <w:jc w:val="center"/>
              <w:rPr>
                <w:b/>
                <w:sz w:val="20"/>
                <w:szCs w:val="20"/>
              </w:rPr>
            </w:pPr>
            <w:r>
              <w:rPr>
                <w:b/>
                <w:sz w:val="20"/>
                <w:szCs w:val="20"/>
              </w:rPr>
              <w:t>2-week of IV ceftriaxone followed by 12 weeks of oral antibiotics†</w:t>
            </w:r>
          </w:p>
        </w:tc>
        <w:tc>
          <w:tcPr>
            <w:tcW w:w="102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D06D5F" w14:textId="77777777" w:rsidR="00E343BA" w:rsidRDefault="00E343BA">
            <w:pPr>
              <w:jc w:val="center"/>
              <w:rPr>
                <w:b/>
                <w:sz w:val="20"/>
                <w:szCs w:val="20"/>
              </w:rPr>
            </w:pPr>
            <w:r>
              <w:rPr>
                <w:b/>
                <w:sz w:val="20"/>
                <w:szCs w:val="20"/>
              </w:rPr>
              <w:t xml:space="preserve">2 weeks of IV ceftriaxone </w:t>
            </w: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14:paraId="0A00AE28" w14:textId="77777777" w:rsidR="00E343BA" w:rsidRDefault="00E343BA">
            <w:pPr>
              <w:jc w:val="center"/>
              <w:rPr>
                <w:b/>
                <w:sz w:val="20"/>
                <w:szCs w:val="20"/>
              </w:rPr>
            </w:pPr>
            <w:r>
              <w:rPr>
                <w:b/>
                <w:sz w:val="20"/>
                <w:szCs w:val="20"/>
              </w:rPr>
              <w:t>Relative</w:t>
            </w:r>
            <w:r>
              <w:rPr>
                <w:b/>
                <w:sz w:val="20"/>
                <w:szCs w:val="20"/>
              </w:rPr>
              <w:br/>
              <w:t>(95% CI)</w:t>
            </w:r>
          </w:p>
        </w:tc>
        <w:tc>
          <w:tcPr>
            <w:tcW w:w="199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725E36F" w14:textId="77777777" w:rsidR="00E343BA" w:rsidRDefault="00E343BA">
            <w:pPr>
              <w:jc w:val="center"/>
              <w:rPr>
                <w:b/>
                <w:sz w:val="20"/>
                <w:szCs w:val="20"/>
              </w:rPr>
            </w:pPr>
            <w:r>
              <w:rPr>
                <w:b/>
                <w:sz w:val="20"/>
                <w:szCs w:val="20"/>
              </w:rPr>
              <w:t>Absolute</w:t>
            </w:r>
            <w:r>
              <w:rPr>
                <w:b/>
                <w:sz w:val="20"/>
                <w:szCs w:val="20"/>
              </w:rPr>
              <w:br/>
              <w:t>(95% CI)</w:t>
            </w:r>
          </w:p>
        </w:tc>
        <w:tc>
          <w:tcPr>
            <w:tcW w:w="1136" w:type="dxa"/>
            <w:vMerge/>
            <w:tcBorders>
              <w:left w:val="single" w:sz="6" w:space="0" w:color="000000"/>
              <w:bottom w:val="single" w:sz="6" w:space="0" w:color="000000"/>
              <w:right w:val="single" w:sz="6" w:space="0" w:color="000000"/>
            </w:tcBorders>
            <w:shd w:val="clear" w:color="auto" w:fill="D9D9D9"/>
            <w:vAlign w:val="center"/>
          </w:tcPr>
          <w:p w14:paraId="63930E49" w14:textId="77777777" w:rsidR="00E343BA" w:rsidRDefault="00E343BA">
            <w:pPr>
              <w:rPr>
                <w:b/>
                <w:sz w:val="20"/>
                <w:szCs w:val="20"/>
              </w:rPr>
            </w:pPr>
          </w:p>
        </w:tc>
        <w:tc>
          <w:tcPr>
            <w:tcW w:w="1273" w:type="dxa"/>
            <w:vMerge/>
            <w:tcBorders>
              <w:left w:val="single" w:sz="6" w:space="0" w:color="000000"/>
              <w:bottom w:val="single" w:sz="6" w:space="0" w:color="000000"/>
              <w:right w:val="single" w:sz="6" w:space="0" w:color="000000"/>
            </w:tcBorders>
            <w:shd w:val="clear" w:color="auto" w:fill="D9D9D9"/>
            <w:vAlign w:val="center"/>
          </w:tcPr>
          <w:p w14:paraId="1B97F51E" w14:textId="77777777" w:rsidR="00E343BA" w:rsidRDefault="00E343BA">
            <w:pPr>
              <w:spacing w:line="256" w:lineRule="auto"/>
              <w:rPr>
                <w:sz w:val="20"/>
                <w:szCs w:val="20"/>
              </w:rPr>
            </w:pPr>
          </w:p>
        </w:tc>
      </w:tr>
      <w:tr w:rsidR="002D58E4" w14:paraId="54D34590"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238C34D3" w14:textId="77777777" w:rsidR="002D58E4" w:rsidRDefault="00F721D4">
            <w:pPr>
              <w:rPr>
                <w:sz w:val="20"/>
                <w:szCs w:val="20"/>
              </w:rPr>
            </w:pPr>
            <w:r>
              <w:rPr>
                <w:b/>
                <w:sz w:val="20"/>
                <w:szCs w:val="20"/>
              </w:rPr>
              <w:t xml:space="preserve">Mean SF-36 Physical Component Score </w:t>
            </w:r>
            <w:r>
              <w:rPr>
                <w:sz w:val="20"/>
                <w:szCs w:val="20"/>
              </w:rPr>
              <w:t>(</w:t>
            </w:r>
            <w:r>
              <w:rPr>
                <w:color w:val="000000"/>
                <w:sz w:val="20"/>
                <w:szCs w:val="20"/>
              </w:rPr>
              <w:t>Higher scores indicate better quality of life</w:t>
            </w:r>
            <w:r>
              <w:rPr>
                <w:sz w:val="20"/>
                <w:szCs w:val="20"/>
              </w:rPr>
              <w:t>) (at 14 weeks)</w:t>
            </w:r>
          </w:p>
        </w:tc>
      </w:tr>
      <w:tr w:rsidR="002D58E4" w14:paraId="0E9F58D1" w14:textId="77777777" w:rsidTr="00E343BA">
        <w:tc>
          <w:tcPr>
            <w:tcW w:w="724" w:type="dxa"/>
            <w:tcBorders>
              <w:top w:val="single" w:sz="6" w:space="0" w:color="000000"/>
              <w:left w:val="single" w:sz="6" w:space="0" w:color="000000"/>
              <w:bottom w:val="single" w:sz="6" w:space="0" w:color="000000"/>
              <w:right w:val="single" w:sz="6" w:space="0" w:color="000000"/>
            </w:tcBorders>
          </w:tcPr>
          <w:p w14:paraId="48208705" w14:textId="77777777" w:rsidR="002D58E4" w:rsidRDefault="00F721D4">
            <w:pPr>
              <w:rPr>
                <w:sz w:val="20"/>
                <w:szCs w:val="20"/>
              </w:rPr>
            </w:pPr>
            <w:r>
              <w:rPr>
                <w:sz w:val="20"/>
                <w:szCs w:val="20"/>
              </w:rPr>
              <w:t xml:space="preserve">1 </w:t>
            </w:r>
          </w:p>
        </w:tc>
        <w:tc>
          <w:tcPr>
            <w:tcW w:w="787" w:type="dxa"/>
            <w:tcBorders>
              <w:top w:val="single" w:sz="6" w:space="0" w:color="000000"/>
              <w:left w:val="single" w:sz="6" w:space="0" w:color="000000"/>
              <w:bottom w:val="single" w:sz="6" w:space="0" w:color="000000"/>
              <w:right w:val="single" w:sz="6" w:space="0" w:color="000000"/>
            </w:tcBorders>
          </w:tcPr>
          <w:p w14:paraId="22E89F43"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98" w:type="dxa"/>
            <w:tcBorders>
              <w:top w:val="single" w:sz="6" w:space="0" w:color="000000"/>
              <w:left w:val="single" w:sz="6" w:space="0" w:color="000000"/>
              <w:bottom w:val="single" w:sz="6" w:space="0" w:color="000000"/>
              <w:right w:val="single" w:sz="6" w:space="0" w:color="000000"/>
            </w:tcBorders>
          </w:tcPr>
          <w:p w14:paraId="51329C04"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1D9814A8" w14:textId="77777777" w:rsidR="002D58E4" w:rsidRDefault="00F721D4">
            <w:pPr>
              <w:rPr>
                <w:sz w:val="20"/>
                <w:szCs w:val="20"/>
              </w:rPr>
            </w:pPr>
            <w:r>
              <w:rPr>
                <w:sz w:val="20"/>
                <w:szCs w:val="20"/>
              </w:rPr>
              <w:t xml:space="preserve">not serious </w:t>
            </w:r>
          </w:p>
        </w:tc>
        <w:tc>
          <w:tcPr>
            <w:tcW w:w="1117" w:type="dxa"/>
            <w:tcBorders>
              <w:top w:val="single" w:sz="6" w:space="0" w:color="000000"/>
              <w:left w:val="single" w:sz="6" w:space="0" w:color="000000"/>
              <w:bottom w:val="single" w:sz="6" w:space="0" w:color="000000"/>
              <w:right w:val="single" w:sz="6" w:space="0" w:color="000000"/>
            </w:tcBorders>
          </w:tcPr>
          <w:p w14:paraId="6E5D2448"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645C14A"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3D14F359"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67C87166" w14:textId="77777777" w:rsidR="002D58E4" w:rsidRDefault="00F721D4">
            <w:pPr>
              <w:jc w:val="center"/>
              <w:rPr>
                <w:sz w:val="20"/>
                <w:szCs w:val="20"/>
              </w:rPr>
            </w:pPr>
            <w:r>
              <w:rPr>
                <w:sz w:val="20"/>
                <w:szCs w:val="20"/>
              </w:rPr>
              <w:t xml:space="preserve">N= 182 </w:t>
            </w:r>
          </w:p>
        </w:tc>
        <w:tc>
          <w:tcPr>
            <w:tcW w:w="1025" w:type="dxa"/>
            <w:tcBorders>
              <w:top w:val="single" w:sz="6" w:space="0" w:color="000000"/>
              <w:left w:val="single" w:sz="6" w:space="0" w:color="000000"/>
              <w:bottom w:val="single" w:sz="6" w:space="0" w:color="000000"/>
              <w:right w:val="single" w:sz="6" w:space="0" w:color="000000"/>
            </w:tcBorders>
          </w:tcPr>
          <w:p w14:paraId="0FB34E9E" w14:textId="77777777" w:rsidR="002D58E4" w:rsidRDefault="00F721D4">
            <w:pPr>
              <w:jc w:val="center"/>
              <w:rPr>
                <w:sz w:val="20"/>
                <w:szCs w:val="20"/>
              </w:rPr>
            </w:pPr>
            <w:r>
              <w:rPr>
                <w:sz w:val="20"/>
                <w:szCs w:val="20"/>
              </w:rPr>
              <w:t xml:space="preserve">N= 98 </w:t>
            </w:r>
          </w:p>
        </w:tc>
        <w:tc>
          <w:tcPr>
            <w:tcW w:w="3229" w:type="dxa"/>
            <w:gridSpan w:val="3"/>
            <w:tcBorders>
              <w:top w:val="single" w:sz="6" w:space="0" w:color="000000"/>
              <w:left w:val="single" w:sz="6" w:space="0" w:color="000000"/>
              <w:bottom w:val="single" w:sz="6" w:space="0" w:color="000000"/>
              <w:right w:val="single" w:sz="6" w:space="0" w:color="000000"/>
            </w:tcBorders>
          </w:tcPr>
          <w:p w14:paraId="6CDBC0D6" w14:textId="77777777" w:rsidR="002D58E4" w:rsidRDefault="00F721D4">
            <w:pPr>
              <w:jc w:val="center"/>
              <w:rPr>
                <w:sz w:val="20"/>
                <w:szCs w:val="20"/>
              </w:rPr>
            </w:pPr>
            <w:r>
              <w:rPr>
                <w:sz w:val="20"/>
                <w:szCs w:val="20"/>
              </w:rPr>
              <w:t>MD 0.51 higher</w:t>
            </w:r>
            <w:r>
              <w:rPr>
                <w:sz w:val="20"/>
                <w:szCs w:val="20"/>
              </w:rPr>
              <w:br/>
              <w:t>(1.21 lower to 2.22 higher)</w:t>
            </w:r>
          </w:p>
        </w:tc>
        <w:tc>
          <w:tcPr>
            <w:tcW w:w="1136" w:type="dxa"/>
            <w:tcBorders>
              <w:top w:val="single" w:sz="6" w:space="0" w:color="000000"/>
              <w:left w:val="single" w:sz="6" w:space="0" w:color="000000"/>
              <w:bottom w:val="single" w:sz="6" w:space="0" w:color="000000"/>
              <w:right w:val="single" w:sz="6" w:space="0" w:color="000000"/>
            </w:tcBorders>
          </w:tcPr>
          <w:p w14:paraId="4581CFD9"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200F8649" w14:textId="77777777" w:rsidR="002D58E4" w:rsidRDefault="00F721D4">
            <w:pPr>
              <w:rPr>
                <w:sz w:val="20"/>
                <w:szCs w:val="20"/>
              </w:rPr>
            </w:pPr>
            <w:r>
              <w:rPr>
                <w:sz w:val="20"/>
                <w:szCs w:val="20"/>
              </w:rPr>
              <w:t xml:space="preserve">CRITICAL </w:t>
            </w:r>
          </w:p>
        </w:tc>
      </w:tr>
      <w:tr w:rsidR="002D58E4" w14:paraId="4BBDD523"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121F098B" w14:textId="77777777" w:rsidR="002D58E4" w:rsidRDefault="00F721D4">
            <w:pPr>
              <w:rPr>
                <w:sz w:val="20"/>
                <w:szCs w:val="20"/>
              </w:rPr>
            </w:pPr>
            <w:r>
              <w:rPr>
                <w:b/>
                <w:sz w:val="20"/>
                <w:szCs w:val="20"/>
              </w:rPr>
              <w:t xml:space="preserve">Mean SF-36 Mental Component Score </w:t>
            </w:r>
            <w:r>
              <w:rPr>
                <w:sz w:val="20"/>
                <w:szCs w:val="20"/>
              </w:rPr>
              <w:t>(</w:t>
            </w:r>
            <w:r>
              <w:rPr>
                <w:color w:val="000000"/>
                <w:sz w:val="20"/>
                <w:szCs w:val="20"/>
              </w:rPr>
              <w:t>Higher scores indicate better quality of life</w:t>
            </w:r>
            <w:r>
              <w:rPr>
                <w:sz w:val="20"/>
                <w:szCs w:val="20"/>
              </w:rPr>
              <w:t xml:space="preserve">) (at 14 weeks) </w:t>
            </w:r>
          </w:p>
        </w:tc>
      </w:tr>
      <w:tr w:rsidR="002D58E4" w14:paraId="4932B458" w14:textId="77777777" w:rsidTr="00E343BA">
        <w:tc>
          <w:tcPr>
            <w:tcW w:w="724" w:type="dxa"/>
            <w:tcBorders>
              <w:top w:val="single" w:sz="6" w:space="0" w:color="000000"/>
              <w:left w:val="single" w:sz="6" w:space="0" w:color="000000"/>
              <w:bottom w:val="single" w:sz="6" w:space="0" w:color="000000"/>
              <w:right w:val="single" w:sz="6" w:space="0" w:color="000000"/>
            </w:tcBorders>
          </w:tcPr>
          <w:p w14:paraId="4CA69008" w14:textId="77777777" w:rsidR="002D58E4" w:rsidRDefault="00F721D4">
            <w:pPr>
              <w:rPr>
                <w:sz w:val="20"/>
                <w:szCs w:val="20"/>
              </w:rPr>
            </w:pPr>
            <w:r>
              <w:rPr>
                <w:sz w:val="20"/>
                <w:szCs w:val="20"/>
              </w:rPr>
              <w:t xml:space="preserve">1 </w:t>
            </w:r>
          </w:p>
        </w:tc>
        <w:tc>
          <w:tcPr>
            <w:tcW w:w="787" w:type="dxa"/>
            <w:tcBorders>
              <w:top w:val="single" w:sz="6" w:space="0" w:color="000000"/>
              <w:left w:val="single" w:sz="6" w:space="0" w:color="000000"/>
              <w:bottom w:val="single" w:sz="6" w:space="0" w:color="000000"/>
              <w:right w:val="single" w:sz="6" w:space="0" w:color="000000"/>
            </w:tcBorders>
          </w:tcPr>
          <w:p w14:paraId="2CF06776"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98" w:type="dxa"/>
            <w:tcBorders>
              <w:top w:val="single" w:sz="6" w:space="0" w:color="000000"/>
              <w:left w:val="single" w:sz="6" w:space="0" w:color="000000"/>
              <w:bottom w:val="single" w:sz="6" w:space="0" w:color="000000"/>
              <w:right w:val="single" w:sz="6" w:space="0" w:color="000000"/>
            </w:tcBorders>
          </w:tcPr>
          <w:p w14:paraId="1DBDEA91"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19DC8835"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3C621054"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19192D67"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75EF7572"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7E799CFB" w14:textId="77777777" w:rsidR="002D58E4" w:rsidRDefault="00F721D4">
            <w:pPr>
              <w:jc w:val="center"/>
              <w:rPr>
                <w:sz w:val="20"/>
                <w:szCs w:val="20"/>
              </w:rPr>
            </w:pPr>
            <w:r>
              <w:rPr>
                <w:sz w:val="20"/>
                <w:szCs w:val="20"/>
              </w:rPr>
              <w:t xml:space="preserve">N= 182 </w:t>
            </w:r>
          </w:p>
        </w:tc>
        <w:tc>
          <w:tcPr>
            <w:tcW w:w="1025" w:type="dxa"/>
            <w:tcBorders>
              <w:top w:val="single" w:sz="6" w:space="0" w:color="000000"/>
              <w:left w:val="single" w:sz="6" w:space="0" w:color="000000"/>
              <w:bottom w:val="single" w:sz="6" w:space="0" w:color="000000"/>
              <w:right w:val="single" w:sz="6" w:space="0" w:color="000000"/>
            </w:tcBorders>
          </w:tcPr>
          <w:p w14:paraId="1A885215" w14:textId="77777777" w:rsidR="002D58E4" w:rsidRDefault="00F721D4">
            <w:pPr>
              <w:jc w:val="center"/>
              <w:rPr>
                <w:sz w:val="20"/>
                <w:szCs w:val="20"/>
              </w:rPr>
            </w:pPr>
            <w:r>
              <w:rPr>
                <w:sz w:val="20"/>
                <w:szCs w:val="20"/>
              </w:rPr>
              <w:t xml:space="preserve">N= 98 </w:t>
            </w:r>
          </w:p>
        </w:tc>
        <w:tc>
          <w:tcPr>
            <w:tcW w:w="3229" w:type="dxa"/>
            <w:gridSpan w:val="3"/>
            <w:tcBorders>
              <w:top w:val="single" w:sz="6" w:space="0" w:color="000000"/>
              <w:left w:val="single" w:sz="6" w:space="0" w:color="000000"/>
              <w:bottom w:val="single" w:sz="6" w:space="0" w:color="000000"/>
              <w:right w:val="single" w:sz="6" w:space="0" w:color="000000"/>
            </w:tcBorders>
          </w:tcPr>
          <w:p w14:paraId="7AC19DB5" w14:textId="77777777" w:rsidR="002D58E4" w:rsidRDefault="00F721D4">
            <w:pPr>
              <w:jc w:val="center"/>
              <w:rPr>
                <w:sz w:val="20"/>
                <w:szCs w:val="20"/>
              </w:rPr>
            </w:pPr>
            <w:r>
              <w:rPr>
                <w:sz w:val="20"/>
                <w:szCs w:val="20"/>
              </w:rPr>
              <w:t>MD 0.24 higher</w:t>
            </w:r>
            <w:r>
              <w:rPr>
                <w:sz w:val="20"/>
                <w:szCs w:val="20"/>
              </w:rPr>
              <w:br/>
              <w:t xml:space="preserve">(1.68 lower to 2.16 higher) </w:t>
            </w:r>
          </w:p>
        </w:tc>
        <w:tc>
          <w:tcPr>
            <w:tcW w:w="1136" w:type="dxa"/>
            <w:tcBorders>
              <w:top w:val="single" w:sz="6" w:space="0" w:color="000000"/>
              <w:left w:val="single" w:sz="6" w:space="0" w:color="000000"/>
              <w:bottom w:val="single" w:sz="6" w:space="0" w:color="000000"/>
              <w:right w:val="single" w:sz="6" w:space="0" w:color="000000"/>
            </w:tcBorders>
          </w:tcPr>
          <w:p w14:paraId="70CC1DCA"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619FC418" w14:textId="77777777" w:rsidR="002D58E4" w:rsidRDefault="00F721D4">
            <w:pPr>
              <w:rPr>
                <w:sz w:val="20"/>
                <w:szCs w:val="20"/>
              </w:rPr>
            </w:pPr>
            <w:r>
              <w:rPr>
                <w:sz w:val="20"/>
                <w:szCs w:val="20"/>
              </w:rPr>
              <w:t xml:space="preserve">CRITICAL </w:t>
            </w:r>
          </w:p>
        </w:tc>
      </w:tr>
      <w:tr w:rsidR="002D58E4" w14:paraId="05DE0209"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393D75D3" w14:textId="77777777" w:rsidR="002D58E4" w:rsidRDefault="00F721D4">
            <w:pPr>
              <w:rPr>
                <w:sz w:val="20"/>
                <w:szCs w:val="20"/>
              </w:rPr>
            </w:pPr>
            <w:r>
              <w:rPr>
                <w:b/>
                <w:sz w:val="20"/>
                <w:szCs w:val="20"/>
              </w:rPr>
              <w:t>Mean Fatigue Score (</w:t>
            </w:r>
            <w:r>
              <w:rPr>
                <w:sz w:val="20"/>
                <w:szCs w:val="20"/>
              </w:rPr>
              <w:t xml:space="preserve">Checklist Individual Strength; range 8-56; Lower </w:t>
            </w:r>
            <w:r>
              <w:rPr>
                <w:color w:val="000000"/>
                <w:sz w:val="20"/>
                <w:szCs w:val="20"/>
              </w:rPr>
              <w:t>scores indicate less fatigue severity)</w:t>
            </w:r>
            <w:r>
              <w:rPr>
                <w:b/>
                <w:sz w:val="20"/>
                <w:szCs w:val="20"/>
              </w:rPr>
              <w:t xml:space="preserve"> </w:t>
            </w:r>
            <w:r>
              <w:rPr>
                <w:sz w:val="20"/>
                <w:szCs w:val="20"/>
              </w:rPr>
              <w:t>(at 14 weeks)</w:t>
            </w:r>
          </w:p>
        </w:tc>
      </w:tr>
      <w:tr w:rsidR="002D58E4" w14:paraId="6FFB6CCF" w14:textId="77777777" w:rsidTr="00E343BA">
        <w:tc>
          <w:tcPr>
            <w:tcW w:w="724" w:type="dxa"/>
            <w:tcBorders>
              <w:top w:val="single" w:sz="6" w:space="0" w:color="000000"/>
              <w:left w:val="single" w:sz="6" w:space="0" w:color="000000"/>
              <w:bottom w:val="single" w:sz="6" w:space="0" w:color="000000"/>
              <w:right w:val="single" w:sz="6" w:space="0" w:color="000000"/>
            </w:tcBorders>
          </w:tcPr>
          <w:p w14:paraId="3100D9B4" w14:textId="77777777" w:rsidR="002D58E4" w:rsidRDefault="00F721D4">
            <w:pPr>
              <w:rPr>
                <w:sz w:val="20"/>
                <w:szCs w:val="20"/>
              </w:rPr>
            </w:pPr>
            <w:r>
              <w:rPr>
                <w:sz w:val="20"/>
                <w:szCs w:val="20"/>
              </w:rPr>
              <w:t xml:space="preserve">1 </w:t>
            </w:r>
          </w:p>
        </w:tc>
        <w:tc>
          <w:tcPr>
            <w:tcW w:w="787" w:type="dxa"/>
            <w:tcBorders>
              <w:top w:val="single" w:sz="6" w:space="0" w:color="000000"/>
              <w:left w:val="single" w:sz="6" w:space="0" w:color="000000"/>
              <w:bottom w:val="single" w:sz="6" w:space="0" w:color="000000"/>
              <w:right w:val="single" w:sz="6" w:space="0" w:color="000000"/>
            </w:tcBorders>
          </w:tcPr>
          <w:p w14:paraId="08AC9E58" w14:textId="77777777" w:rsidR="002D58E4" w:rsidRDefault="00F721D4">
            <w:pPr>
              <w:rPr>
                <w:sz w:val="20"/>
                <w:szCs w:val="20"/>
              </w:rPr>
            </w:pPr>
            <w:r>
              <w:rPr>
                <w:sz w:val="20"/>
                <w:szCs w:val="20"/>
              </w:rPr>
              <w:t xml:space="preserve">RCT </w:t>
            </w:r>
            <w:r>
              <w:rPr>
                <w:sz w:val="20"/>
                <w:szCs w:val="20"/>
                <w:vertAlign w:val="superscript"/>
              </w:rPr>
              <w:t>1</w:t>
            </w:r>
          </w:p>
        </w:tc>
        <w:tc>
          <w:tcPr>
            <w:tcW w:w="898" w:type="dxa"/>
            <w:tcBorders>
              <w:top w:val="single" w:sz="6" w:space="0" w:color="000000"/>
              <w:left w:val="single" w:sz="6" w:space="0" w:color="000000"/>
              <w:bottom w:val="single" w:sz="6" w:space="0" w:color="000000"/>
              <w:right w:val="single" w:sz="6" w:space="0" w:color="000000"/>
            </w:tcBorders>
          </w:tcPr>
          <w:p w14:paraId="6143422D"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6C4E98A1"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1E4241FD"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EEA5728"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2F1E87FA"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415351C5" w14:textId="77777777" w:rsidR="002D58E4" w:rsidRDefault="00F721D4">
            <w:pPr>
              <w:jc w:val="center"/>
              <w:rPr>
                <w:sz w:val="20"/>
                <w:szCs w:val="20"/>
              </w:rPr>
            </w:pPr>
            <w:r>
              <w:rPr>
                <w:sz w:val="20"/>
                <w:szCs w:val="20"/>
              </w:rPr>
              <w:t xml:space="preserve">N= 96 </w:t>
            </w:r>
          </w:p>
        </w:tc>
        <w:tc>
          <w:tcPr>
            <w:tcW w:w="1025" w:type="dxa"/>
            <w:tcBorders>
              <w:top w:val="single" w:sz="6" w:space="0" w:color="000000"/>
              <w:left w:val="single" w:sz="6" w:space="0" w:color="000000"/>
              <w:bottom w:val="single" w:sz="6" w:space="0" w:color="000000"/>
              <w:right w:val="single" w:sz="6" w:space="0" w:color="000000"/>
            </w:tcBorders>
          </w:tcPr>
          <w:p w14:paraId="3474C523" w14:textId="77777777" w:rsidR="002D58E4" w:rsidRDefault="00F721D4">
            <w:pPr>
              <w:jc w:val="center"/>
              <w:rPr>
                <w:sz w:val="20"/>
                <w:szCs w:val="20"/>
              </w:rPr>
            </w:pPr>
            <w:r>
              <w:rPr>
                <w:sz w:val="20"/>
                <w:szCs w:val="20"/>
              </w:rPr>
              <w:t xml:space="preserve">N= 49 </w:t>
            </w:r>
          </w:p>
        </w:tc>
        <w:tc>
          <w:tcPr>
            <w:tcW w:w="3229" w:type="dxa"/>
            <w:gridSpan w:val="3"/>
            <w:tcBorders>
              <w:top w:val="single" w:sz="6" w:space="0" w:color="000000"/>
              <w:left w:val="single" w:sz="6" w:space="0" w:color="000000"/>
              <w:bottom w:val="single" w:sz="6" w:space="0" w:color="000000"/>
              <w:right w:val="single" w:sz="6" w:space="0" w:color="000000"/>
            </w:tcBorders>
          </w:tcPr>
          <w:p w14:paraId="7EBBAFFF" w14:textId="77777777" w:rsidR="002D58E4" w:rsidRDefault="00F721D4">
            <w:pPr>
              <w:jc w:val="center"/>
              <w:rPr>
                <w:sz w:val="20"/>
                <w:szCs w:val="20"/>
              </w:rPr>
            </w:pPr>
            <w:r>
              <w:rPr>
                <w:sz w:val="20"/>
                <w:szCs w:val="20"/>
              </w:rPr>
              <w:t>MD 0.3 higher</w:t>
            </w:r>
            <w:r>
              <w:rPr>
                <w:sz w:val="20"/>
                <w:szCs w:val="20"/>
              </w:rPr>
              <w:br/>
              <w:t xml:space="preserve">(3.12 lower to 3.72 higher) </w:t>
            </w:r>
          </w:p>
        </w:tc>
        <w:tc>
          <w:tcPr>
            <w:tcW w:w="1136" w:type="dxa"/>
            <w:tcBorders>
              <w:top w:val="single" w:sz="6" w:space="0" w:color="000000"/>
              <w:left w:val="single" w:sz="6" w:space="0" w:color="000000"/>
              <w:bottom w:val="single" w:sz="6" w:space="0" w:color="000000"/>
              <w:right w:val="single" w:sz="6" w:space="0" w:color="000000"/>
            </w:tcBorders>
          </w:tcPr>
          <w:p w14:paraId="015BB324"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35F415F7" w14:textId="77777777" w:rsidR="002D58E4" w:rsidRDefault="00F721D4">
            <w:pPr>
              <w:rPr>
                <w:sz w:val="20"/>
                <w:szCs w:val="20"/>
              </w:rPr>
            </w:pPr>
            <w:r>
              <w:rPr>
                <w:sz w:val="20"/>
                <w:szCs w:val="20"/>
              </w:rPr>
              <w:t xml:space="preserve">CRITICAL </w:t>
            </w:r>
          </w:p>
        </w:tc>
      </w:tr>
      <w:tr w:rsidR="002D58E4" w14:paraId="22327BC9"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tcPr>
          <w:p w14:paraId="1B8A42D4" w14:textId="77777777" w:rsidR="002D58E4" w:rsidRDefault="00F721D4">
            <w:pPr>
              <w:rPr>
                <w:b/>
                <w:sz w:val="20"/>
                <w:szCs w:val="20"/>
              </w:rPr>
            </w:pPr>
            <w:r>
              <w:rPr>
                <w:b/>
                <w:sz w:val="20"/>
                <w:szCs w:val="20"/>
              </w:rPr>
              <w:t>Mean QALYs per patient (within 1-year)</w:t>
            </w:r>
          </w:p>
        </w:tc>
      </w:tr>
      <w:tr w:rsidR="002D58E4" w14:paraId="33FCCE96" w14:textId="77777777" w:rsidTr="00E343BA">
        <w:tc>
          <w:tcPr>
            <w:tcW w:w="724" w:type="dxa"/>
            <w:tcBorders>
              <w:top w:val="single" w:sz="6" w:space="0" w:color="000000"/>
              <w:left w:val="single" w:sz="6" w:space="0" w:color="000000"/>
              <w:bottom w:val="single" w:sz="6" w:space="0" w:color="000000"/>
              <w:right w:val="single" w:sz="6" w:space="0" w:color="000000"/>
            </w:tcBorders>
          </w:tcPr>
          <w:p w14:paraId="05C38D6A" w14:textId="77777777" w:rsidR="002D58E4" w:rsidRDefault="00F721D4">
            <w:pPr>
              <w:rPr>
                <w:sz w:val="20"/>
                <w:szCs w:val="20"/>
              </w:rPr>
            </w:pPr>
            <w:r>
              <w:rPr>
                <w:sz w:val="20"/>
                <w:szCs w:val="20"/>
              </w:rPr>
              <w:t>1</w:t>
            </w:r>
          </w:p>
        </w:tc>
        <w:tc>
          <w:tcPr>
            <w:tcW w:w="787" w:type="dxa"/>
            <w:tcBorders>
              <w:top w:val="single" w:sz="6" w:space="0" w:color="000000"/>
              <w:left w:val="single" w:sz="6" w:space="0" w:color="000000"/>
              <w:bottom w:val="single" w:sz="6" w:space="0" w:color="000000"/>
              <w:right w:val="single" w:sz="6" w:space="0" w:color="000000"/>
            </w:tcBorders>
          </w:tcPr>
          <w:p w14:paraId="3A14C23F"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98" w:type="dxa"/>
            <w:tcBorders>
              <w:top w:val="single" w:sz="6" w:space="0" w:color="000000"/>
              <w:left w:val="single" w:sz="6" w:space="0" w:color="000000"/>
              <w:bottom w:val="single" w:sz="6" w:space="0" w:color="000000"/>
              <w:right w:val="single" w:sz="6" w:space="0" w:color="000000"/>
            </w:tcBorders>
          </w:tcPr>
          <w:p w14:paraId="496CC134"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6C3CCB51" w14:textId="77777777" w:rsidR="002D58E4" w:rsidRDefault="00F721D4">
            <w:pPr>
              <w:rPr>
                <w:sz w:val="20"/>
                <w:szCs w:val="20"/>
              </w:rPr>
            </w:pPr>
            <w:r>
              <w:rPr>
                <w:sz w:val="20"/>
                <w:szCs w:val="20"/>
              </w:rPr>
              <w:t xml:space="preserve">not serious </w:t>
            </w:r>
          </w:p>
        </w:tc>
        <w:tc>
          <w:tcPr>
            <w:tcW w:w="1117" w:type="dxa"/>
            <w:tcBorders>
              <w:top w:val="single" w:sz="6" w:space="0" w:color="000000"/>
              <w:left w:val="single" w:sz="6" w:space="0" w:color="000000"/>
              <w:bottom w:val="single" w:sz="6" w:space="0" w:color="000000"/>
              <w:right w:val="single" w:sz="6" w:space="0" w:color="000000"/>
            </w:tcBorders>
          </w:tcPr>
          <w:p w14:paraId="7350E40D"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149A9DB"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0205F607"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39BC1840" w14:textId="77777777" w:rsidR="002D58E4" w:rsidRDefault="00F721D4">
            <w:pPr>
              <w:jc w:val="center"/>
              <w:rPr>
                <w:sz w:val="20"/>
                <w:szCs w:val="20"/>
              </w:rPr>
            </w:pPr>
            <w:r>
              <w:rPr>
                <w:sz w:val="20"/>
                <w:szCs w:val="20"/>
              </w:rPr>
              <w:t>N= 175</w:t>
            </w:r>
          </w:p>
        </w:tc>
        <w:tc>
          <w:tcPr>
            <w:tcW w:w="1025" w:type="dxa"/>
            <w:tcBorders>
              <w:top w:val="single" w:sz="6" w:space="0" w:color="000000"/>
              <w:left w:val="single" w:sz="6" w:space="0" w:color="000000"/>
              <w:bottom w:val="single" w:sz="6" w:space="0" w:color="000000"/>
              <w:right w:val="single" w:sz="6" w:space="0" w:color="000000"/>
            </w:tcBorders>
          </w:tcPr>
          <w:p w14:paraId="7FFB2CF1" w14:textId="77777777" w:rsidR="002D58E4" w:rsidRDefault="00F721D4">
            <w:pPr>
              <w:jc w:val="center"/>
              <w:rPr>
                <w:sz w:val="20"/>
                <w:szCs w:val="20"/>
              </w:rPr>
            </w:pPr>
            <w:r>
              <w:rPr>
                <w:sz w:val="20"/>
                <w:szCs w:val="20"/>
              </w:rPr>
              <w:t>N= 96</w:t>
            </w:r>
          </w:p>
        </w:tc>
        <w:tc>
          <w:tcPr>
            <w:tcW w:w="3229" w:type="dxa"/>
            <w:gridSpan w:val="3"/>
            <w:tcBorders>
              <w:top w:val="single" w:sz="6" w:space="0" w:color="000000"/>
              <w:left w:val="single" w:sz="6" w:space="0" w:color="000000"/>
              <w:bottom w:val="single" w:sz="6" w:space="0" w:color="000000"/>
              <w:right w:val="single" w:sz="6" w:space="0" w:color="000000"/>
            </w:tcBorders>
          </w:tcPr>
          <w:p w14:paraId="61F81B66" w14:textId="77777777" w:rsidR="002D58E4" w:rsidRDefault="00F721D4">
            <w:pPr>
              <w:jc w:val="center"/>
              <w:rPr>
                <w:sz w:val="20"/>
                <w:szCs w:val="20"/>
              </w:rPr>
            </w:pPr>
            <w:r>
              <w:rPr>
                <w:sz w:val="20"/>
                <w:szCs w:val="20"/>
              </w:rPr>
              <w:t>MD 0.00 higher</w:t>
            </w:r>
          </w:p>
          <w:p w14:paraId="06401005" w14:textId="77777777" w:rsidR="002D58E4" w:rsidRDefault="00F721D4">
            <w:pPr>
              <w:jc w:val="center"/>
              <w:rPr>
                <w:sz w:val="20"/>
                <w:szCs w:val="20"/>
              </w:rPr>
            </w:pPr>
            <w:r>
              <w:rPr>
                <w:sz w:val="20"/>
                <w:szCs w:val="20"/>
              </w:rPr>
              <w:t>(0.06 lower to 0.07 higher)</w:t>
            </w:r>
          </w:p>
        </w:tc>
        <w:tc>
          <w:tcPr>
            <w:tcW w:w="1136" w:type="dxa"/>
            <w:tcBorders>
              <w:top w:val="single" w:sz="6" w:space="0" w:color="000000"/>
              <w:left w:val="single" w:sz="6" w:space="0" w:color="000000"/>
              <w:bottom w:val="single" w:sz="6" w:space="0" w:color="000000"/>
              <w:right w:val="single" w:sz="6" w:space="0" w:color="000000"/>
            </w:tcBorders>
          </w:tcPr>
          <w:p w14:paraId="62B33BDF" w14:textId="77777777" w:rsidR="002D58E4" w:rsidRDefault="00F721D4">
            <w:pPr>
              <w:jc w:val="center"/>
              <w:rPr>
                <w:rFonts w:ascii="Cambria Math" w:eastAsia="Cambria Math" w:hAnsi="Cambria Math" w:cs="Cambria Math"/>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110CD2B9" w14:textId="77777777" w:rsidR="002D58E4" w:rsidRDefault="00F721D4">
            <w:pPr>
              <w:rPr>
                <w:sz w:val="20"/>
                <w:szCs w:val="20"/>
              </w:rPr>
            </w:pPr>
            <w:r>
              <w:rPr>
                <w:sz w:val="20"/>
                <w:szCs w:val="20"/>
              </w:rPr>
              <w:t xml:space="preserve">CRITICAL </w:t>
            </w:r>
          </w:p>
        </w:tc>
      </w:tr>
      <w:tr w:rsidR="002D58E4" w14:paraId="5B6E2265"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048E1FFF" w14:textId="77777777" w:rsidR="002D58E4" w:rsidRDefault="00F721D4">
            <w:pPr>
              <w:rPr>
                <w:sz w:val="20"/>
                <w:szCs w:val="20"/>
              </w:rPr>
            </w:pPr>
            <w:r>
              <w:rPr>
                <w:b/>
                <w:sz w:val="20"/>
                <w:szCs w:val="20"/>
              </w:rPr>
              <w:t>Patients Withdrawing Due to Adverse Events</w:t>
            </w:r>
            <w:r>
              <w:rPr>
                <w:sz w:val="20"/>
                <w:szCs w:val="20"/>
              </w:rPr>
              <w:t xml:space="preserve"> (within 14 weeks)</w:t>
            </w:r>
          </w:p>
        </w:tc>
      </w:tr>
      <w:tr w:rsidR="002D58E4" w14:paraId="78E6604D" w14:textId="77777777" w:rsidTr="00E343BA">
        <w:tc>
          <w:tcPr>
            <w:tcW w:w="724" w:type="dxa"/>
            <w:tcBorders>
              <w:top w:val="single" w:sz="6" w:space="0" w:color="000000"/>
              <w:left w:val="single" w:sz="6" w:space="0" w:color="000000"/>
              <w:bottom w:val="single" w:sz="6" w:space="0" w:color="000000"/>
              <w:right w:val="single" w:sz="6" w:space="0" w:color="000000"/>
            </w:tcBorders>
          </w:tcPr>
          <w:p w14:paraId="2B2A75B4" w14:textId="77777777" w:rsidR="002D58E4" w:rsidRDefault="00F721D4">
            <w:pPr>
              <w:rPr>
                <w:sz w:val="20"/>
                <w:szCs w:val="20"/>
              </w:rPr>
            </w:pPr>
            <w:r>
              <w:rPr>
                <w:sz w:val="20"/>
                <w:szCs w:val="20"/>
              </w:rPr>
              <w:t xml:space="preserve">1 </w:t>
            </w:r>
          </w:p>
        </w:tc>
        <w:tc>
          <w:tcPr>
            <w:tcW w:w="787" w:type="dxa"/>
            <w:tcBorders>
              <w:top w:val="single" w:sz="6" w:space="0" w:color="000000"/>
              <w:left w:val="single" w:sz="6" w:space="0" w:color="000000"/>
              <w:bottom w:val="single" w:sz="6" w:space="0" w:color="000000"/>
              <w:right w:val="single" w:sz="6" w:space="0" w:color="000000"/>
            </w:tcBorders>
          </w:tcPr>
          <w:p w14:paraId="16F23B48" w14:textId="77777777" w:rsidR="002D58E4" w:rsidRDefault="00F721D4">
            <w:pPr>
              <w:rPr>
                <w:sz w:val="20"/>
                <w:szCs w:val="20"/>
              </w:rPr>
            </w:pPr>
            <w:r>
              <w:rPr>
                <w:sz w:val="20"/>
                <w:szCs w:val="20"/>
              </w:rPr>
              <w:t>RCT</w:t>
            </w:r>
            <w:r>
              <w:rPr>
                <w:sz w:val="20"/>
                <w:szCs w:val="20"/>
                <w:vertAlign w:val="superscript"/>
              </w:rPr>
              <w:t xml:space="preserve"> 1</w:t>
            </w:r>
          </w:p>
        </w:tc>
        <w:tc>
          <w:tcPr>
            <w:tcW w:w="898" w:type="dxa"/>
            <w:tcBorders>
              <w:top w:val="single" w:sz="6" w:space="0" w:color="000000"/>
              <w:left w:val="single" w:sz="6" w:space="0" w:color="000000"/>
              <w:bottom w:val="single" w:sz="6" w:space="0" w:color="000000"/>
              <w:right w:val="single" w:sz="6" w:space="0" w:color="000000"/>
            </w:tcBorders>
          </w:tcPr>
          <w:p w14:paraId="65D8F82B"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4FB5809B"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0113A53C"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9B6A9FD"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1FA43BC9"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7A964A09" w14:textId="77777777" w:rsidR="002D58E4" w:rsidRDefault="00F721D4">
            <w:pPr>
              <w:jc w:val="center"/>
              <w:rPr>
                <w:sz w:val="20"/>
                <w:szCs w:val="20"/>
              </w:rPr>
            </w:pPr>
            <w:r>
              <w:rPr>
                <w:sz w:val="20"/>
                <w:szCs w:val="20"/>
              </w:rPr>
              <w:t xml:space="preserve">10/182 </w:t>
            </w:r>
          </w:p>
          <w:p w14:paraId="72A32810" w14:textId="77777777" w:rsidR="002D58E4" w:rsidRDefault="00F721D4">
            <w:pPr>
              <w:jc w:val="center"/>
              <w:rPr>
                <w:sz w:val="20"/>
                <w:szCs w:val="20"/>
              </w:rPr>
            </w:pPr>
            <w:r>
              <w:rPr>
                <w:sz w:val="20"/>
                <w:szCs w:val="20"/>
              </w:rPr>
              <w:t xml:space="preserve">(5.5%) </w:t>
            </w:r>
          </w:p>
        </w:tc>
        <w:tc>
          <w:tcPr>
            <w:tcW w:w="1025" w:type="dxa"/>
            <w:tcBorders>
              <w:top w:val="single" w:sz="6" w:space="0" w:color="000000"/>
              <w:left w:val="single" w:sz="6" w:space="0" w:color="000000"/>
              <w:bottom w:val="single" w:sz="6" w:space="0" w:color="000000"/>
              <w:right w:val="single" w:sz="6" w:space="0" w:color="000000"/>
            </w:tcBorders>
          </w:tcPr>
          <w:p w14:paraId="7844E41F" w14:textId="77777777" w:rsidR="002D58E4" w:rsidRDefault="00F721D4">
            <w:pPr>
              <w:jc w:val="center"/>
              <w:rPr>
                <w:sz w:val="20"/>
                <w:szCs w:val="20"/>
              </w:rPr>
            </w:pPr>
            <w:r>
              <w:rPr>
                <w:sz w:val="20"/>
                <w:szCs w:val="20"/>
              </w:rPr>
              <w:t xml:space="preserve">4/98 </w:t>
            </w:r>
          </w:p>
          <w:p w14:paraId="05F07246" w14:textId="77777777" w:rsidR="002D58E4" w:rsidRDefault="00F721D4">
            <w:pPr>
              <w:jc w:val="center"/>
              <w:rPr>
                <w:sz w:val="20"/>
                <w:szCs w:val="20"/>
              </w:rPr>
            </w:pPr>
            <w:r>
              <w:rPr>
                <w:sz w:val="20"/>
                <w:szCs w:val="20"/>
              </w:rPr>
              <w:t xml:space="preserve">(4.1%) </w:t>
            </w:r>
          </w:p>
        </w:tc>
        <w:tc>
          <w:tcPr>
            <w:tcW w:w="1232" w:type="dxa"/>
            <w:gridSpan w:val="2"/>
            <w:tcBorders>
              <w:top w:val="single" w:sz="6" w:space="0" w:color="000000"/>
              <w:left w:val="single" w:sz="6" w:space="0" w:color="000000"/>
              <w:bottom w:val="single" w:sz="6" w:space="0" w:color="000000"/>
              <w:right w:val="single" w:sz="6" w:space="0" w:color="000000"/>
            </w:tcBorders>
          </w:tcPr>
          <w:p w14:paraId="745CA864" w14:textId="77777777" w:rsidR="002D58E4" w:rsidRDefault="00F721D4">
            <w:pPr>
              <w:jc w:val="center"/>
              <w:rPr>
                <w:sz w:val="20"/>
                <w:szCs w:val="20"/>
              </w:rPr>
            </w:pPr>
            <w:r>
              <w:rPr>
                <w:sz w:val="20"/>
                <w:szCs w:val="20"/>
              </w:rPr>
              <w:t>RR 1.30</w:t>
            </w:r>
            <w:r>
              <w:rPr>
                <w:sz w:val="20"/>
                <w:szCs w:val="20"/>
              </w:rPr>
              <w:br/>
              <w:t xml:space="preserve">(0.41 to 4.12) </w:t>
            </w:r>
          </w:p>
        </w:tc>
        <w:tc>
          <w:tcPr>
            <w:tcW w:w="1997" w:type="dxa"/>
            <w:tcBorders>
              <w:top w:val="single" w:sz="6" w:space="0" w:color="000000"/>
              <w:left w:val="single" w:sz="6" w:space="0" w:color="000000"/>
              <w:bottom w:val="single" w:sz="6" w:space="0" w:color="000000"/>
              <w:right w:val="single" w:sz="6" w:space="0" w:color="000000"/>
            </w:tcBorders>
          </w:tcPr>
          <w:p w14:paraId="21B4F0AD" w14:textId="77777777" w:rsidR="002D58E4" w:rsidRDefault="00F721D4">
            <w:pPr>
              <w:jc w:val="center"/>
              <w:rPr>
                <w:sz w:val="20"/>
                <w:szCs w:val="20"/>
              </w:rPr>
            </w:pPr>
            <w:r>
              <w:rPr>
                <w:sz w:val="20"/>
                <w:szCs w:val="20"/>
              </w:rPr>
              <w:t>12 more per 1,000</w:t>
            </w:r>
            <w:r>
              <w:rPr>
                <w:sz w:val="20"/>
                <w:szCs w:val="20"/>
              </w:rPr>
              <w:br/>
              <w:t xml:space="preserve">(from 24 fewer to 127 more) </w:t>
            </w:r>
          </w:p>
        </w:tc>
        <w:tc>
          <w:tcPr>
            <w:tcW w:w="1136" w:type="dxa"/>
            <w:tcBorders>
              <w:top w:val="single" w:sz="6" w:space="0" w:color="000000"/>
              <w:left w:val="single" w:sz="6" w:space="0" w:color="000000"/>
              <w:bottom w:val="single" w:sz="6" w:space="0" w:color="000000"/>
              <w:right w:val="single" w:sz="6" w:space="0" w:color="000000"/>
            </w:tcBorders>
          </w:tcPr>
          <w:p w14:paraId="3581E980"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53E7A65F" w14:textId="77777777" w:rsidR="002D58E4" w:rsidRDefault="00F721D4">
            <w:pPr>
              <w:rPr>
                <w:sz w:val="20"/>
                <w:szCs w:val="20"/>
              </w:rPr>
            </w:pPr>
            <w:r>
              <w:rPr>
                <w:sz w:val="20"/>
                <w:szCs w:val="20"/>
              </w:rPr>
              <w:t xml:space="preserve">CRITICAL </w:t>
            </w:r>
          </w:p>
        </w:tc>
      </w:tr>
      <w:tr w:rsidR="002D58E4" w14:paraId="391B7371"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3909695A" w14:textId="77777777" w:rsidR="002D58E4" w:rsidRDefault="00F721D4">
            <w:pPr>
              <w:rPr>
                <w:sz w:val="20"/>
                <w:szCs w:val="20"/>
              </w:rPr>
            </w:pPr>
            <w:r>
              <w:rPr>
                <w:b/>
                <w:sz w:val="20"/>
                <w:szCs w:val="20"/>
              </w:rPr>
              <w:t>Serious Adverse Events</w:t>
            </w:r>
            <w:r>
              <w:rPr>
                <w:sz w:val="20"/>
                <w:szCs w:val="20"/>
              </w:rPr>
              <w:t xml:space="preserve"> (within 14 weeks)</w:t>
            </w:r>
          </w:p>
        </w:tc>
      </w:tr>
      <w:tr w:rsidR="002D58E4" w14:paraId="07376B8F" w14:textId="77777777" w:rsidTr="00E343BA">
        <w:trPr>
          <w:trHeight w:val="60"/>
        </w:trPr>
        <w:tc>
          <w:tcPr>
            <w:tcW w:w="724" w:type="dxa"/>
            <w:tcBorders>
              <w:top w:val="single" w:sz="6" w:space="0" w:color="000000"/>
              <w:left w:val="single" w:sz="6" w:space="0" w:color="000000"/>
              <w:bottom w:val="single" w:sz="6" w:space="0" w:color="000000"/>
              <w:right w:val="single" w:sz="6" w:space="0" w:color="000000"/>
            </w:tcBorders>
          </w:tcPr>
          <w:p w14:paraId="6D289668" w14:textId="77777777" w:rsidR="002D58E4" w:rsidRDefault="00F721D4">
            <w:pPr>
              <w:rPr>
                <w:sz w:val="20"/>
                <w:szCs w:val="20"/>
              </w:rPr>
            </w:pPr>
            <w:r>
              <w:rPr>
                <w:sz w:val="20"/>
                <w:szCs w:val="20"/>
              </w:rPr>
              <w:t xml:space="preserve">1 </w:t>
            </w:r>
          </w:p>
        </w:tc>
        <w:tc>
          <w:tcPr>
            <w:tcW w:w="787" w:type="dxa"/>
            <w:tcBorders>
              <w:top w:val="single" w:sz="6" w:space="0" w:color="000000"/>
              <w:left w:val="single" w:sz="6" w:space="0" w:color="000000"/>
              <w:bottom w:val="single" w:sz="6" w:space="0" w:color="000000"/>
              <w:right w:val="single" w:sz="6" w:space="0" w:color="000000"/>
            </w:tcBorders>
          </w:tcPr>
          <w:p w14:paraId="491F0440" w14:textId="77777777" w:rsidR="002D58E4" w:rsidRDefault="00F721D4">
            <w:pPr>
              <w:rPr>
                <w:sz w:val="20"/>
                <w:szCs w:val="20"/>
              </w:rPr>
            </w:pPr>
            <w:r>
              <w:rPr>
                <w:sz w:val="20"/>
                <w:szCs w:val="20"/>
              </w:rPr>
              <w:t xml:space="preserve">RCT </w:t>
            </w:r>
            <w:r>
              <w:rPr>
                <w:sz w:val="20"/>
                <w:szCs w:val="20"/>
                <w:vertAlign w:val="superscript"/>
              </w:rPr>
              <w:t>1</w:t>
            </w:r>
            <w:r>
              <w:rPr>
                <w:sz w:val="20"/>
                <w:szCs w:val="20"/>
              </w:rPr>
              <w:t xml:space="preserve"> </w:t>
            </w:r>
          </w:p>
        </w:tc>
        <w:tc>
          <w:tcPr>
            <w:tcW w:w="898" w:type="dxa"/>
            <w:tcBorders>
              <w:top w:val="single" w:sz="6" w:space="0" w:color="000000"/>
              <w:left w:val="single" w:sz="6" w:space="0" w:color="000000"/>
              <w:bottom w:val="single" w:sz="6" w:space="0" w:color="000000"/>
              <w:right w:val="single" w:sz="6" w:space="0" w:color="000000"/>
            </w:tcBorders>
          </w:tcPr>
          <w:p w14:paraId="45F2D774"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10404C91"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0DC61ED6"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0499A826"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15D47A52"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13655E54" w14:textId="77777777" w:rsidR="002D58E4" w:rsidRDefault="00F721D4">
            <w:pPr>
              <w:jc w:val="center"/>
              <w:rPr>
                <w:sz w:val="20"/>
                <w:szCs w:val="20"/>
              </w:rPr>
            </w:pPr>
            <w:r>
              <w:rPr>
                <w:sz w:val="20"/>
                <w:szCs w:val="20"/>
              </w:rPr>
              <w:t xml:space="preserve">4/182 </w:t>
            </w:r>
          </w:p>
          <w:p w14:paraId="32E07B62" w14:textId="77777777" w:rsidR="002D58E4" w:rsidRDefault="00F721D4">
            <w:pPr>
              <w:jc w:val="center"/>
              <w:rPr>
                <w:sz w:val="20"/>
                <w:szCs w:val="20"/>
              </w:rPr>
            </w:pPr>
            <w:r>
              <w:rPr>
                <w:sz w:val="20"/>
                <w:szCs w:val="20"/>
              </w:rPr>
              <w:t xml:space="preserve">(2.2%) </w:t>
            </w:r>
          </w:p>
        </w:tc>
        <w:tc>
          <w:tcPr>
            <w:tcW w:w="1025" w:type="dxa"/>
            <w:tcBorders>
              <w:top w:val="single" w:sz="6" w:space="0" w:color="000000"/>
              <w:left w:val="single" w:sz="6" w:space="0" w:color="000000"/>
              <w:bottom w:val="single" w:sz="6" w:space="0" w:color="000000"/>
              <w:right w:val="single" w:sz="6" w:space="0" w:color="000000"/>
            </w:tcBorders>
          </w:tcPr>
          <w:p w14:paraId="68EA2149" w14:textId="77777777" w:rsidR="002D58E4" w:rsidRDefault="00F721D4">
            <w:pPr>
              <w:jc w:val="center"/>
              <w:rPr>
                <w:sz w:val="20"/>
                <w:szCs w:val="20"/>
              </w:rPr>
            </w:pPr>
            <w:r>
              <w:rPr>
                <w:sz w:val="20"/>
                <w:szCs w:val="20"/>
              </w:rPr>
              <w:t xml:space="preserve">0/98 </w:t>
            </w:r>
          </w:p>
          <w:p w14:paraId="790BE0AE" w14:textId="77777777" w:rsidR="002D58E4" w:rsidRDefault="00F721D4">
            <w:pPr>
              <w:jc w:val="center"/>
              <w:rPr>
                <w:sz w:val="20"/>
                <w:szCs w:val="20"/>
              </w:rPr>
            </w:pPr>
            <w:r>
              <w:rPr>
                <w:sz w:val="20"/>
                <w:szCs w:val="20"/>
              </w:rPr>
              <w:t xml:space="preserve">(0.0%) </w:t>
            </w:r>
          </w:p>
        </w:tc>
        <w:tc>
          <w:tcPr>
            <w:tcW w:w="1232" w:type="dxa"/>
            <w:gridSpan w:val="2"/>
            <w:tcBorders>
              <w:top w:val="single" w:sz="6" w:space="0" w:color="000000"/>
              <w:left w:val="single" w:sz="6" w:space="0" w:color="000000"/>
              <w:bottom w:val="single" w:sz="6" w:space="0" w:color="000000"/>
              <w:right w:val="single" w:sz="6" w:space="0" w:color="000000"/>
            </w:tcBorders>
          </w:tcPr>
          <w:p w14:paraId="57B77A61" w14:textId="77777777" w:rsidR="002D58E4" w:rsidRDefault="00F721D4">
            <w:pPr>
              <w:jc w:val="center"/>
              <w:rPr>
                <w:sz w:val="20"/>
                <w:szCs w:val="20"/>
              </w:rPr>
            </w:pPr>
            <w:r>
              <w:rPr>
                <w:sz w:val="20"/>
                <w:szCs w:val="20"/>
              </w:rPr>
              <w:t xml:space="preserve">NA </w:t>
            </w:r>
            <w:r>
              <w:rPr>
                <w:sz w:val="20"/>
                <w:szCs w:val="20"/>
                <w:vertAlign w:val="superscript"/>
              </w:rPr>
              <w:t>b</w:t>
            </w:r>
          </w:p>
        </w:tc>
        <w:tc>
          <w:tcPr>
            <w:tcW w:w="1997" w:type="dxa"/>
            <w:tcBorders>
              <w:top w:val="single" w:sz="6" w:space="0" w:color="000000"/>
              <w:left w:val="single" w:sz="6" w:space="0" w:color="000000"/>
              <w:bottom w:val="single" w:sz="6" w:space="0" w:color="000000"/>
              <w:right w:val="single" w:sz="6" w:space="0" w:color="000000"/>
            </w:tcBorders>
          </w:tcPr>
          <w:p w14:paraId="34DECF27" w14:textId="77777777" w:rsidR="002D58E4" w:rsidRDefault="00F721D4">
            <w:pPr>
              <w:jc w:val="center"/>
              <w:rPr>
                <w:sz w:val="20"/>
                <w:szCs w:val="20"/>
              </w:rPr>
            </w:pPr>
            <w:r>
              <w:rPr>
                <w:sz w:val="20"/>
                <w:szCs w:val="20"/>
              </w:rPr>
              <w:t xml:space="preserve">22 more per 1,000 </w:t>
            </w:r>
          </w:p>
        </w:tc>
        <w:tc>
          <w:tcPr>
            <w:tcW w:w="1136" w:type="dxa"/>
            <w:tcBorders>
              <w:top w:val="single" w:sz="6" w:space="0" w:color="000000"/>
              <w:left w:val="single" w:sz="6" w:space="0" w:color="000000"/>
              <w:bottom w:val="single" w:sz="6" w:space="0" w:color="000000"/>
              <w:right w:val="single" w:sz="6" w:space="0" w:color="000000"/>
            </w:tcBorders>
          </w:tcPr>
          <w:p w14:paraId="62BDE4EE"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2A046F88" w14:textId="77777777" w:rsidR="002D58E4" w:rsidRDefault="00F721D4">
            <w:pPr>
              <w:rPr>
                <w:sz w:val="20"/>
                <w:szCs w:val="20"/>
              </w:rPr>
            </w:pPr>
            <w:r>
              <w:rPr>
                <w:sz w:val="20"/>
                <w:szCs w:val="20"/>
              </w:rPr>
              <w:t xml:space="preserve">CRITICAL </w:t>
            </w:r>
          </w:p>
        </w:tc>
      </w:tr>
      <w:tr w:rsidR="002D58E4" w14:paraId="6F1F3BF6"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7425F46F" w14:textId="77777777" w:rsidR="002D58E4" w:rsidRDefault="00F721D4">
            <w:pPr>
              <w:rPr>
                <w:sz w:val="20"/>
                <w:szCs w:val="20"/>
              </w:rPr>
            </w:pPr>
            <w:r>
              <w:rPr>
                <w:b/>
                <w:sz w:val="20"/>
                <w:szCs w:val="20"/>
              </w:rPr>
              <w:t>Gastrointestinal Adverse Events</w:t>
            </w:r>
            <w:r>
              <w:rPr>
                <w:sz w:val="20"/>
                <w:szCs w:val="20"/>
              </w:rPr>
              <w:t xml:space="preserve"> (within 14 weeks)</w:t>
            </w:r>
          </w:p>
        </w:tc>
      </w:tr>
      <w:tr w:rsidR="002D58E4" w14:paraId="1E9C4708" w14:textId="77777777" w:rsidTr="00E343BA">
        <w:tc>
          <w:tcPr>
            <w:tcW w:w="724" w:type="dxa"/>
            <w:tcBorders>
              <w:top w:val="single" w:sz="6" w:space="0" w:color="000000"/>
              <w:left w:val="single" w:sz="6" w:space="0" w:color="000000"/>
              <w:bottom w:val="single" w:sz="6" w:space="0" w:color="000000"/>
              <w:right w:val="single" w:sz="6" w:space="0" w:color="000000"/>
            </w:tcBorders>
          </w:tcPr>
          <w:p w14:paraId="1C4C2D1A" w14:textId="77777777" w:rsidR="002D58E4" w:rsidRDefault="00F721D4">
            <w:pPr>
              <w:rPr>
                <w:sz w:val="20"/>
                <w:szCs w:val="20"/>
              </w:rPr>
            </w:pPr>
            <w:r>
              <w:rPr>
                <w:sz w:val="20"/>
                <w:szCs w:val="20"/>
              </w:rPr>
              <w:t xml:space="preserve">1 </w:t>
            </w:r>
          </w:p>
        </w:tc>
        <w:tc>
          <w:tcPr>
            <w:tcW w:w="787" w:type="dxa"/>
            <w:tcBorders>
              <w:top w:val="single" w:sz="6" w:space="0" w:color="000000"/>
              <w:left w:val="single" w:sz="6" w:space="0" w:color="000000"/>
              <w:bottom w:val="single" w:sz="6" w:space="0" w:color="000000"/>
              <w:right w:val="single" w:sz="6" w:space="0" w:color="000000"/>
            </w:tcBorders>
          </w:tcPr>
          <w:p w14:paraId="316B051B" w14:textId="77777777" w:rsidR="002D58E4" w:rsidRDefault="00F721D4">
            <w:pPr>
              <w:rPr>
                <w:sz w:val="20"/>
                <w:szCs w:val="20"/>
              </w:rPr>
            </w:pPr>
            <w:r>
              <w:rPr>
                <w:sz w:val="20"/>
                <w:szCs w:val="20"/>
              </w:rPr>
              <w:t xml:space="preserve">RCT </w:t>
            </w:r>
            <w:r>
              <w:rPr>
                <w:sz w:val="20"/>
                <w:szCs w:val="20"/>
                <w:vertAlign w:val="superscript"/>
              </w:rPr>
              <w:t xml:space="preserve">1 </w:t>
            </w:r>
          </w:p>
        </w:tc>
        <w:tc>
          <w:tcPr>
            <w:tcW w:w="898" w:type="dxa"/>
            <w:tcBorders>
              <w:top w:val="single" w:sz="6" w:space="0" w:color="000000"/>
              <w:left w:val="single" w:sz="6" w:space="0" w:color="000000"/>
              <w:bottom w:val="single" w:sz="6" w:space="0" w:color="000000"/>
              <w:right w:val="single" w:sz="6" w:space="0" w:color="000000"/>
            </w:tcBorders>
          </w:tcPr>
          <w:p w14:paraId="71AF9B4C"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78E59F2D"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1C188932"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745402C6"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55FB6E4C"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29C349EE" w14:textId="77777777" w:rsidR="002D58E4" w:rsidRDefault="00F721D4">
            <w:pPr>
              <w:jc w:val="center"/>
              <w:rPr>
                <w:sz w:val="20"/>
                <w:szCs w:val="20"/>
              </w:rPr>
            </w:pPr>
            <w:r>
              <w:rPr>
                <w:sz w:val="20"/>
                <w:szCs w:val="20"/>
              </w:rPr>
              <w:t xml:space="preserve">32/182 </w:t>
            </w:r>
          </w:p>
          <w:p w14:paraId="43F7EDA7" w14:textId="77777777" w:rsidR="002D58E4" w:rsidRDefault="00F721D4">
            <w:pPr>
              <w:jc w:val="center"/>
              <w:rPr>
                <w:sz w:val="20"/>
                <w:szCs w:val="20"/>
              </w:rPr>
            </w:pPr>
            <w:r>
              <w:rPr>
                <w:sz w:val="20"/>
                <w:szCs w:val="20"/>
              </w:rPr>
              <w:t xml:space="preserve">(17.6%) </w:t>
            </w:r>
          </w:p>
        </w:tc>
        <w:tc>
          <w:tcPr>
            <w:tcW w:w="1025" w:type="dxa"/>
            <w:tcBorders>
              <w:top w:val="single" w:sz="6" w:space="0" w:color="000000"/>
              <w:left w:val="single" w:sz="6" w:space="0" w:color="000000"/>
              <w:bottom w:val="single" w:sz="6" w:space="0" w:color="000000"/>
              <w:right w:val="single" w:sz="6" w:space="0" w:color="000000"/>
            </w:tcBorders>
          </w:tcPr>
          <w:p w14:paraId="1964F05E" w14:textId="77777777" w:rsidR="002D58E4" w:rsidRDefault="00F721D4">
            <w:pPr>
              <w:jc w:val="center"/>
              <w:rPr>
                <w:sz w:val="20"/>
                <w:szCs w:val="20"/>
              </w:rPr>
            </w:pPr>
            <w:r>
              <w:rPr>
                <w:sz w:val="20"/>
                <w:szCs w:val="20"/>
              </w:rPr>
              <w:t xml:space="preserve">12/98 </w:t>
            </w:r>
          </w:p>
          <w:p w14:paraId="506611AD" w14:textId="77777777" w:rsidR="002D58E4" w:rsidRDefault="00F721D4">
            <w:pPr>
              <w:jc w:val="center"/>
              <w:rPr>
                <w:sz w:val="20"/>
                <w:szCs w:val="20"/>
              </w:rPr>
            </w:pPr>
            <w:r>
              <w:rPr>
                <w:sz w:val="20"/>
                <w:szCs w:val="20"/>
              </w:rPr>
              <w:t xml:space="preserve">(12.2%) </w:t>
            </w:r>
          </w:p>
        </w:tc>
        <w:tc>
          <w:tcPr>
            <w:tcW w:w="1232" w:type="dxa"/>
            <w:gridSpan w:val="2"/>
            <w:tcBorders>
              <w:top w:val="single" w:sz="6" w:space="0" w:color="000000"/>
              <w:left w:val="single" w:sz="6" w:space="0" w:color="000000"/>
              <w:bottom w:val="single" w:sz="6" w:space="0" w:color="000000"/>
              <w:right w:val="single" w:sz="6" w:space="0" w:color="000000"/>
            </w:tcBorders>
          </w:tcPr>
          <w:p w14:paraId="76C0F748" w14:textId="77777777" w:rsidR="002D58E4" w:rsidRDefault="00F721D4">
            <w:pPr>
              <w:jc w:val="center"/>
              <w:rPr>
                <w:sz w:val="20"/>
                <w:szCs w:val="20"/>
              </w:rPr>
            </w:pPr>
            <w:r>
              <w:rPr>
                <w:sz w:val="20"/>
                <w:szCs w:val="20"/>
              </w:rPr>
              <w:t>RR 1.42</w:t>
            </w:r>
            <w:r>
              <w:rPr>
                <w:sz w:val="20"/>
                <w:szCs w:val="20"/>
              </w:rPr>
              <w:br/>
              <w:t xml:space="preserve">(0.77 to 2.64) </w:t>
            </w:r>
          </w:p>
        </w:tc>
        <w:tc>
          <w:tcPr>
            <w:tcW w:w="1997" w:type="dxa"/>
            <w:tcBorders>
              <w:top w:val="single" w:sz="6" w:space="0" w:color="000000"/>
              <w:left w:val="single" w:sz="6" w:space="0" w:color="000000"/>
              <w:bottom w:val="single" w:sz="6" w:space="0" w:color="000000"/>
              <w:right w:val="single" w:sz="6" w:space="0" w:color="000000"/>
            </w:tcBorders>
          </w:tcPr>
          <w:p w14:paraId="63DB7266" w14:textId="77777777" w:rsidR="002D58E4" w:rsidRDefault="00F721D4">
            <w:pPr>
              <w:jc w:val="center"/>
              <w:rPr>
                <w:sz w:val="20"/>
                <w:szCs w:val="20"/>
              </w:rPr>
            </w:pPr>
            <w:r>
              <w:rPr>
                <w:sz w:val="20"/>
                <w:szCs w:val="20"/>
              </w:rPr>
              <w:t>51 more per 1,000</w:t>
            </w:r>
            <w:r>
              <w:rPr>
                <w:sz w:val="20"/>
                <w:szCs w:val="20"/>
              </w:rPr>
              <w:br/>
              <w:t xml:space="preserve">(from 28 fewer to 201 more) </w:t>
            </w:r>
          </w:p>
        </w:tc>
        <w:tc>
          <w:tcPr>
            <w:tcW w:w="1136" w:type="dxa"/>
            <w:tcBorders>
              <w:top w:val="single" w:sz="6" w:space="0" w:color="000000"/>
              <w:left w:val="single" w:sz="6" w:space="0" w:color="000000"/>
              <w:bottom w:val="single" w:sz="6" w:space="0" w:color="000000"/>
              <w:right w:val="single" w:sz="6" w:space="0" w:color="000000"/>
            </w:tcBorders>
          </w:tcPr>
          <w:p w14:paraId="74C0ACF6"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1EB84784" w14:textId="77777777" w:rsidR="002D58E4" w:rsidRDefault="00F721D4">
            <w:pPr>
              <w:rPr>
                <w:sz w:val="20"/>
                <w:szCs w:val="20"/>
              </w:rPr>
            </w:pPr>
            <w:r>
              <w:rPr>
                <w:sz w:val="20"/>
                <w:szCs w:val="20"/>
              </w:rPr>
              <w:t xml:space="preserve">CRITICAL </w:t>
            </w:r>
          </w:p>
        </w:tc>
      </w:tr>
      <w:tr w:rsidR="002D58E4" w14:paraId="62CC5E5D" w14:textId="77777777" w:rsidTr="00E343BA">
        <w:tc>
          <w:tcPr>
            <w:tcW w:w="14961" w:type="dxa"/>
            <w:gridSpan w:val="15"/>
            <w:tcBorders>
              <w:top w:val="single" w:sz="6" w:space="0" w:color="000000"/>
              <w:left w:val="single" w:sz="6" w:space="0" w:color="000000"/>
              <w:bottom w:val="single" w:sz="6" w:space="0" w:color="000000"/>
              <w:right w:val="single" w:sz="6" w:space="0" w:color="000000"/>
            </w:tcBorders>
            <w:shd w:val="clear" w:color="auto" w:fill="EDEDED"/>
            <w:vAlign w:val="center"/>
          </w:tcPr>
          <w:p w14:paraId="6C5DBA99" w14:textId="77777777" w:rsidR="002D58E4" w:rsidRDefault="00F721D4">
            <w:pPr>
              <w:rPr>
                <w:sz w:val="20"/>
                <w:szCs w:val="20"/>
              </w:rPr>
            </w:pPr>
            <w:r>
              <w:rPr>
                <w:b/>
                <w:sz w:val="20"/>
                <w:szCs w:val="20"/>
              </w:rPr>
              <w:t>Allergic Reactions</w:t>
            </w:r>
            <w:r>
              <w:rPr>
                <w:sz w:val="20"/>
                <w:szCs w:val="20"/>
              </w:rPr>
              <w:t xml:space="preserve"> (within 14 weeks)</w:t>
            </w:r>
          </w:p>
        </w:tc>
      </w:tr>
      <w:tr w:rsidR="002D58E4" w14:paraId="633EA4AE" w14:textId="77777777" w:rsidTr="00E343BA">
        <w:tc>
          <w:tcPr>
            <w:tcW w:w="724" w:type="dxa"/>
            <w:tcBorders>
              <w:top w:val="single" w:sz="6" w:space="0" w:color="000000"/>
              <w:left w:val="single" w:sz="6" w:space="0" w:color="000000"/>
              <w:bottom w:val="single" w:sz="6" w:space="0" w:color="000000"/>
              <w:right w:val="single" w:sz="6" w:space="0" w:color="000000"/>
            </w:tcBorders>
          </w:tcPr>
          <w:p w14:paraId="554D0D72" w14:textId="77777777" w:rsidR="002D58E4" w:rsidRDefault="00F721D4">
            <w:pPr>
              <w:rPr>
                <w:sz w:val="20"/>
                <w:szCs w:val="20"/>
              </w:rPr>
            </w:pPr>
            <w:r>
              <w:rPr>
                <w:sz w:val="20"/>
                <w:szCs w:val="20"/>
              </w:rPr>
              <w:t xml:space="preserve">1 </w:t>
            </w:r>
          </w:p>
        </w:tc>
        <w:tc>
          <w:tcPr>
            <w:tcW w:w="787" w:type="dxa"/>
            <w:tcBorders>
              <w:top w:val="single" w:sz="6" w:space="0" w:color="000000"/>
              <w:left w:val="single" w:sz="6" w:space="0" w:color="000000"/>
              <w:bottom w:val="single" w:sz="6" w:space="0" w:color="000000"/>
              <w:right w:val="single" w:sz="6" w:space="0" w:color="000000"/>
            </w:tcBorders>
          </w:tcPr>
          <w:p w14:paraId="0809AB54" w14:textId="77777777" w:rsidR="002D58E4" w:rsidRDefault="00F721D4">
            <w:pPr>
              <w:rPr>
                <w:sz w:val="20"/>
                <w:szCs w:val="20"/>
              </w:rPr>
            </w:pPr>
            <w:r>
              <w:rPr>
                <w:sz w:val="20"/>
                <w:szCs w:val="20"/>
              </w:rPr>
              <w:t xml:space="preserve">RCT </w:t>
            </w:r>
            <w:r>
              <w:rPr>
                <w:sz w:val="20"/>
                <w:szCs w:val="20"/>
                <w:vertAlign w:val="superscript"/>
              </w:rPr>
              <w:t xml:space="preserve">1 </w:t>
            </w:r>
          </w:p>
        </w:tc>
        <w:tc>
          <w:tcPr>
            <w:tcW w:w="898" w:type="dxa"/>
            <w:tcBorders>
              <w:top w:val="single" w:sz="6" w:space="0" w:color="000000"/>
              <w:left w:val="single" w:sz="6" w:space="0" w:color="000000"/>
              <w:bottom w:val="single" w:sz="6" w:space="0" w:color="000000"/>
              <w:right w:val="single" w:sz="6" w:space="0" w:color="000000"/>
            </w:tcBorders>
          </w:tcPr>
          <w:p w14:paraId="75FE71FB" w14:textId="77777777" w:rsidR="002D58E4" w:rsidRDefault="00F721D4">
            <w:pPr>
              <w:rPr>
                <w:sz w:val="20"/>
                <w:szCs w:val="20"/>
              </w:rPr>
            </w:pPr>
            <w:r>
              <w:rPr>
                <w:sz w:val="20"/>
                <w:szCs w:val="20"/>
              </w:rPr>
              <w:t xml:space="preserve">not serious </w:t>
            </w:r>
          </w:p>
        </w:tc>
        <w:tc>
          <w:tcPr>
            <w:tcW w:w="1244" w:type="dxa"/>
            <w:tcBorders>
              <w:top w:val="single" w:sz="6" w:space="0" w:color="000000"/>
              <w:left w:val="single" w:sz="6" w:space="0" w:color="000000"/>
              <w:bottom w:val="single" w:sz="6" w:space="0" w:color="000000"/>
              <w:right w:val="single" w:sz="6" w:space="0" w:color="000000"/>
            </w:tcBorders>
          </w:tcPr>
          <w:p w14:paraId="3D679A6D" w14:textId="77777777" w:rsidR="002D58E4" w:rsidRDefault="00F721D4">
            <w:pPr>
              <w:rPr>
                <w:sz w:val="20"/>
                <w:szCs w:val="20"/>
              </w:rPr>
            </w:pPr>
            <w:r>
              <w:rPr>
                <w:sz w:val="20"/>
                <w:szCs w:val="20"/>
              </w:rPr>
              <w:t>not serious</w:t>
            </w:r>
          </w:p>
        </w:tc>
        <w:tc>
          <w:tcPr>
            <w:tcW w:w="1117" w:type="dxa"/>
            <w:tcBorders>
              <w:top w:val="single" w:sz="6" w:space="0" w:color="000000"/>
              <w:left w:val="single" w:sz="6" w:space="0" w:color="000000"/>
              <w:bottom w:val="single" w:sz="6" w:space="0" w:color="000000"/>
              <w:right w:val="single" w:sz="6" w:space="0" w:color="000000"/>
            </w:tcBorders>
          </w:tcPr>
          <w:p w14:paraId="4A9C2555" w14:textId="77777777" w:rsidR="002D58E4" w:rsidRDefault="00F721D4">
            <w:pPr>
              <w:rPr>
                <w:sz w:val="20"/>
                <w:szCs w:val="20"/>
              </w:rPr>
            </w:pPr>
            <w:r>
              <w:rPr>
                <w:sz w:val="20"/>
                <w:szCs w:val="20"/>
              </w:rPr>
              <w:t xml:space="preserve">not serious </w:t>
            </w:r>
          </w:p>
        </w:tc>
        <w:tc>
          <w:tcPr>
            <w:tcW w:w="1071" w:type="dxa"/>
            <w:tcBorders>
              <w:top w:val="single" w:sz="6" w:space="0" w:color="000000"/>
              <w:left w:val="single" w:sz="6" w:space="0" w:color="000000"/>
              <w:bottom w:val="single" w:sz="6" w:space="0" w:color="000000"/>
              <w:right w:val="single" w:sz="6" w:space="0" w:color="000000"/>
            </w:tcBorders>
          </w:tcPr>
          <w:p w14:paraId="635110A2" w14:textId="77777777" w:rsidR="002D58E4" w:rsidRDefault="00F721D4">
            <w:pPr>
              <w:rPr>
                <w:sz w:val="20"/>
                <w:szCs w:val="20"/>
              </w:rPr>
            </w:pPr>
            <w:r>
              <w:rPr>
                <w:sz w:val="20"/>
                <w:szCs w:val="20"/>
              </w:rPr>
              <w:t xml:space="preserve">serious </w:t>
            </w:r>
            <w:r>
              <w:rPr>
                <w:sz w:val="20"/>
                <w:szCs w:val="20"/>
                <w:vertAlign w:val="superscript"/>
              </w:rPr>
              <w:t>a</w:t>
            </w:r>
          </w:p>
        </w:tc>
        <w:tc>
          <w:tcPr>
            <w:tcW w:w="1317" w:type="dxa"/>
            <w:tcBorders>
              <w:top w:val="single" w:sz="6" w:space="0" w:color="000000"/>
              <w:left w:val="single" w:sz="6" w:space="0" w:color="000000"/>
              <w:bottom w:val="single" w:sz="6" w:space="0" w:color="000000"/>
              <w:right w:val="single" w:sz="6" w:space="0" w:color="000000"/>
            </w:tcBorders>
          </w:tcPr>
          <w:p w14:paraId="37F80020" w14:textId="77777777" w:rsidR="002D58E4" w:rsidRDefault="00F721D4">
            <w:pPr>
              <w:rPr>
                <w:sz w:val="20"/>
                <w:szCs w:val="20"/>
              </w:rPr>
            </w:pPr>
            <w:r>
              <w:rPr>
                <w:sz w:val="20"/>
                <w:szCs w:val="20"/>
              </w:rPr>
              <w:t xml:space="preserve">none </w:t>
            </w:r>
          </w:p>
        </w:tc>
        <w:tc>
          <w:tcPr>
            <w:tcW w:w="1140" w:type="dxa"/>
            <w:gridSpan w:val="2"/>
            <w:tcBorders>
              <w:top w:val="single" w:sz="6" w:space="0" w:color="000000"/>
              <w:left w:val="single" w:sz="6" w:space="0" w:color="000000"/>
              <w:bottom w:val="single" w:sz="6" w:space="0" w:color="000000"/>
              <w:right w:val="single" w:sz="6" w:space="0" w:color="000000"/>
            </w:tcBorders>
          </w:tcPr>
          <w:p w14:paraId="4029AD55" w14:textId="77777777" w:rsidR="002D58E4" w:rsidRDefault="00F721D4">
            <w:pPr>
              <w:jc w:val="center"/>
              <w:rPr>
                <w:sz w:val="20"/>
                <w:szCs w:val="20"/>
              </w:rPr>
            </w:pPr>
            <w:r>
              <w:rPr>
                <w:sz w:val="20"/>
                <w:szCs w:val="20"/>
              </w:rPr>
              <w:t xml:space="preserve">9/182 </w:t>
            </w:r>
          </w:p>
          <w:p w14:paraId="19EB6A53" w14:textId="77777777" w:rsidR="002D58E4" w:rsidRDefault="00F721D4">
            <w:pPr>
              <w:jc w:val="center"/>
              <w:rPr>
                <w:sz w:val="20"/>
                <w:szCs w:val="20"/>
              </w:rPr>
            </w:pPr>
            <w:r>
              <w:rPr>
                <w:sz w:val="20"/>
                <w:szCs w:val="20"/>
              </w:rPr>
              <w:t xml:space="preserve">(4.9%) </w:t>
            </w:r>
          </w:p>
        </w:tc>
        <w:tc>
          <w:tcPr>
            <w:tcW w:w="1025" w:type="dxa"/>
            <w:tcBorders>
              <w:top w:val="single" w:sz="6" w:space="0" w:color="000000"/>
              <w:left w:val="single" w:sz="6" w:space="0" w:color="000000"/>
              <w:bottom w:val="single" w:sz="6" w:space="0" w:color="000000"/>
              <w:right w:val="single" w:sz="6" w:space="0" w:color="000000"/>
            </w:tcBorders>
          </w:tcPr>
          <w:p w14:paraId="775AC0D3" w14:textId="77777777" w:rsidR="002D58E4" w:rsidRDefault="00F721D4">
            <w:pPr>
              <w:jc w:val="center"/>
              <w:rPr>
                <w:sz w:val="20"/>
                <w:szCs w:val="20"/>
              </w:rPr>
            </w:pPr>
            <w:r>
              <w:rPr>
                <w:sz w:val="20"/>
                <w:szCs w:val="20"/>
              </w:rPr>
              <w:t xml:space="preserve">1/98 </w:t>
            </w:r>
          </w:p>
          <w:p w14:paraId="6FA45436" w14:textId="77777777" w:rsidR="002D58E4" w:rsidRDefault="00F721D4">
            <w:pPr>
              <w:jc w:val="center"/>
              <w:rPr>
                <w:sz w:val="20"/>
                <w:szCs w:val="20"/>
              </w:rPr>
            </w:pPr>
            <w:r>
              <w:rPr>
                <w:sz w:val="20"/>
                <w:szCs w:val="20"/>
              </w:rPr>
              <w:t xml:space="preserve">(1.0%) </w:t>
            </w:r>
          </w:p>
        </w:tc>
        <w:tc>
          <w:tcPr>
            <w:tcW w:w="1232" w:type="dxa"/>
            <w:gridSpan w:val="2"/>
            <w:tcBorders>
              <w:top w:val="single" w:sz="6" w:space="0" w:color="000000"/>
              <w:left w:val="single" w:sz="6" w:space="0" w:color="000000"/>
              <w:bottom w:val="single" w:sz="6" w:space="0" w:color="000000"/>
              <w:right w:val="single" w:sz="6" w:space="0" w:color="000000"/>
            </w:tcBorders>
          </w:tcPr>
          <w:p w14:paraId="0E3F9BAC" w14:textId="77777777" w:rsidR="002D58E4" w:rsidRDefault="00F721D4">
            <w:pPr>
              <w:jc w:val="center"/>
              <w:rPr>
                <w:sz w:val="20"/>
                <w:szCs w:val="20"/>
              </w:rPr>
            </w:pPr>
            <w:r>
              <w:rPr>
                <w:sz w:val="20"/>
                <w:szCs w:val="20"/>
              </w:rPr>
              <w:t>RR 3.17</w:t>
            </w:r>
            <w:r>
              <w:rPr>
                <w:sz w:val="20"/>
                <w:szCs w:val="20"/>
              </w:rPr>
              <w:br/>
              <w:t xml:space="preserve">(0.57 to 17.77) </w:t>
            </w:r>
          </w:p>
        </w:tc>
        <w:tc>
          <w:tcPr>
            <w:tcW w:w="1997" w:type="dxa"/>
            <w:tcBorders>
              <w:top w:val="single" w:sz="6" w:space="0" w:color="000000"/>
              <w:left w:val="single" w:sz="6" w:space="0" w:color="000000"/>
              <w:bottom w:val="single" w:sz="6" w:space="0" w:color="000000"/>
              <w:right w:val="single" w:sz="6" w:space="0" w:color="000000"/>
            </w:tcBorders>
          </w:tcPr>
          <w:p w14:paraId="3943D94C" w14:textId="77777777" w:rsidR="002D58E4" w:rsidRDefault="00F721D4">
            <w:pPr>
              <w:jc w:val="center"/>
              <w:rPr>
                <w:sz w:val="20"/>
                <w:szCs w:val="20"/>
              </w:rPr>
            </w:pPr>
            <w:r>
              <w:rPr>
                <w:sz w:val="20"/>
                <w:szCs w:val="20"/>
              </w:rPr>
              <w:t>22 more per 1,000</w:t>
            </w:r>
            <w:r>
              <w:rPr>
                <w:sz w:val="20"/>
                <w:szCs w:val="20"/>
              </w:rPr>
              <w:br/>
              <w:t xml:space="preserve">(from 4 fewer to 171 more) </w:t>
            </w:r>
          </w:p>
        </w:tc>
        <w:tc>
          <w:tcPr>
            <w:tcW w:w="1136" w:type="dxa"/>
            <w:tcBorders>
              <w:top w:val="single" w:sz="6" w:space="0" w:color="000000"/>
              <w:left w:val="single" w:sz="6" w:space="0" w:color="000000"/>
              <w:bottom w:val="single" w:sz="6" w:space="0" w:color="000000"/>
              <w:right w:val="single" w:sz="6" w:space="0" w:color="000000"/>
            </w:tcBorders>
          </w:tcPr>
          <w:p w14:paraId="7AF3FAD8" w14:textId="77777777" w:rsidR="002D58E4" w:rsidRDefault="00F721D4">
            <w:pPr>
              <w:jc w:val="center"/>
              <w:rPr>
                <w:sz w:val="20"/>
                <w:szCs w:val="20"/>
              </w:rPr>
            </w:pPr>
            <w:r>
              <w:rPr>
                <w:rFonts w:ascii="Cambria Math" w:eastAsia="Cambria Math" w:hAnsi="Cambria Math" w:cs="Cambria Math"/>
                <w:sz w:val="20"/>
                <w:szCs w:val="20"/>
              </w:rPr>
              <w:t>⨁⨁⨁</w:t>
            </w:r>
            <w:r>
              <w:rPr>
                <w:rFonts w:ascii="MS Gothic" w:eastAsia="MS Gothic" w:hAnsi="MS Gothic" w:cs="MS Gothic"/>
                <w:sz w:val="20"/>
                <w:szCs w:val="20"/>
              </w:rPr>
              <w:t>◯</w:t>
            </w:r>
            <w:r>
              <w:rPr>
                <w:sz w:val="20"/>
                <w:szCs w:val="20"/>
              </w:rPr>
              <w:br/>
              <w:t xml:space="preserve">MODERATE </w:t>
            </w:r>
          </w:p>
        </w:tc>
        <w:tc>
          <w:tcPr>
            <w:tcW w:w="1273" w:type="dxa"/>
            <w:tcBorders>
              <w:top w:val="single" w:sz="6" w:space="0" w:color="000000"/>
              <w:left w:val="single" w:sz="6" w:space="0" w:color="000000"/>
              <w:bottom w:val="single" w:sz="6" w:space="0" w:color="000000"/>
              <w:right w:val="single" w:sz="6" w:space="0" w:color="000000"/>
            </w:tcBorders>
          </w:tcPr>
          <w:p w14:paraId="7CEB202F" w14:textId="77777777" w:rsidR="002D58E4" w:rsidRDefault="00F721D4">
            <w:pPr>
              <w:rPr>
                <w:sz w:val="20"/>
                <w:szCs w:val="20"/>
              </w:rPr>
            </w:pPr>
            <w:r>
              <w:rPr>
                <w:sz w:val="20"/>
                <w:szCs w:val="20"/>
              </w:rPr>
              <w:t xml:space="preserve">CRITICAL </w:t>
            </w:r>
          </w:p>
        </w:tc>
      </w:tr>
    </w:tbl>
    <w:p w14:paraId="75409FEB" w14:textId="77777777" w:rsidR="002D58E4" w:rsidRDefault="00F721D4" w:rsidP="00E343BA">
      <w:pPr>
        <w:spacing w:before="240" w:after="0"/>
        <w:ind w:right="-3980"/>
        <w:rPr>
          <w:sz w:val="20"/>
          <w:szCs w:val="20"/>
        </w:rPr>
      </w:pPr>
      <w:r>
        <w:rPr>
          <w:sz w:val="20"/>
          <w:szCs w:val="20"/>
        </w:rPr>
        <w:t xml:space="preserve">*All patients in Berende 2016 received 2 weeks of IV ceftriaxone before initiating the randomized controlled trial. During the 2-week period of open-label IV ceftriaxone treatment, none of the patients in either group experienced a catheter-associated infection. </w:t>
      </w:r>
    </w:p>
    <w:p w14:paraId="4B43EC1D" w14:textId="77777777" w:rsidR="002D58E4" w:rsidRDefault="00F721D4" w:rsidP="00E343BA">
      <w:pPr>
        <w:spacing w:after="0"/>
        <w:ind w:right="-3980"/>
        <w:rPr>
          <w:color w:val="000000"/>
          <w:sz w:val="20"/>
          <w:szCs w:val="20"/>
        </w:rPr>
      </w:pPr>
      <w:r>
        <w:rPr>
          <w:color w:val="000000"/>
          <w:sz w:val="20"/>
          <w:szCs w:val="20"/>
        </w:rPr>
        <w:t xml:space="preserve">†Patients receiving antibiotics in Berende 2016 received either Oral Doxycycline (100 mg BID) for 12 weeks or Oral Clarithromycin (500 mg BID) with Oral Hydroxychloroquine (200 mg BID) for 12 weeks. These groups were combined for the purpose of this analysis. </w:t>
      </w:r>
    </w:p>
    <w:p w14:paraId="07C5E430" w14:textId="77777777" w:rsidR="002D58E4" w:rsidRDefault="00F721D4" w:rsidP="00E343BA">
      <w:pPr>
        <w:spacing w:before="280" w:after="280"/>
        <w:ind w:right="-3980"/>
        <w:rPr>
          <w:color w:val="000000"/>
          <w:sz w:val="18"/>
          <w:szCs w:val="18"/>
        </w:rPr>
      </w:pPr>
      <w:r>
        <w:rPr>
          <w:b/>
          <w:color w:val="000000"/>
          <w:sz w:val="18"/>
          <w:szCs w:val="18"/>
        </w:rPr>
        <w:t>CI:</w:t>
      </w:r>
      <w:r>
        <w:rPr>
          <w:color w:val="000000"/>
          <w:sz w:val="18"/>
          <w:szCs w:val="18"/>
        </w:rPr>
        <w:t xml:space="preserve"> Confidence interval; </w:t>
      </w:r>
      <w:r>
        <w:rPr>
          <w:b/>
          <w:color w:val="000000"/>
          <w:sz w:val="18"/>
          <w:szCs w:val="18"/>
        </w:rPr>
        <w:t>MD:</w:t>
      </w:r>
      <w:r>
        <w:rPr>
          <w:color w:val="000000"/>
          <w:sz w:val="18"/>
          <w:szCs w:val="18"/>
        </w:rPr>
        <w:t xml:space="preserve"> Mean difference; </w:t>
      </w:r>
      <w:r>
        <w:rPr>
          <w:b/>
          <w:color w:val="000000"/>
          <w:sz w:val="18"/>
          <w:szCs w:val="18"/>
        </w:rPr>
        <w:t>RR:</w:t>
      </w:r>
      <w:r>
        <w:rPr>
          <w:color w:val="000000"/>
          <w:sz w:val="18"/>
          <w:szCs w:val="18"/>
        </w:rPr>
        <w:t xml:space="preserve"> Risk ratio</w:t>
      </w:r>
    </w:p>
    <w:p w14:paraId="4DCFBC22" w14:textId="77777777" w:rsidR="002D58E4" w:rsidRDefault="00F721D4">
      <w:pPr>
        <w:pStyle w:val="Heading4"/>
        <w:spacing w:after="0"/>
        <w:rPr>
          <w:rFonts w:ascii="Calibri" w:eastAsia="Calibri" w:hAnsi="Calibri" w:cs="Calibri"/>
          <w:color w:val="000000"/>
        </w:rPr>
      </w:pPr>
      <w:r>
        <w:rPr>
          <w:rFonts w:ascii="Calibri" w:eastAsia="Calibri" w:hAnsi="Calibri" w:cs="Calibri"/>
          <w:color w:val="000000"/>
        </w:rPr>
        <w:t>Explanations</w:t>
      </w:r>
    </w:p>
    <w:p w14:paraId="3571551F" w14:textId="77777777" w:rsidR="002D58E4" w:rsidRDefault="00F721D4">
      <w:pPr>
        <w:numPr>
          <w:ilvl w:val="0"/>
          <w:numId w:val="8"/>
        </w:numPr>
        <w:spacing w:after="0"/>
        <w:rPr>
          <w:color w:val="000000"/>
          <w:sz w:val="18"/>
          <w:szCs w:val="18"/>
        </w:rPr>
      </w:pPr>
      <w:r>
        <w:rPr>
          <w:color w:val="000000"/>
          <w:sz w:val="18"/>
          <w:szCs w:val="18"/>
        </w:rPr>
        <w:t>95% CI is wide and/or crossing the null value</w:t>
      </w:r>
    </w:p>
    <w:p w14:paraId="57DB47E6" w14:textId="77777777" w:rsidR="002D58E4" w:rsidRDefault="00F721D4">
      <w:pPr>
        <w:numPr>
          <w:ilvl w:val="0"/>
          <w:numId w:val="8"/>
        </w:numPr>
        <w:spacing w:after="0"/>
        <w:rPr>
          <w:color w:val="000000"/>
          <w:sz w:val="18"/>
          <w:szCs w:val="18"/>
        </w:rPr>
      </w:pPr>
      <w:r>
        <w:rPr>
          <w:color w:val="000000"/>
          <w:sz w:val="18"/>
          <w:szCs w:val="18"/>
        </w:rPr>
        <w:t xml:space="preserve">Comparator arm had zero events; unable to estimate relative risk. </w:t>
      </w:r>
    </w:p>
    <w:p w14:paraId="126220E4" w14:textId="77777777" w:rsidR="002D58E4" w:rsidRDefault="00F721D4">
      <w:pPr>
        <w:rPr>
          <w:color w:val="000000"/>
          <w:sz w:val="18"/>
          <w:szCs w:val="18"/>
        </w:rPr>
      </w:pPr>
      <w:r>
        <w:br w:type="page"/>
      </w:r>
    </w:p>
    <w:tbl>
      <w:tblPr>
        <w:tblStyle w:val="afff9"/>
        <w:tblW w:w="14601" w:type="dxa"/>
        <w:tblLayout w:type="fixed"/>
        <w:tblLook w:val="0600" w:firstRow="0" w:lastRow="0" w:firstColumn="0" w:lastColumn="0" w:noHBand="1" w:noVBand="1"/>
      </w:tblPr>
      <w:tblGrid>
        <w:gridCol w:w="840"/>
        <w:gridCol w:w="990"/>
        <w:gridCol w:w="630"/>
        <w:gridCol w:w="2700"/>
        <w:gridCol w:w="3168"/>
        <w:gridCol w:w="2016"/>
        <w:gridCol w:w="4257"/>
      </w:tblGrid>
      <w:tr w:rsidR="002D58E4" w14:paraId="60AC9A4B" w14:textId="77777777">
        <w:trPr>
          <w:trHeight w:val="500"/>
        </w:trPr>
        <w:tc>
          <w:tcPr>
            <w:tcW w:w="14601" w:type="dxa"/>
            <w:gridSpan w:val="7"/>
          </w:tcPr>
          <w:p w14:paraId="5994989A" w14:textId="77777777" w:rsidR="002D58E4" w:rsidRDefault="00F721D4">
            <w:pPr>
              <w:pBdr>
                <w:top w:val="nil"/>
                <w:left w:val="nil"/>
                <w:bottom w:val="nil"/>
                <w:right w:val="nil"/>
                <w:between w:val="nil"/>
              </w:pBdr>
              <w:rPr>
                <w:b/>
                <w:color w:val="000000"/>
                <w:sz w:val="32"/>
                <w:szCs w:val="32"/>
                <w:u w:val="single"/>
              </w:rPr>
            </w:pPr>
            <w:bookmarkStart w:id="27" w:name="2xcytpi" w:colFirst="0" w:colLast="0"/>
            <w:bookmarkEnd w:id="27"/>
            <w:r>
              <w:rPr>
                <w:b/>
                <w:color w:val="000000"/>
                <w:sz w:val="32"/>
                <w:szCs w:val="32"/>
                <w:u w:val="single"/>
              </w:rPr>
              <w:t>Cutaneous manifestations of Eurasian Lyme disease</w:t>
            </w:r>
          </w:p>
          <w:p w14:paraId="34AF3A9E" w14:textId="77777777" w:rsidR="002D58E4" w:rsidRDefault="002D58E4">
            <w:pPr>
              <w:rPr>
                <w:b/>
                <w:sz w:val="32"/>
                <w:szCs w:val="32"/>
              </w:rPr>
            </w:pPr>
          </w:p>
          <w:p w14:paraId="41687DBD" w14:textId="2711033E" w:rsidR="002D58E4" w:rsidRDefault="00F721D4">
            <w:pPr>
              <w:spacing w:line="480" w:lineRule="auto"/>
              <w:jc w:val="both"/>
              <w:rPr>
                <w:b/>
                <w:color w:val="000000"/>
                <w:sz w:val="18"/>
                <w:szCs w:val="18"/>
              </w:rPr>
            </w:pPr>
            <w:r>
              <w:rPr>
                <w:b/>
                <w:sz w:val="32"/>
                <w:szCs w:val="32"/>
              </w:rPr>
              <w:t>XXVI. What is the preferred antibiotic regimen for the treatment of borrelial lymphocytoma?</w:t>
            </w:r>
          </w:p>
        </w:tc>
      </w:tr>
      <w:tr w:rsidR="002D58E4" w14:paraId="43CFE760" w14:textId="77777777">
        <w:trPr>
          <w:trHeight w:val="500"/>
        </w:trPr>
        <w:tc>
          <w:tcPr>
            <w:tcW w:w="14601" w:type="dxa"/>
            <w:gridSpan w:val="7"/>
            <w:tcBorders>
              <w:bottom w:val="single" w:sz="6" w:space="0" w:color="AEAEAE"/>
            </w:tcBorders>
          </w:tcPr>
          <w:p w14:paraId="58A818E5" w14:textId="77777777" w:rsidR="002D58E4" w:rsidRDefault="00F721D4">
            <w:pPr>
              <w:rPr>
                <w:b/>
                <w:color w:val="000000"/>
                <w:sz w:val="20"/>
                <w:szCs w:val="20"/>
              </w:rPr>
            </w:pPr>
            <w:r w:rsidRPr="002914A2">
              <w:rPr>
                <w:b/>
                <w:color w:val="000000"/>
                <w:sz w:val="18"/>
                <w:szCs w:val="18"/>
                <w:lang w:val="fr-CA"/>
              </w:rPr>
              <w:t>Bibliography</w:t>
            </w:r>
            <w:r w:rsidRPr="002914A2">
              <w:rPr>
                <w:color w:val="000000"/>
                <w:sz w:val="18"/>
                <w:szCs w:val="18"/>
                <w:lang w:val="fr-CA"/>
              </w:rPr>
              <w:t xml:space="preserve">: 1. Arnez et al. Pediatr Infect Dis J. 2015 Dec; 34 (12):1319-22; 2. </w:t>
            </w:r>
            <w:r>
              <w:rPr>
                <w:color w:val="000000"/>
                <w:sz w:val="18"/>
                <w:szCs w:val="18"/>
              </w:rPr>
              <w:t>Glatz et al. Acta Derm Venereol. 2015 May 95(5): 565-71; 3. Maraspin, et al. Clin Infect Dis. 2016 Oct 1; 63(7): 914-21.</w:t>
            </w:r>
          </w:p>
        </w:tc>
      </w:tr>
      <w:tr w:rsidR="002D58E4" w14:paraId="662B5CBA" w14:textId="77777777">
        <w:trPr>
          <w:trHeight w:val="500"/>
        </w:trPr>
        <w:tc>
          <w:tcPr>
            <w:tcW w:w="84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19EC3414" w14:textId="77777777" w:rsidR="002D58E4" w:rsidRDefault="00F721D4">
            <w:pPr>
              <w:jc w:val="center"/>
              <w:rPr>
                <w:sz w:val="20"/>
                <w:szCs w:val="20"/>
              </w:rPr>
            </w:pPr>
            <w:r>
              <w:rPr>
                <w:b/>
                <w:color w:val="000000"/>
                <w:sz w:val="20"/>
                <w:szCs w:val="20"/>
              </w:rPr>
              <w:t>Study, Location</w:t>
            </w:r>
          </w:p>
        </w:tc>
        <w:tc>
          <w:tcPr>
            <w:tcW w:w="990" w:type="dxa"/>
            <w:tcBorders>
              <w:top w:val="single" w:sz="6" w:space="0" w:color="AEAEAE"/>
              <w:left w:val="single" w:sz="6" w:space="0" w:color="AEAEAE"/>
              <w:bottom w:val="single" w:sz="6" w:space="0" w:color="AEAEAE"/>
              <w:right w:val="single" w:sz="6" w:space="0" w:color="AEAEAE"/>
            </w:tcBorders>
            <w:shd w:val="clear" w:color="auto" w:fill="D9D9D9"/>
          </w:tcPr>
          <w:p w14:paraId="1596B3D1"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517D1684" w14:textId="77777777" w:rsidR="002D58E4" w:rsidRDefault="00F721D4">
            <w:pPr>
              <w:jc w:val="center"/>
              <w:rPr>
                <w:b/>
                <w:color w:val="000000"/>
                <w:sz w:val="20"/>
                <w:szCs w:val="20"/>
              </w:rPr>
            </w:pPr>
            <w:r>
              <w:rPr>
                <w:b/>
                <w:color w:val="000000"/>
                <w:sz w:val="20"/>
                <w:szCs w:val="20"/>
              </w:rPr>
              <w:t>Risk of bias*</w:t>
            </w:r>
          </w:p>
        </w:tc>
        <w:tc>
          <w:tcPr>
            <w:tcW w:w="2700" w:type="dxa"/>
            <w:tcBorders>
              <w:top w:val="single" w:sz="6" w:space="0" w:color="AEAEAE"/>
              <w:left w:val="single" w:sz="6" w:space="0" w:color="AEAEAE"/>
              <w:bottom w:val="single" w:sz="6" w:space="0" w:color="AEAEAE"/>
              <w:right w:val="single" w:sz="6" w:space="0" w:color="AEAEAE"/>
            </w:tcBorders>
            <w:shd w:val="clear" w:color="auto" w:fill="D9D9D9"/>
          </w:tcPr>
          <w:p w14:paraId="46D5ABA1" w14:textId="77777777" w:rsidR="002D58E4" w:rsidRDefault="00F721D4">
            <w:pPr>
              <w:jc w:val="center"/>
              <w:rPr>
                <w:b/>
                <w:color w:val="000000"/>
                <w:sz w:val="20"/>
                <w:szCs w:val="20"/>
              </w:rPr>
            </w:pPr>
            <w:r>
              <w:rPr>
                <w:b/>
                <w:color w:val="000000"/>
                <w:sz w:val="20"/>
                <w:szCs w:val="20"/>
              </w:rPr>
              <w:t>Lyme Disease Diagnosis method; Lyme disease characteristics</w:t>
            </w:r>
          </w:p>
        </w:tc>
        <w:tc>
          <w:tcPr>
            <w:tcW w:w="3168" w:type="dxa"/>
            <w:tcBorders>
              <w:top w:val="single" w:sz="6" w:space="0" w:color="AEAEAE"/>
              <w:left w:val="single" w:sz="6" w:space="0" w:color="AEAEAE"/>
              <w:bottom w:val="single" w:sz="6" w:space="0" w:color="AEAEAE"/>
              <w:right w:val="single" w:sz="6" w:space="0" w:color="AEAEAE"/>
            </w:tcBorders>
            <w:shd w:val="clear" w:color="auto" w:fill="D9D9D9"/>
          </w:tcPr>
          <w:p w14:paraId="0E262BFD" w14:textId="77777777" w:rsidR="002D58E4" w:rsidRDefault="00F721D4">
            <w:pPr>
              <w:jc w:val="center"/>
              <w:rPr>
                <w:b/>
                <w:color w:val="000000"/>
                <w:sz w:val="20"/>
                <w:szCs w:val="20"/>
              </w:rPr>
            </w:pPr>
            <w:r>
              <w:rPr>
                <w:b/>
                <w:color w:val="000000"/>
                <w:sz w:val="20"/>
                <w:szCs w:val="20"/>
              </w:rPr>
              <w:t>Presentation of borrelial lymphocytoma</w:t>
            </w:r>
          </w:p>
        </w:tc>
        <w:tc>
          <w:tcPr>
            <w:tcW w:w="2016" w:type="dxa"/>
            <w:tcBorders>
              <w:top w:val="single" w:sz="6" w:space="0" w:color="AEAEAE"/>
              <w:left w:val="single" w:sz="6" w:space="0" w:color="AEAEAE"/>
              <w:bottom w:val="single" w:sz="6" w:space="0" w:color="AEAEAE"/>
              <w:right w:val="single" w:sz="6" w:space="0" w:color="AEAEAE"/>
            </w:tcBorders>
            <w:shd w:val="clear" w:color="auto" w:fill="D9D9D9"/>
          </w:tcPr>
          <w:p w14:paraId="69723CFC" w14:textId="77777777" w:rsidR="002D58E4" w:rsidRDefault="00F721D4">
            <w:pPr>
              <w:jc w:val="center"/>
              <w:rPr>
                <w:b/>
                <w:color w:val="000000"/>
                <w:sz w:val="20"/>
                <w:szCs w:val="20"/>
              </w:rPr>
            </w:pPr>
            <w:r>
              <w:rPr>
                <w:b/>
                <w:color w:val="000000"/>
                <w:sz w:val="20"/>
                <w:szCs w:val="20"/>
              </w:rPr>
              <w:t>Treatment Received</w:t>
            </w:r>
          </w:p>
        </w:tc>
        <w:tc>
          <w:tcPr>
            <w:tcW w:w="4257" w:type="dxa"/>
            <w:tcBorders>
              <w:top w:val="single" w:sz="6" w:space="0" w:color="AEAEAE"/>
              <w:left w:val="single" w:sz="6" w:space="0" w:color="AEAEAE"/>
              <w:bottom w:val="single" w:sz="6" w:space="0" w:color="AEAEAE"/>
              <w:right w:val="single" w:sz="6" w:space="0" w:color="AEAEAE"/>
            </w:tcBorders>
            <w:shd w:val="clear" w:color="auto" w:fill="D9D9D9"/>
          </w:tcPr>
          <w:p w14:paraId="5E9A729A" w14:textId="77777777" w:rsidR="002D58E4" w:rsidRDefault="00F721D4">
            <w:pPr>
              <w:jc w:val="center"/>
              <w:rPr>
                <w:b/>
                <w:color w:val="000000"/>
                <w:sz w:val="20"/>
                <w:szCs w:val="20"/>
              </w:rPr>
            </w:pPr>
            <w:r>
              <w:rPr>
                <w:b/>
                <w:color w:val="000000"/>
                <w:sz w:val="20"/>
                <w:szCs w:val="20"/>
              </w:rPr>
              <w:t>Treatment course and Study conclusions</w:t>
            </w:r>
          </w:p>
        </w:tc>
      </w:tr>
      <w:tr w:rsidR="002D58E4" w14:paraId="3998A895"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8914328" w14:textId="77777777" w:rsidR="002D58E4" w:rsidRDefault="00F721D4">
            <w:pPr>
              <w:rPr>
                <w:sz w:val="20"/>
                <w:szCs w:val="20"/>
              </w:rPr>
            </w:pPr>
            <w:r>
              <w:rPr>
                <w:sz w:val="20"/>
                <w:szCs w:val="20"/>
              </w:rPr>
              <w:t>Arnez et al., 2015</w:t>
            </w:r>
          </w:p>
          <w:p w14:paraId="67CA2B79" w14:textId="77777777" w:rsidR="002D58E4" w:rsidRDefault="002D58E4">
            <w:pPr>
              <w:rPr>
                <w:sz w:val="20"/>
                <w:szCs w:val="20"/>
              </w:rPr>
            </w:pPr>
          </w:p>
          <w:p w14:paraId="51F2A7E8" w14:textId="77777777" w:rsidR="002D58E4" w:rsidRDefault="00F721D4">
            <w:pPr>
              <w:rPr>
                <w:sz w:val="20"/>
                <w:szCs w:val="20"/>
              </w:rPr>
            </w:pPr>
            <w:r>
              <w:rPr>
                <w:sz w:val="20"/>
                <w:szCs w:val="20"/>
              </w:rPr>
              <w:t>Slovenia</w:t>
            </w:r>
          </w:p>
        </w:tc>
        <w:tc>
          <w:tcPr>
            <w:tcW w:w="990" w:type="dxa"/>
            <w:tcBorders>
              <w:top w:val="single" w:sz="6" w:space="0" w:color="AEAEAE"/>
              <w:left w:val="single" w:sz="6" w:space="0" w:color="AEAEAE"/>
              <w:bottom w:val="single" w:sz="6" w:space="0" w:color="AEAEAE"/>
              <w:right w:val="single" w:sz="6" w:space="0" w:color="AEAEAE"/>
            </w:tcBorders>
            <w:vAlign w:val="center"/>
          </w:tcPr>
          <w:p w14:paraId="65205F26" w14:textId="77777777" w:rsidR="002D58E4" w:rsidRDefault="00F721D4">
            <w:pPr>
              <w:rPr>
                <w:sz w:val="20"/>
                <w:szCs w:val="20"/>
              </w:rPr>
            </w:pPr>
            <w:r>
              <w:rPr>
                <w:sz w:val="20"/>
                <w:szCs w:val="20"/>
              </w:rPr>
              <w:t>Prospective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25EF15EA" w14:textId="77777777" w:rsidR="002D58E4" w:rsidRDefault="00F721D4">
            <w:pPr>
              <w:jc w:val="center"/>
              <w:rPr>
                <w:sz w:val="20"/>
                <w:szCs w:val="20"/>
              </w:rPr>
            </w:pPr>
            <w:r>
              <w:rPr>
                <w:sz w:val="20"/>
                <w:szCs w:val="20"/>
              </w:rPr>
              <w:t>5</w:t>
            </w:r>
          </w:p>
        </w:tc>
        <w:tc>
          <w:tcPr>
            <w:tcW w:w="2700" w:type="dxa"/>
            <w:tcBorders>
              <w:top w:val="single" w:sz="6" w:space="0" w:color="AEAEAE"/>
              <w:left w:val="single" w:sz="6" w:space="0" w:color="AEAEAE"/>
              <w:bottom w:val="single" w:sz="6" w:space="0" w:color="AEAEAE"/>
              <w:right w:val="single" w:sz="6" w:space="0" w:color="AEAEAE"/>
            </w:tcBorders>
            <w:vAlign w:val="center"/>
          </w:tcPr>
          <w:p w14:paraId="60287511" w14:textId="77777777" w:rsidR="002D58E4" w:rsidRDefault="00F721D4">
            <w:pPr>
              <w:rPr>
                <w:sz w:val="20"/>
                <w:szCs w:val="20"/>
              </w:rPr>
            </w:pPr>
            <w:r>
              <w:rPr>
                <w:sz w:val="20"/>
                <w:szCs w:val="20"/>
              </w:rPr>
              <w:t>Thirty-three patients (22 male, 11 female), median age 5.5 (range 2-13). Borrelia lymphocytoma (BL) clinically diagnosed.</w:t>
            </w:r>
          </w:p>
          <w:p w14:paraId="0B1FFCD3" w14:textId="77777777" w:rsidR="002D58E4" w:rsidRDefault="002D58E4">
            <w:pPr>
              <w:rPr>
                <w:sz w:val="20"/>
                <w:szCs w:val="20"/>
              </w:rPr>
            </w:pPr>
          </w:p>
          <w:p w14:paraId="6532D07D" w14:textId="77777777" w:rsidR="002D58E4" w:rsidRDefault="00F721D4">
            <w:pPr>
              <w:rPr>
                <w:sz w:val="20"/>
                <w:szCs w:val="20"/>
              </w:rPr>
            </w:pPr>
            <w:r>
              <w:rPr>
                <w:sz w:val="20"/>
                <w:szCs w:val="20"/>
              </w:rPr>
              <w:t>Positive antibody titer by IFA or indirect chemiluminescence immunoassay (LIASON).</w:t>
            </w:r>
          </w:p>
          <w:p w14:paraId="69754132" w14:textId="77777777" w:rsidR="002D58E4" w:rsidRDefault="002D58E4">
            <w:pPr>
              <w:rPr>
                <w:sz w:val="20"/>
                <w:szCs w:val="20"/>
              </w:rPr>
            </w:pPr>
          </w:p>
          <w:p w14:paraId="525309AF" w14:textId="77777777" w:rsidR="002D58E4" w:rsidRDefault="00F721D4">
            <w:pPr>
              <w:rPr>
                <w:sz w:val="20"/>
                <w:szCs w:val="20"/>
              </w:rPr>
            </w:pPr>
            <w:r>
              <w:rPr>
                <w:sz w:val="20"/>
                <w:szCs w:val="20"/>
              </w:rPr>
              <w:t>9% (3 of 33) patients had concomitant BL and EM. 3% (1 of 33) of patients had history of skin lesion (possibly EM) before inclusion into the study.</w:t>
            </w:r>
          </w:p>
        </w:tc>
        <w:tc>
          <w:tcPr>
            <w:tcW w:w="3168" w:type="dxa"/>
            <w:tcBorders>
              <w:top w:val="single" w:sz="6" w:space="0" w:color="AEAEAE"/>
              <w:left w:val="single" w:sz="6" w:space="0" w:color="AEAEAE"/>
              <w:bottom w:val="single" w:sz="6" w:space="0" w:color="AEAEAE"/>
              <w:right w:val="single" w:sz="6" w:space="0" w:color="AEAEAE"/>
            </w:tcBorders>
            <w:vAlign w:val="center"/>
          </w:tcPr>
          <w:p w14:paraId="56A75557" w14:textId="77777777" w:rsidR="002D58E4" w:rsidRDefault="00F721D4">
            <w:pPr>
              <w:rPr>
                <w:sz w:val="20"/>
                <w:szCs w:val="20"/>
              </w:rPr>
            </w:pPr>
            <w:r>
              <w:rPr>
                <w:sz w:val="20"/>
                <w:szCs w:val="20"/>
              </w:rPr>
              <w:t>Interval between tick bite and time when skin lesion was first noticed by patient was significantly shorter in patients with tick bite at site of later BL than those with BL elsewhere.</w:t>
            </w:r>
          </w:p>
          <w:p w14:paraId="6C81D17B" w14:textId="77777777" w:rsidR="002D58E4" w:rsidRDefault="002D58E4">
            <w:pPr>
              <w:rPr>
                <w:sz w:val="20"/>
                <w:szCs w:val="20"/>
              </w:rPr>
            </w:pPr>
          </w:p>
          <w:p w14:paraId="4B4E4495" w14:textId="77777777" w:rsidR="002D58E4" w:rsidRDefault="00F721D4">
            <w:pPr>
              <w:rPr>
                <w:sz w:val="20"/>
                <w:szCs w:val="20"/>
              </w:rPr>
            </w:pPr>
            <w:r>
              <w:rPr>
                <w:sz w:val="20"/>
                <w:szCs w:val="20"/>
              </w:rPr>
              <w:t>In 91% (30 of 33) of patients with BL the disease began with skin lesions, in 6% (2 of 33) with systemic symptoms and in 3% (1 of 33) with history of untreated solitary erythema migrans.</w:t>
            </w:r>
          </w:p>
          <w:p w14:paraId="14A9ED5C" w14:textId="77777777" w:rsidR="002D58E4" w:rsidRDefault="002D58E4">
            <w:pPr>
              <w:rPr>
                <w:sz w:val="20"/>
                <w:szCs w:val="20"/>
              </w:rPr>
            </w:pPr>
          </w:p>
          <w:p w14:paraId="5603A51B" w14:textId="77777777" w:rsidR="002D58E4" w:rsidRDefault="00F721D4">
            <w:pPr>
              <w:rPr>
                <w:sz w:val="20"/>
                <w:szCs w:val="20"/>
              </w:rPr>
            </w:pPr>
            <w:r>
              <w:rPr>
                <w:sz w:val="20"/>
                <w:szCs w:val="20"/>
              </w:rPr>
              <w:t>27% (9 of 33) of patients with BL had other clinical signs of infections: regional lymphadenopathy in 24% (8 of 33) and 3% (1 of 33) had conjunctivitis.</w:t>
            </w:r>
          </w:p>
        </w:tc>
        <w:tc>
          <w:tcPr>
            <w:tcW w:w="2016" w:type="dxa"/>
            <w:tcBorders>
              <w:top w:val="single" w:sz="6" w:space="0" w:color="AEAEAE"/>
              <w:left w:val="single" w:sz="6" w:space="0" w:color="AEAEAE"/>
              <w:bottom w:val="single" w:sz="6" w:space="0" w:color="AEAEAE"/>
              <w:right w:val="single" w:sz="6" w:space="0" w:color="AEAEAE"/>
            </w:tcBorders>
            <w:vAlign w:val="center"/>
          </w:tcPr>
          <w:p w14:paraId="64E1EFF9" w14:textId="77777777" w:rsidR="002D58E4" w:rsidRDefault="00F721D4">
            <w:pPr>
              <w:rPr>
                <w:sz w:val="20"/>
                <w:szCs w:val="20"/>
              </w:rPr>
            </w:pPr>
            <w:r>
              <w:rPr>
                <w:sz w:val="20"/>
                <w:szCs w:val="20"/>
              </w:rPr>
              <w:t>Antibiotic treatment according to Slovenian recommendations for early Lyme borrelia (LB) in children.</w:t>
            </w:r>
          </w:p>
          <w:p w14:paraId="4AC00444" w14:textId="77777777" w:rsidR="002D58E4" w:rsidRDefault="002D58E4">
            <w:pPr>
              <w:rPr>
                <w:sz w:val="20"/>
                <w:szCs w:val="20"/>
              </w:rPr>
            </w:pPr>
          </w:p>
          <w:p w14:paraId="43707241" w14:textId="77777777" w:rsidR="002D58E4" w:rsidRDefault="00F721D4">
            <w:pPr>
              <w:rPr>
                <w:sz w:val="20"/>
                <w:szCs w:val="20"/>
              </w:rPr>
            </w:pPr>
            <w:r>
              <w:rPr>
                <w:sz w:val="20"/>
                <w:szCs w:val="20"/>
              </w:rPr>
              <w:t>43% of patients treated with azithromycin, 39% treated with  penicillin VK, 15% amoxicillin, and 3% ceftriaxone (patient with concomitant meningitis).</w:t>
            </w:r>
          </w:p>
          <w:p w14:paraId="4BDC0161" w14:textId="77777777" w:rsidR="002D58E4" w:rsidRDefault="002D58E4">
            <w:pPr>
              <w:rPr>
                <w:sz w:val="20"/>
                <w:szCs w:val="20"/>
              </w:rPr>
            </w:pPr>
          </w:p>
        </w:tc>
        <w:tc>
          <w:tcPr>
            <w:tcW w:w="4257" w:type="dxa"/>
            <w:tcBorders>
              <w:top w:val="single" w:sz="6" w:space="0" w:color="AEAEAE"/>
              <w:left w:val="single" w:sz="6" w:space="0" w:color="AEAEAE"/>
              <w:bottom w:val="single" w:sz="6" w:space="0" w:color="AEAEAE"/>
              <w:right w:val="single" w:sz="6" w:space="0" w:color="AEAEAE"/>
            </w:tcBorders>
            <w:vAlign w:val="center"/>
          </w:tcPr>
          <w:p w14:paraId="522DB0F1" w14:textId="77777777" w:rsidR="002D58E4" w:rsidRDefault="00F721D4">
            <w:pPr>
              <w:rPr>
                <w:sz w:val="20"/>
                <w:szCs w:val="20"/>
              </w:rPr>
            </w:pPr>
            <w:r>
              <w:rPr>
                <w:sz w:val="20"/>
                <w:szCs w:val="20"/>
              </w:rPr>
              <w:t>Positive borrelial serum antibody titers identified in 40% (12 of 30) patients with BL.</w:t>
            </w:r>
          </w:p>
          <w:p w14:paraId="3DE9EB10" w14:textId="77777777" w:rsidR="002D58E4" w:rsidRDefault="002D58E4">
            <w:pPr>
              <w:rPr>
                <w:sz w:val="20"/>
                <w:szCs w:val="20"/>
              </w:rPr>
            </w:pPr>
          </w:p>
          <w:p w14:paraId="51EB92AA" w14:textId="77777777" w:rsidR="002D58E4" w:rsidRDefault="00F721D4">
            <w:pPr>
              <w:rPr>
                <w:sz w:val="20"/>
                <w:szCs w:val="20"/>
              </w:rPr>
            </w:pPr>
            <w:r>
              <w:rPr>
                <w:sz w:val="20"/>
                <w:szCs w:val="20"/>
              </w:rPr>
              <w:t xml:space="preserve">79% (26 of 33) of patients with BL were followed up . Median duration of BL (in 24 patients) was 16 days (range, 2-46 days), and the median duration of systemic symptoms (in 5 patients) was 15 days (range, 3-40). </w:t>
            </w:r>
          </w:p>
          <w:p w14:paraId="55665308" w14:textId="77777777" w:rsidR="002D58E4" w:rsidRDefault="002D58E4">
            <w:pPr>
              <w:rPr>
                <w:sz w:val="20"/>
                <w:szCs w:val="20"/>
              </w:rPr>
            </w:pPr>
          </w:p>
          <w:p w14:paraId="518C3A7D" w14:textId="77777777" w:rsidR="002D58E4" w:rsidRDefault="00F721D4">
            <w:pPr>
              <w:rPr>
                <w:sz w:val="20"/>
                <w:szCs w:val="20"/>
              </w:rPr>
            </w:pPr>
            <w:r>
              <w:rPr>
                <w:sz w:val="20"/>
                <w:szCs w:val="20"/>
              </w:rPr>
              <w:t xml:space="preserve">In 15% (4 of 33) of patients the symptoms appeared during or after treatment. 4% (1 of 33) patients had a Jarisch-Herxheimer reaction. </w:t>
            </w:r>
          </w:p>
          <w:p w14:paraId="0BACAC6C" w14:textId="77777777" w:rsidR="002D58E4" w:rsidRDefault="002D58E4">
            <w:pPr>
              <w:rPr>
                <w:sz w:val="20"/>
                <w:szCs w:val="20"/>
              </w:rPr>
            </w:pPr>
          </w:p>
          <w:p w14:paraId="7A5F6AFF" w14:textId="77777777" w:rsidR="002D58E4" w:rsidRDefault="00F721D4">
            <w:pPr>
              <w:rPr>
                <w:sz w:val="20"/>
                <w:szCs w:val="20"/>
              </w:rPr>
            </w:pPr>
            <w:r>
              <w:rPr>
                <w:sz w:val="20"/>
                <w:szCs w:val="20"/>
              </w:rPr>
              <w:t>BL can be treated with the same antibiotic regimen as used for treatment of erythema migrans. All patients had no signs or symptoms of Lyme disease3 months after inclusion into the study.</w:t>
            </w:r>
          </w:p>
        </w:tc>
      </w:tr>
      <w:tr w:rsidR="002D58E4" w14:paraId="1BB2085C"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0881DFE" w14:textId="77777777" w:rsidR="002D58E4" w:rsidRDefault="00F721D4">
            <w:pPr>
              <w:rPr>
                <w:sz w:val="20"/>
                <w:szCs w:val="20"/>
              </w:rPr>
            </w:pPr>
            <w:r>
              <w:rPr>
                <w:sz w:val="20"/>
                <w:szCs w:val="20"/>
              </w:rPr>
              <w:t>Glatz et al., 2015</w:t>
            </w:r>
          </w:p>
          <w:p w14:paraId="70F36626" w14:textId="77777777" w:rsidR="002D58E4" w:rsidRDefault="002D58E4">
            <w:pPr>
              <w:rPr>
                <w:sz w:val="20"/>
                <w:szCs w:val="20"/>
              </w:rPr>
            </w:pPr>
          </w:p>
          <w:p w14:paraId="44A2A795" w14:textId="77777777" w:rsidR="002D58E4" w:rsidRDefault="00F721D4">
            <w:pPr>
              <w:rPr>
                <w:sz w:val="20"/>
                <w:szCs w:val="20"/>
              </w:rPr>
            </w:pPr>
            <w:r>
              <w:rPr>
                <w:sz w:val="20"/>
                <w:szCs w:val="20"/>
              </w:rPr>
              <w:t>Austria</w:t>
            </w:r>
          </w:p>
        </w:tc>
        <w:tc>
          <w:tcPr>
            <w:tcW w:w="990" w:type="dxa"/>
            <w:tcBorders>
              <w:top w:val="single" w:sz="6" w:space="0" w:color="AEAEAE"/>
              <w:left w:val="single" w:sz="6" w:space="0" w:color="AEAEAE"/>
              <w:bottom w:val="single" w:sz="6" w:space="0" w:color="AEAEAE"/>
              <w:right w:val="single" w:sz="6" w:space="0" w:color="AEAEAE"/>
            </w:tcBorders>
            <w:vAlign w:val="center"/>
          </w:tcPr>
          <w:p w14:paraId="2F03C8A3" w14:textId="77777777" w:rsidR="002D58E4" w:rsidRDefault="00F721D4">
            <w:pPr>
              <w:rPr>
                <w:sz w:val="20"/>
                <w:szCs w:val="20"/>
              </w:rPr>
            </w:pPr>
            <w:r>
              <w:rPr>
                <w:sz w:val="20"/>
                <w:szCs w:val="20"/>
              </w:rPr>
              <w:t>Retrospective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F34CFF6" w14:textId="77777777" w:rsidR="002D58E4" w:rsidRDefault="00F721D4">
            <w:pPr>
              <w:jc w:val="center"/>
              <w:rPr>
                <w:sz w:val="20"/>
                <w:szCs w:val="20"/>
              </w:rPr>
            </w:pPr>
            <w:r>
              <w:rPr>
                <w:sz w:val="20"/>
                <w:szCs w:val="20"/>
              </w:rPr>
              <w:t>7</w:t>
            </w:r>
          </w:p>
        </w:tc>
        <w:tc>
          <w:tcPr>
            <w:tcW w:w="2700" w:type="dxa"/>
            <w:tcBorders>
              <w:top w:val="single" w:sz="6" w:space="0" w:color="AEAEAE"/>
              <w:left w:val="single" w:sz="6" w:space="0" w:color="AEAEAE"/>
              <w:bottom w:val="single" w:sz="6" w:space="0" w:color="AEAEAE"/>
              <w:right w:val="single" w:sz="6" w:space="0" w:color="AEAEAE"/>
            </w:tcBorders>
            <w:vAlign w:val="center"/>
          </w:tcPr>
          <w:p w14:paraId="681AD36D" w14:textId="77777777" w:rsidR="002D58E4" w:rsidRDefault="00F721D4">
            <w:pPr>
              <w:rPr>
                <w:sz w:val="20"/>
                <w:szCs w:val="20"/>
              </w:rPr>
            </w:pPr>
            <w:r>
              <w:rPr>
                <w:sz w:val="20"/>
                <w:szCs w:val="20"/>
              </w:rPr>
              <w:t>Borrelial lymphocytoma (BL) infection and erythema migrans (EM) was diagnosed by faculty dermatologists based on clinical case definitions in 204 pediatric patients. Median age 6 (range 2-12) for BL only and median age 9 (range 5-14) for concomitant BL and EM.</w:t>
            </w:r>
          </w:p>
          <w:p w14:paraId="682DEC3D" w14:textId="77777777" w:rsidR="002D58E4" w:rsidRDefault="002D58E4">
            <w:pPr>
              <w:rPr>
                <w:sz w:val="20"/>
                <w:szCs w:val="20"/>
              </w:rPr>
            </w:pPr>
          </w:p>
          <w:p w14:paraId="44CCD2BA" w14:textId="77777777" w:rsidR="002D58E4" w:rsidRDefault="00F721D4">
            <w:pPr>
              <w:rPr>
                <w:sz w:val="20"/>
                <w:szCs w:val="20"/>
              </w:rPr>
            </w:pPr>
            <w:r>
              <w:rPr>
                <w:sz w:val="20"/>
                <w:szCs w:val="20"/>
              </w:rPr>
              <w:t xml:space="preserve">21.6% (44 of 204 patients) of patients had BL. </w:t>
            </w:r>
          </w:p>
          <w:p w14:paraId="00BCF900" w14:textId="77777777" w:rsidR="002D58E4" w:rsidRDefault="002D58E4">
            <w:pPr>
              <w:rPr>
                <w:sz w:val="20"/>
                <w:szCs w:val="20"/>
              </w:rPr>
            </w:pPr>
          </w:p>
          <w:p w14:paraId="6CA916CA" w14:textId="77777777" w:rsidR="002D58E4" w:rsidRDefault="00F721D4">
            <w:pPr>
              <w:rPr>
                <w:sz w:val="20"/>
                <w:szCs w:val="20"/>
              </w:rPr>
            </w:pPr>
            <w:r>
              <w:rPr>
                <w:sz w:val="20"/>
                <w:szCs w:val="20"/>
              </w:rPr>
              <w:t>6% (12 of 204) of patients had concomitant BL and EM.</w:t>
            </w:r>
          </w:p>
        </w:tc>
        <w:tc>
          <w:tcPr>
            <w:tcW w:w="3168" w:type="dxa"/>
            <w:tcBorders>
              <w:top w:val="single" w:sz="6" w:space="0" w:color="AEAEAE"/>
              <w:left w:val="single" w:sz="6" w:space="0" w:color="AEAEAE"/>
              <w:bottom w:val="single" w:sz="6" w:space="0" w:color="AEAEAE"/>
              <w:right w:val="single" w:sz="6" w:space="0" w:color="AEAEAE"/>
            </w:tcBorders>
            <w:vAlign w:val="center"/>
          </w:tcPr>
          <w:p w14:paraId="2DDC4084" w14:textId="77777777" w:rsidR="002D58E4" w:rsidRDefault="00F721D4">
            <w:pPr>
              <w:rPr>
                <w:sz w:val="20"/>
                <w:szCs w:val="20"/>
              </w:rPr>
            </w:pPr>
            <w:r>
              <w:rPr>
                <w:sz w:val="20"/>
                <w:szCs w:val="20"/>
              </w:rPr>
              <w:t xml:space="preserve">BL is a non-tender, soft, well circumscribed, bluish-red nodule or plaque of 1-5 cm. </w:t>
            </w:r>
          </w:p>
          <w:p w14:paraId="75A3D401" w14:textId="77777777" w:rsidR="002D58E4" w:rsidRDefault="002D58E4">
            <w:pPr>
              <w:rPr>
                <w:sz w:val="20"/>
                <w:szCs w:val="20"/>
              </w:rPr>
            </w:pPr>
          </w:p>
          <w:p w14:paraId="29091237" w14:textId="77777777" w:rsidR="002D58E4" w:rsidRDefault="00F721D4">
            <w:pPr>
              <w:rPr>
                <w:sz w:val="20"/>
                <w:szCs w:val="20"/>
              </w:rPr>
            </w:pPr>
            <w:r>
              <w:rPr>
                <w:sz w:val="20"/>
                <w:szCs w:val="20"/>
              </w:rPr>
              <w:t>Patients whom BL was surrounded by solitary EM represented a combination of skin manifestations (solitary erythema migrans is an expanding round to oval, sharply demarcated, red to bluish-red erythema of at least 5 cm in diameter with or without central clearing).</w:t>
            </w:r>
          </w:p>
          <w:p w14:paraId="5C0C9887" w14:textId="77777777" w:rsidR="002D58E4" w:rsidRDefault="002D58E4">
            <w:pPr>
              <w:rPr>
                <w:sz w:val="20"/>
                <w:szCs w:val="20"/>
              </w:rPr>
            </w:pPr>
          </w:p>
        </w:tc>
        <w:tc>
          <w:tcPr>
            <w:tcW w:w="2016" w:type="dxa"/>
            <w:tcBorders>
              <w:top w:val="single" w:sz="6" w:space="0" w:color="AEAEAE"/>
              <w:left w:val="single" w:sz="6" w:space="0" w:color="AEAEAE"/>
              <w:bottom w:val="single" w:sz="6" w:space="0" w:color="AEAEAE"/>
              <w:right w:val="single" w:sz="6" w:space="0" w:color="AEAEAE"/>
            </w:tcBorders>
            <w:vAlign w:val="center"/>
          </w:tcPr>
          <w:p w14:paraId="6A4456FF" w14:textId="77777777" w:rsidR="002D58E4" w:rsidRDefault="00F721D4">
            <w:pPr>
              <w:rPr>
                <w:sz w:val="20"/>
                <w:szCs w:val="20"/>
              </w:rPr>
            </w:pPr>
            <w:r>
              <w:rPr>
                <w:sz w:val="20"/>
                <w:szCs w:val="20"/>
              </w:rPr>
              <w:t>At least 50% of patients in all treatment groups were treated with amoxicillin and about one-third of patients were treated with penicillin VK.</w:t>
            </w:r>
          </w:p>
          <w:p w14:paraId="5ACA5A50" w14:textId="77777777" w:rsidR="002D58E4" w:rsidRDefault="002D58E4">
            <w:pPr>
              <w:rPr>
                <w:sz w:val="20"/>
                <w:szCs w:val="20"/>
              </w:rPr>
            </w:pPr>
          </w:p>
          <w:p w14:paraId="1FF79B90" w14:textId="77777777" w:rsidR="002D58E4" w:rsidRDefault="00F721D4">
            <w:pPr>
              <w:rPr>
                <w:sz w:val="20"/>
                <w:szCs w:val="20"/>
              </w:rPr>
            </w:pPr>
            <w:r>
              <w:rPr>
                <w:sz w:val="20"/>
                <w:szCs w:val="20"/>
              </w:rPr>
              <w:t xml:space="preserve">Antibiotics administered orally in body-weight adjusted doses for 2-4 weeks for 203 of 204 patients. </w:t>
            </w:r>
          </w:p>
        </w:tc>
        <w:tc>
          <w:tcPr>
            <w:tcW w:w="4257" w:type="dxa"/>
            <w:tcBorders>
              <w:top w:val="single" w:sz="6" w:space="0" w:color="AEAEAE"/>
              <w:left w:val="single" w:sz="6" w:space="0" w:color="AEAEAE"/>
              <w:bottom w:val="single" w:sz="6" w:space="0" w:color="AEAEAE"/>
              <w:right w:val="single" w:sz="6" w:space="0" w:color="AEAEAE"/>
            </w:tcBorders>
            <w:vAlign w:val="center"/>
          </w:tcPr>
          <w:p w14:paraId="79179762" w14:textId="77777777" w:rsidR="002D58E4" w:rsidRDefault="002D58E4">
            <w:pPr>
              <w:rPr>
                <w:sz w:val="20"/>
                <w:szCs w:val="20"/>
              </w:rPr>
            </w:pPr>
          </w:p>
          <w:p w14:paraId="19179406" w14:textId="77777777" w:rsidR="002D58E4" w:rsidRDefault="00F721D4">
            <w:pPr>
              <w:rPr>
                <w:sz w:val="20"/>
                <w:szCs w:val="20"/>
              </w:rPr>
            </w:pPr>
            <w:r>
              <w:rPr>
                <w:sz w:val="20"/>
                <w:szCs w:val="20"/>
              </w:rPr>
              <w:t>Median time of 2 months until resolution of BL was significantly longer than resolution time (1-2 weeks) for EM (solitary and multiple).</w:t>
            </w:r>
          </w:p>
          <w:p w14:paraId="389662C0" w14:textId="77777777" w:rsidR="002D58E4" w:rsidRDefault="002D58E4">
            <w:pPr>
              <w:rPr>
                <w:sz w:val="20"/>
                <w:szCs w:val="20"/>
              </w:rPr>
            </w:pPr>
          </w:p>
          <w:p w14:paraId="7C573EE8" w14:textId="77777777" w:rsidR="002D58E4" w:rsidRDefault="00F721D4">
            <w:pPr>
              <w:rPr>
                <w:sz w:val="20"/>
                <w:szCs w:val="20"/>
              </w:rPr>
            </w:pPr>
            <w:r>
              <w:rPr>
                <w:sz w:val="20"/>
                <w:szCs w:val="20"/>
              </w:rPr>
              <w:t>No significant difference in resolution of BL between patients who had BL and patients who had concomitant BL and EM.</w:t>
            </w:r>
          </w:p>
          <w:p w14:paraId="3A153E59" w14:textId="77777777" w:rsidR="002D58E4" w:rsidRDefault="002D58E4">
            <w:pPr>
              <w:rPr>
                <w:sz w:val="20"/>
                <w:szCs w:val="20"/>
              </w:rPr>
            </w:pPr>
          </w:p>
          <w:p w14:paraId="5C059DBE" w14:textId="77777777" w:rsidR="002D58E4" w:rsidRDefault="00F721D4">
            <w:pPr>
              <w:rPr>
                <w:sz w:val="20"/>
                <w:szCs w:val="20"/>
              </w:rPr>
            </w:pPr>
            <w:r>
              <w:rPr>
                <w:sz w:val="20"/>
                <w:szCs w:val="20"/>
              </w:rPr>
              <w:t xml:space="preserve">Extracutaneous symptoms disappeared within a few days after starting therapy in most children without significant difference between groups; extracutaneous symptoms in children with BL were particularly short-lived. </w:t>
            </w:r>
          </w:p>
          <w:p w14:paraId="5E8171D1" w14:textId="77777777" w:rsidR="002D58E4" w:rsidRDefault="002D58E4">
            <w:pPr>
              <w:rPr>
                <w:sz w:val="20"/>
                <w:szCs w:val="20"/>
              </w:rPr>
            </w:pPr>
          </w:p>
          <w:p w14:paraId="26F83911" w14:textId="77777777" w:rsidR="002D58E4" w:rsidRDefault="00F721D4">
            <w:pPr>
              <w:rPr>
                <w:sz w:val="20"/>
                <w:szCs w:val="20"/>
              </w:rPr>
            </w:pPr>
            <w:r>
              <w:rPr>
                <w:sz w:val="20"/>
                <w:szCs w:val="20"/>
              </w:rPr>
              <w:t xml:space="preserve">None of the patients developed any later sequelae during a follow-up period of 6-24 months.  </w:t>
            </w:r>
          </w:p>
        </w:tc>
      </w:tr>
      <w:tr w:rsidR="002D58E4" w14:paraId="022EB2C1"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7F77A54" w14:textId="77777777" w:rsidR="002D58E4" w:rsidRPr="002914A2" w:rsidRDefault="00F721D4">
            <w:pPr>
              <w:rPr>
                <w:sz w:val="20"/>
                <w:szCs w:val="20"/>
                <w:lang w:val="fr-CA"/>
              </w:rPr>
            </w:pPr>
            <w:r w:rsidRPr="002914A2">
              <w:rPr>
                <w:sz w:val="20"/>
                <w:szCs w:val="20"/>
                <w:lang w:val="fr-CA"/>
              </w:rPr>
              <w:t>Maraspin, et al., 2016</w:t>
            </w:r>
          </w:p>
          <w:p w14:paraId="0C1CB83E" w14:textId="77777777" w:rsidR="002D58E4" w:rsidRPr="002914A2" w:rsidRDefault="002D58E4">
            <w:pPr>
              <w:rPr>
                <w:sz w:val="20"/>
                <w:szCs w:val="20"/>
                <w:lang w:val="fr-CA"/>
              </w:rPr>
            </w:pPr>
          </w:p>
          <w:p w14:paraId="44D4E031" w14:textId="77777777" w:rsidR="002D58E4" w:rsidRPr="002914A2" w:rsidRDefault="00F721D4">
            <w:pPr>
              <w:rPr>
                <w:sz w:val="20"/>
                <w:szCs w:val="20"/>
                <w:lang w:val="fr-CA"/>
              </w:rPr>
            </w:pPr>
            <w:r w:rsidRPr="002914A2">
              <w:rPr>
                <w:sz w:val="20"/>
                <w:szCs w:val="20"/>
                <w:lang w:val="fr-CA"/>
              </w:rPr>
              <w:t>Ljubljana, Slovenia</w:t>
            </w:r>
          </w:p>
        </w:tc>
        <w:tc>
          <w:tcPr>
            <w:tcW w:w="990" w:type="dxa"/>
            <w:tcBorders>
              <w:top w:val="single" w:sz="6" w:space="0" w:color="AEAEAE"/>
              <w:left w:val="single" w:sz="6" w:space="0" w:color="AEAEAE"/>
              <w:bottom w:val="single" w:sz="6" w:space="0" w:color="AEAEAE"/>
              <w:right w:val="single" w:sz="6" w:space="0" w:color="AEAEAE"/>
            </w:tcBorders>
            <w:vAlign w:val="center"/>
          </w:tcPr>
          <w:p w14:paraId="35A97E16"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4256D401" w14:textId="77777777" w:rsidR="002D58E4" w:rsidRDefault="00F721D4">
            <w:pPr>
              <w:jc w:val="center"/>
              <w:rPr>
                <w:sz w:val="20"/>
                <w:szCs w:val="20"/>
              </w:rPr>
            </w:pPr>
            <w:r>
              <w:rPr>
                <w:sz w:val="20"/>
                <w:szCs w:val="20"/>
              </w:rPr>
              <w:t>7</w:t>
            </w:r>
          </w:p>
        </w:tc>
        <w:tc>
          <w:tcPr>
            <w:tcW w:w="2700" w:type="dxa"/>
            <w:tcBorders>
              <w:top w:val="single" w:sz="6" w:space="0" w:color="AEAEAE"/>
              <w:left w:val="single" w:sz="6" w:space="0" w:color="AEAEAE"/>
              <w:bottom w:val="single" w:sz="6" w:space="0" w:color="AEAEAE"/>
              <w:right w:val="single" w:sz="6" w:space="0" w:color="AEAEAE"/>
            </w:tcBorders>
            <w:vAlign w:val="center"/>
          </w:tcPr>
          <w:p w14:paraId="1810052E" w14:textId="77777777" w:rsidR="002D58E4" w:rsidRDefault="00F721D4">
            <w:pPr>
              <w:rPr>
                <w:sz w:val="20"/>
                <w:szCs w:val="20"/>
              </w:rPr>
            </w:pPr>
            <w:r>
              <w:rPr>
                <w:i/>
                <w:sz w:val="20"/>
                <w:szCs w:val="20"/>
              </w:rPr>
              <w:t>Borrelial</w:t>
            </w:r>
            <w:r>
              <w:rPr>
                <w:sz w:val="20"/>
                <w:szCs w:val="20"/>
              </w:rPr>
              <w:t xml:space="preserve"> infection was indicated by a reliable history of erythema migrans ≤6 weeks before borrelial lymphocytoma and presence of borrelial antibodies in serum and/or isolation of </w:t>
            </w:r>
            <w:r>
              <w:rPr>
                <w:i/>
                <w:sz w:val="20"/>
                <w:szCs w:val="20"/>
              </w:rPr>
              <w:t>Borrelia</w:t>
            </w:r>
            <w:r>
              <w:rPr>
                <w:sz w:val="20"/>
                <w:szCs w:val="20"/>
              </w:rPr>
              <w:t xml:space="preserve"> from tissue, erythema migrans, blood, or cerebrospinal fluid. </w:t>
            </w:r>
          </w:p>
          <w:p w14:paraId="39A36EE2" w14:textId="77777777" w:rsidR="002D58E4" w:rsidRDefault="002D58E4">
            <w:pPr>
              <w:rPr>
                <w:sz w:val="20"/>
                <w:szCs w:val="20"/>
              </w:rPr>
            </w:pPr>
          </w:p>
          <w:p w14:paraId="4DE19E48" w14:textId="77777777" w:rsidR="002D58E4" w:rsidRDefault="00F721D4">
            <w:pPr>
              <w:rPr>
                <w:sz w:val="20"/>
                <w:szCs w:val="20"/>
              </w:rPr>
            </w:pPr>
            <w:r>
              <w:rPr>
                <w:sz w:val="20"/>
                <w:szCs w:val="20"/>
              </w:rPr>
              <w:t>72.2% (104 of 144) of patients experienced erythema migrans lesions concomitant with borrelial lymphocytoma. 11 of 144 (7.2%) patients presented with other objective symptoms of Lyme disease, such as arthritis, meningitis, facial palsy, or cardiac involvement. 56.2% (81 of 144) of patients recalled a recent tick bite.</w:t>
            </w:r>
          </w:p>
        </w:tc>
        <w:tc>
          <w:tcPr>
            <w:tcW w:w="3168" w:type="dxa"/>
            <w:tcBorders>
              <w:top w:val="single" w:sz="6" w:space="0" w:color="AEAEAE"/>
              <w:left w:val="single" w:sz="6" w:space="0" w:color="AEAEAE"/>
              <w:bottom w:val="single" w:sz="6" w:space="0" w:color="AEAEAE"/>
              <w:right w:val="single" w:sz="6" w:space="0" w:color="AEAEAE"/>
            </w:tcBorders>
            <w:vAlign w:val="center"/>
          </w:tcPr>
          <w:p w14:paraId="63820340" w14:textId="77777777" w:rsidR="002D58E4" w:rsidRDefault="00F721D4">
            <w:pPr>
              <w:rPr>
                <w:sz w:val="20"/>
                <w:szCs w:val="20"/>
              </w:rPr>
            </w:pPr>
            <w:r>
              <w:rPr>
                <w:sz w:val="20"/>
                <w:szCs w:val="20"/>
              </w:rPr>
              <w:t>144 adults (median age 49, range 35-60) were diagnosed with borrelial lymphocytoma at a single outpatient clinic over a 29-year period. The characteristic skin lesion was most commonly found on the breast or the ear lobe.</w:t>
            </w:r>
          </w:p>
          <w:p w14:paraId="0DC398F4" w14:textId="77777777" w:rsidR="002D58E4" w:rsidRDefault="002D58E4">
            <w:pPr>
              <w:rPr>
                <w:sz w:val="20"/>
                <w:szCs w:val="20"/>
              </w:rPr>
            </w:pPr>
          </w:p>
          <w:p w14:paraId="23CF6EEE" w14:textId="77777777" w:rsidR="002D58E4" w:rsidRDefault="00F721D4">
            <w:pPr>
              <w:rPr>
                <w:sz w:val="20"/>
                <w:szCs w:val="20"/>
              </w:rPr>
            </w:pPr>
            <w:r>
              <w:rPr>
                <w:sz w:val="20"/>
                <w:szCs w:val="20"/>
              </w:rPr>
              <w:t xml:space="preserve">All patients had typical clinical appearance of the skin lesion or clinical presentation with positive histological findings, and evidence of borrelial infection. </w:t>
            </w:r>
          </w:p>
          <w:p w14:paraId="67DF7354" w14:textId="77777777" w:rsidR="002D58E4" w:rsidRDefault="002D58E4">
            <w:pPr>
              <w:rPr>
                <w:sz w:val="20"/>
                <w:szCs w:val="20"/>
              </w:rPr>
            </w:pPr>
          </w:p>
          <w:p w14:paraId="025859AD" w14:textId="77777777" w:rsidR="002D58E4" w:rsidRDefault="00F721D4">
            <w:pPr>
              <w:rPr>
                <w:sz w:val="20"/>
                <w:szCs w:val="20"/>
              </w:rPr>
            </w:pPr>
            <w:r>
              <w:rPr>
                <w:sz w:val="20"/>
                <w:szCs w:val="20"/>
              </w:rPr>
              <w:t>Most patients had been experiencing symptoms associated with borrelial lymphocytoma &lt;30 days (median 27 days, IQR 9, 68).</w:t>
            </w:r>
          </w:p>
          <w:p w14:paraId="1274F481" w14:textId="77777777" w:rsidR="002D58E4" w:rsidRDefault="002D58E4">
            <w:pPr>
              <w:rPr>
                <w:sz w:val="20"/>
                <w:szCs w:val="20"/>
              </w:rPr>
            </w:pPr>
          </w:p>
          <w:p w14:paraId="2BD4A440" w14:textId="77777777" w:rsidR="002D58E4" w:rsidRDefault="002D58E4">
            <w:pPr>
              <w:rPr>
                <w:sz w:val="20"/>
                <w:szCs w:val="20"/>
              </w:rPr>
            </w:pPr>
          </w:p>
          <w:p w14:paraId="17ADFC40" w14:textId="77777777" w:rsidR="002D58E4" w:rsidRDefault="002D58E4">
            <w:pPr>
              <w:rPr>
                <w:sz w:val="20"/>
                <w:szCs w:val="20"/>
              </w:rPr>
            </w:pPr>
          </w:p>
          <w:p w14:paraId="08B2E44B" w14:textId="77777777" w:rsidR="002D58E4" w:rsidRDefault="002D58E4">
            <w:pPr>
              <w:rPr>
                <w:sz w:val="20"/>
                <w:szCs w:val="20"/>
              </w:rPr>
            </w:pPr>
          </w:p>
        </w:tc>
        <w:tc>
          <w:tcPr>
            <w:tcW w:w="2016" w:type="dxa"/>
            <w:tcBorders>
              <w:top w:val="single" w:sz="6" w:space="0" w:color="AEAEAE"/>
              <w:left w:val="single" w:sz="6" w:space="0" w:color="AEAEAE"/>
              <w:bottom w:val="single" w:sz="6" w:space="0" w:color="AEAEAE"/>
              <w:right w:val="single" w:sz="6" w:space="0" w:color="AEAEAE"/>
            </w:tcBorders>
            <w:vAlign w:val="center"/>
          </w:tcPr>
          <w:p w14:paraId="51ECB7D5" w14:textId="77777777" w:rsidR="002D58E4" w:rsidRDefault="00F721D4">
            <w:pPr>
              <w:rPr>
                <w:sz w:val="20"/>
                <w:szCs w:val="20"/>
              </w:rPr>
            </w:pPr>
            <w:r>
              <w:rPr>
                <w:sz w:val="20"/>
                <w:szCs w:val="20"/>
              </w:rPr>
              <w:t>79.2% (114 of 144) of patients were treated with oral antibiotics- including doxycycline amoxicillin, penicillin, cefuroxime and azithromycin.</w:t>
            </w:r>
          </w:p>
          <w:p w14:paraId="01555521" w14:textId="77777777" w:rsidR="002D58E4" w:rsidRDefault="002D58E4">
            <w:pPr>
              <w:rPr>
                <w:sz w:val="20"/>
                <w:szCs w:val="20"/>
              </w:rPr>
            </w:pPr>
          </w:p>
          <w:p w14:paraId="41AF71EF" w14:textId="77777777" w:rsidR="002D58E4" w:rsidRDefault="00F721D4">
            <w:pPr>
              <w:rPr>
                <w:sz w:val="20"/>
                <w:szCs w:val="20"/>
              </w:rPr>
            </w:pPr>
            <w:r>
              <w:rPr>
                <w:sz w:val="20"/>
                <w:szCs w:val="20"/>
              </w:rPr>
              <w:t>20.8% (30 of 144) of patients received IV ceftriaxone.</w:t>
            </w:r>
          </w:p>
        </w:tc>
        <w:tc>
          <w:tcPr>
            <w:tcW w:w="4257" w:type="dxa"/>
            <w:tcBorders>
              <w:top w:val="single" w:sz="6" w:space="0" w:color="AEAEAE"/>
              <w:left w:val="single" w:sz="6" w:space="0" w:color="AEAEAE"/>
              <w:bottom w:val="single" w:sz="6" w:space="0" w:color="AEAEAE"/>
              <w:right w:val="single" w:sz="6" w:space="0" w:color="AEAEAE"/>
            </w:tcBorders>
            <w:vAlign w:val="center"/>
          </w:tcPr>
          <w:p w14:paraId="02B2B858" w14:textId="77777777" w:rsidR="002D58E4" w:rsidRDefault="00F721D4">
            <w:pPr>
              <w:rPr>
                <w:sz w:val="20"/>
                <w:szCs w:val="20"/>
              </w:rPr>
            </w:pPr>
            <w:r>
              <w:rPr>
                <w:sz w:val="20"/>
                <w:szCs w:val="20"/>
              </w:rPr>
              <w:t>Borrelial lymphocytoma disappeared within a median of 21 days (IQR 10, 30) after treatment initiation.</w:t>
            </w:r>
          </w:p>
          <w:p w14:paraId="1D56B0BB" w14:textId="77777777" w:rsidR="002D58E4" w:rsidRDefault="002D58E4">
            <w:pPr>
              <w:rPr>
                <w:sz w:val="20"/>
                <w:szCs w:val="20"/>
              </w:rPr>
            </w:pPr>
          </w:p>
          <w:p w14:paraId="21C6C896" w14:textId="77777777" w:rsidR="002D58E4" w:rsidRDefault="00F721D4">
            <w:pPr>
              <w:rPr>
                <w:sz w:val="20"/>
                <w:szCs w:val="20"/>
              </w:rPr>
            </w:pPr>
            <w:r>
              <w:rPr>
                <w:sz w:val="20"/>
                <w:szCs w:val="20"/>
              </w:rPr>
              <w:t>Symptoms typically resolved significantly more rapidly in younger patients and in patients who had a shorter duration of borrelial lymphocytoma prior to receiving treatment.</w:t>
            </w:r>
          </w:p>
          <w:p w14:paraId="6209D405" w14:textId="77777777" w:rsidR="002D58E4" w:rsidRDefault="002D58E4">
            <w:pPr>
              <w:rPr>
                <w:sz w:val="20"/>
                <w:szCs w:val="20"/>
              </w:rPr>
            </w:pPr>
          </w:p>
          <w:p w14:paraId="2E17A021" w14:textId="77777777" w:rsidR="002D58E4" w:rsidRDefault="00F721D4">
            <w:pPr>
              <w:rPr>
                <w:sz w:val="20"/>
                <w:szCs w:val="20"/>
              </w:rPr>
            </w:pPr>
            <w:r>
              <w:rPr>
                <w:sz w:val="20"/>
                <w:szCs w:val="20"/>
              </w:rPr>
              <w:t>9.7% (14 of 144) of patients experienced treatment failure.</w:t>
            </w:r>
          </w:p>
          <w:p w14:paraId="5B66E36F" w14:textId="77777777" w:rsidR="002D58E4" w:rsidRDefault="002D58E4">
            <w:pPr>
              <w:rPr>
                <w:sz w:val="20"/>
                <w:szCs w:val="20"/>
              </w:rPr>
            </w:pPr>
          </w:p>
          <w:p w14:paraId="1530042D" w14:textId="77777777" w:rsidR="002D58E4" w:rsidRDefault="00F721D4">
            <w:pPr>
              <w:rPr>
                <w:sz w:val="20"/>
                <w:szCs w:val="20"/>
              </w:rPr>
            </w:pPr>
            <w:r>
              <w:rPr>
                <w:sz w:val="20"/>
                <w:szCs w:val="20"/>
              </w:rPr>
              <w:t>Patients who had presented with signs of disseminated Lyme borreliosis experienced four times higher odds of treatment failure than those without (95%CI: 1.22, 13.07), emphasizing the importance of early diagnosis and treatment.</w:t>
            </w:r>
          </w:p>
          <w:p w14:paraId="6E1CE692" w14:textId="77777777" w:rsidR="002D58E4" w:rsidRDefault="002D58E4">
            <w:pPr>
              <w:rPr>
                <w:sz w:val="20"/>
                <w:szCs w:val="20"/>
              </w:rPr>
            </w:pPr>
          </w:p>
          <w:p w14:paraId="65C66007" w14:textId="77777777" w:rsidR="002D58E4" w:rsidRDefault="00F721D4">
            <w:pPr>
              <w:rPr>
                <w:sz w:val="20"/>
                <w:szCs w:val="20"/>
              </w:rPr>
            </w:pPr>
            <w:r>
              <w:rPr>
                <w:sz w:val="20"/>
                <w:szCs w:val="20"/>
              </w:rPr>
              <w:t xml:space="preserve">Fourteen-day antibiotic treatment used for erythema migrans is recommended for patients presenting with borrelial lymphocytoma. </w:t>
            </w:r>
          </w:p>
          <w:p w14:paraId="065EE974" w14:textId="77777777" w:rsidR="002D58E4" w:rsidRDefault="002D58E4">
            <w:pPr>
              <w:rPr>
                <w:sz w:val="20"/>
                <w:szCs w:val="20"/>
              </w:rPr>
            </w:pPr>
          </w:p>
        </w:tc>
      </w:tr>
    </w:tbl>
    <w:p w14:paraId="548C3EA6" w14:textId="77777777" w:rsidR="002D58E4" w:rsidRDefault="00F721D4" w:rsidP="00E343BA">
      <w:pPr>
        <w:ind w:right="-3980"/>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tbl>
      <w:tblPr>
        <w:tblStyle w:val="afffa"/>
        <w:tblW w:w="14880" w:type="dxa"/>
        <w:tblLayout w:type="fixed"/>
        <w:tblLook w:val="0600" w:firstRow="0" w:lastRow="0" w:firstColumn="0" w:lastColumn="0" w:noHBand="1" w:noVBand="1"/>
      </w:tblPr>
      <w:tblGrid>
        <w:gridCol w:w="1020"/>
        <w:gridCol w:w="990"/>
        <w:gridCol w:w="810"/>
        <w:gridCol w:w="2250"/>
        <w:gridCol w:w="2790"/>
        <w:gridCol w:w="2340"/>
        <w:gridCol w:w="4680"/>
      </w:tblGrid>
      <w:tr w:rsidR="002D58E4" w14:paraId="73CA5E3D" w14:textId="77777777">
        <w:trPr>
          <w:trHeight w:val="500"/>
        </w:trPr>
        <w:tc>
          <w:tcPr>
            <w:tcW w:w="14880" w:type="dxa"/>
            <w:gridSpan w:val="7"/>
          </w:tcPr>
          <w:p w14:paraId="234C4A6A" w14:textId="52B625A2" w:rsidR="002D58E4" w:rsidRDefault="00445E97">
            <w:pPr>
              <w:rPr>
                <w:b/>
                <w:sz w:val="32"/>
                <w:szCs w:val="32"/>
              </w:rPr>
            </w:pPr>
            <w:r>
              <w:rPr>
                <w:b/>
                <w:sz w:val="32"/>
                <w:szCs w:val="32"/>
              </w:rPr>
              <w:t>XXVII</w:t>
            </w:r>
            <w:r w:rsidR="00F721D4">
              <w:rPr>
                <w:b/>
                <w:sz w:val="32"/>
                <w:szCs w:val="32"/>
              </w:rPr>
              <w:t>. What is the preferred antibiotic regimen for the treatment of acrodermatitis chronica atrophicans?</w:t>
            </w:r>
          </w:p>
          <w:p w14:paraId="40CF8266" w14:textId="77777777" w:rsidR="002D58E4" w:rsidRDefault="002D58E4">
            <w:pPr>
              <w:rPr>
                <w:b/>
                <w:color w:val="000000"/>
                <w:sz w:val="18"/>
                <w:szCs w:val="18"/>
              </w:rPr>
            </w:pPr>
          </w:p>
        </w:tc>
      </w:tr>
      <w:tr w:rsidR="002D58E4" w14:paraId="2F1AFFB5" w14:textId="77777777">
        <w:trPr>
          <w:trHeight w:val="500"/>
        </w:trPr>
        <w:tc>
          <w:tcPr>
            <w:tcW w:w="14880" w:type="dxa"/>
            <w:gridSpan w:val="7"/>
            <w:tcBorders>
              <w:bottom w:val="single" w:sz="6" w:space="0" w:color="AEAEAE"/>
            </w:tcBorders>
          </w:tcPr>
          <w:p w14:paraId="358E4C89" w14:textId="77777777" w:rsidR="002D58E4" w:rsidRDefault="00F721D4">
            <w:pPr>
              <w:rPr>
                <w:b/>
                <w:color w:val="000000"/>
                <w:sz w:val="18"/>
                <w:szCs w:val="18"/>
              </w:rPr>
            </w:pPr>
            <w:r w:rsidRPr="002914A2">
              <w:rPr>
                <w:b/>
                <w:color w:val="000000"/>
                <w:sz w:val="18"/>
                <w:szCs w:val="18"/>
                <w:lang w:val="fr-CA"/>
              </w:rPr>
              <w:t>Bibliography</w:t>
            </w:r>
            <w:r w:rsidRPr="002914A2">
              <w:rPr>
                <w:color w:val="000000"/>
                <w:sz w:val="18"/>
                <w:szCs w:val="18"/>
                <w:lang w:val="fr-CA"/>
              </w:rPr>
              <w:t xml:space="preserve">: 1. Weber, et al. </w:t>
            </w:r>
            <w:r w:rsidRPr="00C10663">
              <w:rPr>
                <w:color w:val="000000"/>
                <w:sz w:val="18"/>
                <w:szCs w:val="18"/>
                <w:lang w:val="en-CA"/>
              </w:rPr>
              <w:t xml:space="preserve">Ann N Y Acad Sci. 1988; 539: 324-45; 2. Aberer, et al. </w:t>
            </w:r>
            <w:r>
              <w:rPr>
                <w:color w:val="000000"/>
                <w:sz w:val="18"/>
                <w:szCs w:val="18"/>
              </w:rPr>
              <w:t xml:space="preserve">Infection. 1996 Jan-Feb; 24(1): 85-7; 3.Kindstrand, et al. </w:t>
            </w:r>
            <w:r>
              <w:t xml:space="preserve"> </w:t>
            </w:r>
            <w:r>
              <w:rPr>
                <w:color w:val="000000"/>
                <w:sz w:val="18"/>
                <w:szCs w:val="18"/>
              </w:rPr>
              <w:t xml:space="preserve">Acta Neurol Scand. 2002 Nov; 106(5): 253-7; 4.Lenormand, et al. </w:t>
            </w:r>
            <w:r>
              <w:t xml:space="preserve"> </w:t>
            </w:r>
            <w:r>
              <w:rPr>
                <w:color w:val="000000"/>
                <w:sz w:val="18"/>
                <w:szCs w:val="18"/>
              </w:rPr>
              <w:t>J Am Acad Dermatol. 2016 Apr; 74(4): 685-92.</w:t>
            </w:r>
          </w:p>
        </w:tc>
      </w:tr>
      <w:tr w:rsidR="002D58E4" w14:paraId="0D6505E0" w14:textId="77777777">
        <w:trPr>
          <w:trHeight w:val="500"/>
        </w:trPr>
        <w:tc>
          <w:tcPr>
            <w:tcW w:w="102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39D097B9" w14:textId="77777777" w:rsidR="002D58E4" w:rsidRDefault="00F721D4">
            <w:pPr>
              <w:jc w:val="center"/>
              <w:rPr>
                <w:sz w:val="20"/>
                <w:szCs w:val="20"/>
              </w:rPr>
            </w:pPr>
            <w:r>
              <w:rPr>
                <w:b/>
                <w:color w:val="000000"/>
                <w:sz w:val="20"/>
                <w:szCs w:val="20"/>
              </w:rPr>
              <w:t>Study and Location</w:t>
            </w:r>
          </w:p>
        </w:tc>
        <w:tc>
          <w:tcPr>
            <w:tcW w:w="990" w:type="dxa"/>
            <w:tcBorders>
              <w:top w:val="single" w:sz="6" w:space="0" w:color="AEAEAE"/>
              <w:left w:val="single" w:sz="6" w:space="0" w:color="AEAEAE"/>
              <w:bottom w:val="single" w:sz="6" w:space="0" w:color="AEAEAE"/>
              <w:right w:val="single" w:sz="6" w:space="0" w:color="AEAEAE"/>
            </w:tcBorders>
            <w:shd w:val="clear" w:color="auto" w:fill="D9D9D9"/>
          </w:tcPr>
          <w:p w14:paraId="12596D4D" w14:textId="77777777" w:rsidR="002D58E4" w:rsidRDefault="00F721D4">
            <w:pPr>
              <w:jc w:val="center"/>
              <w:rPr>
                <w:b/>
                <w:color w:val="000000"/>
                <w:sz w:val="20"/>
                <w:szCs w:val="20"/>
              </w:rPr>
            </w:pPr>
            <w:r>
              <w:rPr>
                <w:b/>
                <w:color w:val="000000"/>
                <w:sz w:val="20"/>
                <w:szCs w:val="20"/>
              </w:rPr>
              <w:t>Study Design</w:t>
            </w:r>
          </w:p>
        </w:tc>
        <w:tc>
          <w:tcPr>
            <w:tcW w:w="810" w:type="dxa"/>
            <w:tcBorders>
              <w:top w:val="single" w:sz="6" w:space="0" w:color="AEAEAE"/>
              <w:left w:val="single" w:sz="6" w:space="0" w:color="AEAEAE"/>
              <w:bottom w:val="single" w:sz="6" w:space="0" w:color="AEAEAE"/>
              <w:right w:val="single" w:sz="6" w:space="0" w:color="AEAEAE"/>
            </w:tcBorders>
            <w:shd w:val="clear" w:color="auto" w:fill="D9D9D9"/>
          </w:tcPr>
          <w:p w14:paraId="0BC2D554" w14:textId="77777777" w:rsidR="002D58E4" w:rsidRDefault="00F721D4">
            <w:pPr>
              <w:jc w:val="center"/>
              <w:rPr>
                <w:b/>
                <w:color w:val="000000"/>
                <w:sz w:val="20"/>
                <w:szCs w:val="20"/>
              </w:rPr>
            </w:pPr>
            <w:r>
              <w:rPr>
                <w:b/>
                <w:color w:val="000000"/>
                <w:sz w:val="20"/>
                <w:szCs w:val="20"/>
              </w:rPr>
              <w:t>Risk of bias*</w:t>
            </w:r>
          </w:p>
        </w:tc>
        <w:tc>
          <w:tcPr>
            <w:tcW w:w="2250" w:type="dxa"/>
            <w:tcBorders>
              <w:top w:val="single" w:sz="6" w:space="0" w:color="AEAEAE"/>
              <w:left w:val="single" w:sz="6" w:space="0" w:color="AEAEAE"/>
              <w:bottom w:val="single" w:sz="6" w:space="0" w:color="AEAEAE"/>
              <w:right w:val="single" w:sz="6" w:space="0" w:color="AEAEAE"/>
            </w:tcBorders>
            <w:shd w:val="clear" w:color="auto" w:fill="D9D9D9"/>
          </w:tcPr>
          <w:p w14:paraId="4C7EAD63" w14:textId="77777777" w:rsidR="002D58E4" w:rsidRDefault="00F721D4">
            <w:pPr>
              <w:jc w:val="center"/>
              <w:rPr>
                <w:b/>
                <w:color w:val="000000"/>
                <w:sz w:val="20"/>
                <w:szCs w:val="20"/>
              </w:rPr>
            </w:pPr>
            <w:r>
              <w:rPr>
                <w:b/>
                <w:color w:val="000000"/>
                <w:sz w:val="20"/>
                <w:szCs w:val="20"/>
              </w:rPr>
              <w:t>Lyme Disease Diagnosis method; Lyme disease characteristics</w:t>
            </w:r>
          </w:p>
        </w:tc>
        <w:tc>
          <w:tcPr>
            <w:tcW w:w="2790" w:type="dxa"/>
            <w:tcBorders>
              <w:top w:val="single" w:sz="6" w:space="0" w:color="AEAEAE"/>
              <w:left w:val="single" w:sz="6" w:space="0" w:color="AEAEAE"/>
              <w:bottom w:val="single" w:sz="6" w:space="0" w:color="AEAEAE"/>
              <w:right w:val="single" w:sz="6" w:space="0" w:color="AEAEAE"/>
            </w:tcBorders>
            <w:shd w:val="clear" w:color="auto" w:fill="D9D9D9"/>
          </w:tcPr>
          <w:p w14:paraId="32CE9FCF" w14:textId="77777777" w:rsidR="002D58E4" w:rsidRDefault="00F721D4">
            <w:pPr>
              <w:jc w:val="center"/>
              <w:rPr>
                <w:b/>
                <w:color w:val="000000"/>
                <w:sz w:val="20"/>
                <w:szCs w:val="20"/>
              </w:rPr>
            </w:pPr>
            <w:r>
              <w:rPr>
                <w:b/>
                <w:color w:val="000000"/>
                <w:sz w:val="20"/>
                <w:szCs w:val="20"/>
              </w:rPr>
              <w:t>Presentation of acrodermatitis chronicum atrophicans</w:t>
            </w:r>
          </w:p>
        </w:tc>
        <w:tc>
          <w:tcPr>
            <w:tcW w:w="2340" w:type="dxa"/>
            <w:tcBorders>
              <w:top w:val="single" w:sz="6" w:space="0" w:color="AEAEAE"/>
              <w:left w:val="single" w:sz="6" w:space="0" w:color="AEAEAE"/>
              <w:bottom w:val="single" w:sz="6" w:space="0" w:color="AEAEAE"/>
              <w:right w:val="single" w:sz="6" w:space="0" w:color="AEAEAE"/>
            </w:tcBorders>
            <w:shd w:val="clear" w:color="auto" w:fill="D9D9D9"/>
          </w:tcPr>
          <w:p w14:paraId="3BD590CE" w14:textId="77777777" w:rsidR="002D58E4" w:rsidRDefault="00F721D4">
            <w:pPr>
              <w:jc w:val="center"/>
              <w:rPr>
                <w:b/>
                <w:color w:val="000000"/>
                <w:sz w:val="20"/>
                <w:szCs w:val="20"/>
              </w:rPr>
            </w:pPr>
            <w:r>
              <w:rPr>
                <w:b/>
                <w:color w:val="000000"/>
                <w:sz w:val="20"/>
                <w:szCs w:val="20"/>
              </w:rPr>
              <w:t>Treatment Received</w:t>
            </w:r>
          </w:p>
        </w:tc>
        <w:tc>
          <w:tcPr>
            <w:tcW w:w="4680" w:type="dxa"/>
            <w:tcBorders>
              <w:top w:val="single" w:sz="6" w:space="0" w:color="AEAEAE"/>
              <w:left w:val="single" w:sz="6" w:space="0" w:color="AEAEAE"/>
              <w:bottom w:val="single" w:sz="6" w:space="0" w:color="AEAEAE"/>
              <w:right w:val="single" w:sz="6" w:space="0" w:color="AEAEAE"/>
            </w:tcBorders>
            <w:shd w:val="clear" w:color="auto" w:fill="D9D9D9"/>
          </w:tcPr>
          <w:p w14:paraId="0B21090E" w14:textId="77777777" w:rsidR="002D58E4" w:rsidRDefault="00F721D4">
            <w:pPr>
              <w:jc w:val="center"/>
              <w:rPr>
                <w:b/>
                <w:color w:val="000000"/>
                <w:sz w:val="20"/>
                <w:szCs w:val="20"/>
              </w:rPr>
            </w:pPr>
            <w:r>
              <w:rPr>
                <w:b/>
                <w:color w:val="000000"/>
                <w:sz w:val="20"/>
                <w:szCs w:val="20"/>
              </w:rPr>
              <w:t>Treatment course and Study conclusions</w:t>
            </w:r>
          </w:p>
        </w:tc>
      </w:tr>
      <w:tr w:rsidR="002D58E4" w14:paraId="44FFDD2E" w14:textId="77777777">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79F2728" w14:textId="77777777" w:rsidR="002D58E4" w:rsidRDefault="00F721D4">
            <w:pPr>
              <w:rPr>
                <w:sz w:val="20"/>
                <w:szCs w:val="20"/>
              </w:rPr>
            </w:pPr>
            <w:r>
              <w:rPr>
                <w:sz w:val="20"/>
                <w:szCs w:val="20"/>
              </w:rPr>
              <w:t>Weber, et al., 1988</w:t>
            </w:r>
          </w:p>
          <w:p w14:paraId="2FAE1FFF" w14:textId="77777777" w:rsidR="002D58E4" w:rsidRDefault="002D58E4">
            <w:pPr>
              <w:rPr>
                <w:sz w:val="20"/>
                <w:szCs w:val="20"/>
              </w:rPr>
            </w:pPr>
          </w:p>
          <w:p w14:paraId="460E33DB" w14:textId="77777777" w:rsidR="002D58E4" w:rsidRDefault="00F721D4">
            <w:pPr>
              <w:rPr>
                <w:sz w:val="20"/>
                <w:szCs w:val="20"/>
              </w:rPr>
            </w:pPr>
            <w:r>
              <w:rPr>
                <w:sz w:val="20"/>
                <w:szCs w:val="20"/>
              </w:rPr>
              <w:t>Germany</w:t>
            </w:r>
          </w:p>
        </w:tc>
        <w:tc>
          <w:tcPr>
            <w:tcW w:w="990" w:type="dxa"/>
            <w:tcBorders>
              <w:top w:val="single" w:sz="6" w:space="0" w:color="AEAEAE"/>
              <w:left w:val="single" w:sz="6" w:space="0" w:color="AEAEAE"/>
              <w:bottom w:val="single" w:sz="6" w:space="0" w:color="AEAEAE"/>
              <w:right w:val="single" w:sz="6" w:space="0" w:color="AEAEAE"/>
            </w:tcBorders>
            <w:vAlign w:val="center"/>
          </w:tcPr>
          <w:p w14:paraId="29E83792" w14:textId="77777777" w:rsidR="002D58E4" w:rsidRDefault="00F721D4">
            <w:pPr>
              <w:rPr>
                <w:sz w:val="20"/>
                <w:szCs w:val="20"/>
              </w:rPr>
            </w:pPr>
            <w:r>
              <w:rPr>
                <w:sz w:val="20"/>
                <w:szCs w:val="20"/>
              </w:rPr>
              <w:t>Prospective cohort study</w:t>
            </w:r>
          </w:p>
        </w:tc>
        <w:tc>
          <w:tcPr>
            <w:tcW w:w="810" w:type="dxa"/>
            <w:tcBorders>
              <w:top w:val="single" w:sz="6" w:space="0" w:color="AEAEAE"/>
              <w:left w:val="single" w:sz="6" w:space="0" w:color="AEAEAE"/>
              <w:bottom w:val="single" w:sz="6" w:space="0" w:color="AEAEAE"/>
              <w:right w:val="single" w:sz="6" w:space="0" w:color="AEAEAE"/>
            </w:tcBorders>
            <w:vAlign w:val="center"/>
          </w:tcPr>
          <w:p w14:paraId="4CA89BCD" w14:textId="77777777" w:rsidR="002D58E4" w:rsidRDefault="00F721D4">
            <w:pPr>
              <w:jc w:val="center"/>
              <w:rPr>
                <w:sz w:val="20"/>
                <w:szCs w:val="20"/>
              </w:rPr>
            </w:pPr>
            <w:r>
              <w:rPr>
                <w:sz w:val="20"/>
                <w:szCs w:val="20"/>
              </w:rPr>
              <w:t>6</w:t>
            </w:r>
          </w:p>
        </w:tc>
        <w:tc>
          <w:tcPr>
            <w:tcW w:w="2250" w:type="dxa"/>
            <w:tcBorders>
              <w:top w:val="single" w:sz="6" w:space="0" w:color="AEAEAE"/>
              <w:left w:val="single" w:sz="6" w:space="0" w:color="AEAEAE"/>
              <w:bottom w:val="single" w:sz="6" w:space="0" w:color="AEAEAE"/>
              <w:right w:val="single" w:sz="6" w:space="0" w:color="AEAEAE"/>
            </w:tcBorders>
            <w:vAlign w:val="center"/>
          </w:tcPr>
          <w:p w14:paraId="7B6DF76A" w14:textId="77777777" w:rsidR="002D58E4" w:rsidRDefault="00F721D4">
            <w:pPr>
              <w:rPr>
                <w:sz w:val="20"/>
                <w:szCs w:val="20"/>
              </w:rPr>
            </w:pPr>
            <w:r>
              <w:rPr>
                <w:sz w:val="20"/>
                <w:szCs w:val="20"/>
              </w:rPr>
              <w:t xml:space="preserve">IgG antibody titers against </w:t>
            </w:r>
            <w:r>
              <w:rPr>
                <w:i/>
                <w:sz w:val="20"/>
                <w:szCs w:val="20"/>
              </w:rPr>
              <w:t>B. burgdorferi</w:t>
            </w:r>
            <w:r>
              <w:rPr>
                <w:sz w:val="20"/>
                <w:szCs w:val="20"/>
              </w:rPr>
              <w:t xml:space="preserve"> of ≥64 were required for diagnosis of acrodermatitis chronica atrophicans.</w:t>
            </w:r>
          </w:p>
        </w:tc>
        <w:tc>
          <w:tcPr>
            <w:tcW w:w="2790" w:type="dxa"/>
            <w:tcBorders>
              <w:top w:val="single" w:sz="6" w:space="0" w:color="AEAEAE"/>
              <w:left w:val="single" w:sz="6" w:space="0" w:color="AEAEAE"/>
              <w:bottom w:val="single" w:sz="6" w:space="0" w:color="AEAEAE"/>
              <w:right w:val="single" w:sz="6" w:space="0" w:color="AEAEAE"/>
            </w:tcBorders>
            <w:vAlign w:val="center"/>
          </w:tcPr>
          <w:p w14:paraId="44B98595" w14:textId="77777777" w:rsidR="002D58E4" w:rsidRDefault="002D58E4">
            <w:pPr>
              <w:rPr>
                <w:sz w:val="20"/>
                <w:szCs w:val="20"/>
              </w:rPr>
            </w:pPr>
          </w:p>
          <w:p w14:paraId="1C468A82" w14:textId="77777777" w:rsidR="002D58E4" w:rsidRDefault="00F721D4">
            <w:pPr>
              <w:rPr>
                <w:sz w:val="20"/>
                <w:szCs w:val="20"/>
              </w:rPr>
            </w:pPr>
            <w:r>
              <w:rPr>
                <w:sz w:val="20"/>
                <w:szCs w:val="20"/>
              </w:rPr>
              <w:t>34 patients with acrodermatitis chronica atrophicans were observed. Only patients with the typical bluish-red discoloration present at least on one extremity, in addition to presence of IgG antibody titers, were included.</w:t>
            </w:r>
          </w:p>
        </w:tc>
        <w:tc>
          <w:tcPr>
            <w:tcW w:w="2340" w:type="dxa"/>
            <w:tcBorders>
              <w:top w:val="single" w:sz="6" w:space="0" w:color="AEAEAE"/>
              <w:left w:val="single" w:sz="6" w:space="0" w:color="AEAEAE"/>
              <w:bottom w:val="single" w:sz="6" w:space="0" w:color="AEAEAE"/>
              <w:right w:val="single" w:sz="6" w:space="0" w:color="AEAEAE"/>
            </w:tcBorders>
            <w:vAlign w:val="center"/>
          </w:tcPr>
          <w:p w14:paraId="593C6DD9" w14:textId="77777777" w:rsidR="002D58E4" w:rsidRDefault="00F721D4">
            <w:pPr>
              <w:rPr>
                <w:sz w:val="20"/>
                <w:szCs w:val="20"/>
              </w:rPr>
            </w:pPr>
            <w:r>
              <w:rPr>
                <w:sz w:val="20"/>
                <w:szCs w:val="20"/>
              </w:rPr>
              <w:t>Oral penicillin (N=14) (8 pts rec'd penicillin VK, usually 4.5 M IU; 6 pts rec'd propicillin, 3.0 M IU, 2-3 doses for 2-4 wk) vs tetracyclines (N=6) (1 pt rec'd tetracycline, 500 mg twice/day for 3 wks; 3 pts rec'd doxycycline, 100 mg twice/day for 10-21 days; 2 pts rec'd minocycline, 100 mg twice/day for 7-14 days);</w:t>
            </w:r>
          </w:p>
          <w:p w14:paraId="7E4F08C0" w14:textId="77777777" w:rsidR="002D58E4" w:rsidRDefault="002D58E4">
            <w:pPr>
              <w:rPr>
                <w:sz w:val="20"/>
                <w:szCs w:val="20"/>
              </w:rPr>
            </w:pPr>
          </w:p>
          <w:p w14:paraId="390FB5AC" w14:textId="77777777" w:rsidR="002D58E4" w:rsidRDefault="00F721D4">
            <w:pPr>
              <w:rPr>
                <w:sz w:val="20"/>
                <w:szCs w:val="20"/>
              </w:rPr>
            </w:pPr>
            <w:r>
              <w:rPr>
                <w:sz w:val="20"/>
                <w:szCs w:val="20"/>
              </w:rPr>
              <w:t>IV vs. Oral: 9 patients receiving parenteral penicillin were compared with 20 patients receiving either oral penicillin or tetracyclines.</w:t>
            </w:r>
          </w:p>
          <w:p w14:paraId="2AB94E25" w14:textId="77777777" w:rsidR="002D58E4" w:rsidRDefault="002D58E4">
            <w:pPr>
              <w:rPr>
                <w:sz w:val="20"/>
                <w:szCs w:val="20"/>
              </w:rPr>
            </w:pPr>
          </w:p>
        </w:tc>
        <w:tc>
          <w:tcPr>
            <w:tcW w:w="4680" w:type="dxa"/>
            <w:tcBorders>
              <w:top w:val="single" w:sz="6" w:space="0" w:color="AEAEAE"/>
              <w:left w:val="single" w:sz="6" w:space="0" w:color="AEAEAE"/>
              <w:bottom w:val="single" w:sz="6" w:space="0" w:color="AEAEAE"/>
              <w:right w:val="single" w:sz="6" w:space="0" w:color="AEAEAE"/>
            </w:tcBorders>
            <w:vAlign w:val="center"/>
          </w:tcPr>
          <w:p w14:paraId="21F79FEF" w14:textId="77777777" w:rsidR="002D58E4" w:rsidRDefault="002D58E4">
            <w:pPr>
              <w:rPr>
                <w:sz w:val="20"/>
                <w:szCs w:val="20"/>
              </w:rPr>
            </w:pPr>
          </w:p>
          <w:p w14:paraId="33BF5A08" w14:textId="77777777" w:rsidR="002D58E4" w:rsidRDefault="00F721D4">
            <w:pPr>
              <w:rPr>
                <w:sz w:val="20"/>
                <w:szCs w:val="20"/>
              </w:rPr>
            </w:pPr>
            <w:r>
              <w:rPr>
                <w:sz w:val="20"/>
                <w:szCs w:val="20"/>
              </w:rPr>
              <w:t>6 of 9 patients receiving IV treatment and 9 of 20 patients receiving oral treatment experienced complete resolution of acrodermatitis chronica atrophicans (ACA). 2 of 6 patients treated with tetracycline and 7 of 14 patients treated with oral penicillin experienced complete resolution.</w:t>
            </w:r>
          </w:p>
          <w:p w14:paraId="4EEDC650" w14:textId="77777777" w:rsidR="002D58E4" w:rsidRDefault="002D58E4">
            <w:pPr>
              <w:rPr>
                <w:sz w:val="20"/>
                <w:szCs w:val="20"/>
              </w:rPr>
            </w:pPr>
          </w:p>
          <w:p w14:paraId="12DDCA00" w14:textId="220C8A9F" w:rsidR="002D58E4" w:rsidRDefault="00F721D4">
            <w:pPr>
              <w:rPr>
                <w:sz w:val="20"/>
                <w:szCs w:val="20"/>
              </w:rPr>
            </w:pPr>
            <w:r>
              <w:rPr>
                <w:sz w:val="20"/>
                <w:szCs w:val="20"/>
              </w:rPr>
              <w:t xml:space="preserve">Resolution of ACA occurred in a median of 18 months (range 1-73) with oral penicillin treatment and in a median of 11 months (range 5-34) with parenteral penicillin treatment. Resolution of ACA occurred in a median of 8 months (range 2-38) with tetracycline treatment. </w:t>
            </w:r>
          </w:p>
          <w:p w14:paraId="619B1ACB" w14:textId="77777777" w:rsidR="002D58E4" w:rsidRDefault="002D58E4">
            <w:pPr>
              <w:rPr>
                <w:sz w:val="20"/>
                <w:szCs w:val="20"/>
              </w:rPr>
            </w:pPr>
          </w:p>
          <w:p w14:paraId="165FD1D0" w14:textId="77777777" w:rsidR="002D58E4" w:rsidRDefault="00F721D4">
            <w:pPr>
              <w:rPr>
                <w:sz w:val="20"/>
                <w:szCs w:val="20"/>
              </w:rPr>
            </w:pPr>
            <w:r>
              <w:rPr>
                <w:sz w:val="20"/>
                <w:szCs w:val="20"/>
              </w:rPr>
              <w:t xml:space="preserve">17 of 34 patients (50%) experienced ACA remnants which resolved within a median of 14 months (range 2-73). </w:t>
            </w:r>
            <w:r>
              <w:t xml:space="preserve"> </w:t>
            </w:r>
            <w:r>
              <w:rPr>
                <w:sz w:val="20"/>
                <w:szCs w:val="20"/>
              </w:rPr>
              <w:t xml:space="preserve">24 of 34 (70.6%) patients experienced other later manifestations of ACA, including musculoskeletal manifestations, peripheral neuropathy, lymphadenopathy, or relapse. </w:t>
            </w:r>
          </w:p>
          <w:p w14:paraId="7500D9E6" w14:textId="77777777" w:rsidR="002D58E4" w:rsidRDefault="002D58E4">
            <w:pPr>
              <w:rPr>
                <w:sz w:val="20"/>
                <w:szCs w:val="20"/>
              </w:rPr>
            </w:pPr>
          </w:p>
          <w:p w14:paraId="3CB43561" w14:textId="77777777" w:rsidR="002D58E4" w:rsidRDefault="00F721D4">
            <w:pPr>
              <w:rPr>
                <w:sz w:val="20"/>
                <w:szCs w:val="20"/>
              </w:rPr>
            </w:pPr>
            <w:r>
              <w:rPr>
                <w:sz w:val="20"/>
                <w:szCs w:val="20"/>
              </w:rPr>
              <w:t xml:space="preserve">Jarisch-Herxheimer reactions occurred in 1 of 6 patients treated with tetracycline, in 1 of 9 patients treated with IV penicillin, and in none of the patients treated with oral penicillin. </w:t>
            </w:r>
          </w:p>
          <w:p w14:paraId="6870A892" w14:textId="77777777" w:rsidR="002D58E4" w:rsidRDefault="002D58E4">
            <w:pPr>
              <w:rPr>
                <w:sz w:val="20"/>
                <w:szCs w:val="20"/>
              </w:rPr>
            </w:pPr>
          </w:p>
        </w:tc>
      </w:tr>
      <w:tr w:rsidR="002D58E4" w14:paraId="58BCF4ED" w14:textId="77777777">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6D4F605" w14:textId="77777777" w:rsidR="002D58E4" w:rsidRDefault="00F721D4">
            <w:pPr>
              <w:rPr>
                <w:sz w:val="20"/>
                <w:szCs w:val="20"/>
              </w:rPr>
            </w:pPr>
            <w:r>
              <w:rPr>
                <w:sz w:val="20"/>
                <w:szCs w:val="20"/>
              </w:rPr>
              <w:t>Aberer, et al., 1996</w:t>
            </w:r>
          </w:p>
          <w:p w14:paraId="52EEDC28" w14:textId="77777777" w:rsidR="002D58E4" w:rsidRDefault="002D58E4">
            <w:pPr>
              <w:rPr>
                <w:sz w:val="20"/>
                <w:szCs w:val="20"/>
              </w:rPr>
            </w:pPr>
          </w:p>
          <w:p w14:paraId="3080C92B" w14:textId="77777777" w:rsidR="002D58E4" w:rsidRDefault="00F721D4">
            <w:pPr>
              <w:rPr>
                <w:sz w:val="20"/>
                <w:szCs w:val="20"/>
              </w:rPr>
            </w:pPr>
            <w:r>
              <w:rPr>
                <w:sz w:val="20"/>
                <w:szCs w:val="20"/>
              </w:rPr>
              <w:t>Austria</w:t>
            </w:r>
          </w:p>
        </w:tc>
        <w:tc>
          <w:tcPr>
            <w:tcW w:w="990" w:type="dxa"/>
            <w:tcBorders>
              <w:top w:val="single" w:sz="6" w:space="0" w:color="AEAEAE"/>
              <w:left w:val="single" w:sz="6" w:space="0" w:color="AEAEAE"/>
              <w:bottom w:val="single" w:sz="6" w:space="0" w:color="AEAEAE"/>
              <w:right w:val="single" w:sz="6" w:space="0" w:color="AEAEAE"/>
            </w:tcBorders>
            <w:vAlign w:val="center"/>
          </w:tcPr>
          <w:p w14:paraId="57B239E8" w14:textId="77777777" w:rsidR="002D58E4" w:rsidRDefault="00F721D4">
            <w:pPr>
              <w:rPr>
                <w:sz w:val="20"/>
                <w:szCs w:val="20"/>
              </w:rPr>
            </w:pPr>
            <w:r>
              <w:rPr>
                <w:sz w:val="20"/>
                <w:szCs w:val="20"/>
              </w:rPr>
              <w:t>Prospective cohort study</w:t>
            </w:r>
          </w:p>
        </w:tc>
        <w:tc>
          <w:tcPr>
            <w:tcW w:w="810" w:type="dxa"/>
            <w:tcBorders>
              <w:top w:val="single" w:sz="6" w:space="0" w:color="AEAEAE"/>
              <w:left w:val="single" w:sz="6" w:space="0" w:color="AEAEAE"/>
              <w:bottom w:val="single" w:sz="6" w:space="0" w:color="AEAEAE"/>
              <w:right w:val="single" w:sz="6" w:space="0" w:color="AEAEAE"/>
            </w:tcBorders>
            <w:vAlign w:val="center"/>
          </w:tcPr>
          <w:p w14:paraId="6B645777" w14:textId="77777777" w:rsidR="002D58E4" w:rsidRDefault="00F721D4">
            <w:pPr>
              <w:jc w:val="center"/>
              <w:rPr>
                <w:sz w:val="20"/>
                <w:szCs w:val="20"/>
              </w:rPr>
            </w:pPr>
            <w:r>
              <w:rPr>
                <w:sz w:val="20"/>
                <w:szCs w:val="20"/>
              </w:rPr>
              <w:t>6</w:t>
            </w:r>
          </w:p>
        </w:tc>
        <w:tc>
          <w:tcPr>
            <w:tcW w:w="2250" w:type="dxa"/>
            <w:tcBorders>
              <w:top w:val="single" w:sz="6" w:space="0" w:color="AEAEAE"/>
              <w:left w:val="single" w:sz="6" w:space="0" w:color="AEAEAE"/>
              <w:bottom w:val="single" w:sz="6" w:space="0" w:color="AEAEAE"/>
              <w:right w:val="single" w:sz="6" w:space="0" w:color="AEAEAE"/>
            </w:tcBorders>
            <w:vAlign w:val="center"/>
          </w:tcPr>
          <w:p w14:paraId="037C5670" w14:textId="77777777" w:rsidR="002D58E4" w:rsidRDefault="00F721D4">
            <w:pPr>
              <w:rPr>
                <w:sz w:val="20"/>
                <w:szCs w:val="20"/>
              </w:rPr>
            </w:pPr>
            <w:r>
              <w:rPr>
                <w:sz w:val="20"/>
                <w:szCs w:val="20"/>
              </w:rPr>
              <w:t xml:space="preserve">Patients were serologically tested for antibodies against </w:t>
            </w:r>
            <w:r>
              <w:rPr>
                <w:i/>
                <w:sz w:val="20"/>
                <w:szCs w:val="20"/>
              </w:rPr>
              <w:t xml:space="preserve">B. burgdorferi </w:t>
            </w:r>
            <w:r>
              <w:rPr>
                <w:sz w:val="20"/>
                <w:szCs w:val="20"/>
              </w:rPr>
              <w:t xml:space="preserve">by ELISA. </w:t>
            </w:r>
          </w:p>
          <w:p w14:paraId="540CB0DF" w14:textId="77777777" w:rsidR="002D58E4" w:rsidRDefault="002D58E4">
            <w:pPr>
              <w:rPr>
                <w:sz w:val="20"/>
                <w:szCs w:val="20"/>
              </w:rPr>
            </w:pPr>
          </w:p>
          <w:p w14:paraId="05EA3EF8" w14:textId="77777777" w:rsidR="002D58E4" w:rsidRDefault="00F721D4">
            <w:pPr>
              <w:rPr>
                <w:sz w:val="20"/>
                <w:szCs w:val="20"/>
              </w:rPr>
            </w:pPr>
            <w:r>
              <w:rPr>
                <w:sz w:val="20"/>
                <w:szCs w:val="20"/>
              </w:rPr>
              <w:t xml:space="preserve">Presence of </w:t>
            </w:r>
            <w:r>
              <w:rPr>
                <w:i/>
                <w:sz w:val="20"/>
                <w:szCs w:val="20"/>
              </w:rPr>
              <w:t xml:space="preserve">Borrelia </w:t>
            </w:r>
            <w:r>
              <w:rPr>
                <w:sz w:val="20"/>
                <w:szCs w:val="20"/>
              </w:rPr>
              <w:t xml:space="preserve">DNA in urine was investigated by PCR in 26 patients before treatment. 6 of 26 patients were positive by PCR. 3 of the initially negative patients were positive upon reinvestigation after 2 months. </w:t>
            </w:r>
          </w:p>
          <w:p w14:paraId="067E6F69" w14:textId="77777777" w:rsidR="002D58E4" w:rsidRDefault="002D58E4">
            <w:pPr>
              <w:rPr>
                <w:sz w:val="20"/>
                <w:szCs w:val="20"/>
              </w:rPr>
            </w:pPr>
          </w:p>
        </w:tc>
        <w:tc>
          <w:tcPr>
            <w:tcW w:w="2790" w:type="dxa"/>
            <w:tcBorders>
              <w:top w:val="single" w:sz="6" w:space="0" w:color="AEAEAE"/>
              <w:left w:val="single" w:sz="6" w:space="0" w:color="AEAEAE"/>
              <w:bottom w:val="single" w:sz="6" w:space="0" w:color="AEAEAE"/>
              <w:right w:val="single" w:sz="6" w:space="0" w:color="AEAEAE"/>
            </w:tcBorders>
            <w:vAlign w:val="center"/>
          </w:tcPr>
          <w:p w14:paraId="3B84D547" w14:textId="77777777" w:rsidR="002D58E4" w:rsidRDefault="00F721D4">
            <w:pPr>
              <w:rPr>
                <w:sz w:val="20"/>
                <w:szCs w:val="20"/>
              </w:rPr>
            </w:pPr>
            <w:r>
              <w:rPr>
                <w:sz w:val="20"/>
                <w:szCs w:val="20"/>
              </w:rPr>
              <w:t>46 patients with clinically and histologically diagnosed ACA (67% female, 33% male, mean age=73) were observed.</w:t>
            </w:r>
          </w:p>
          <w:p w14:paraId="71F6DF3B" w14:textId="77777777" w:rsidR="002D58E4" w:rsidRDefault="002D58E4">
            <w:pPr>
              <w:rPr>
                <w:sz w:val="20"/>
                <w:szCs w:val="20"/>
              </w:rPr>
            </w:pPr>
          </w:p>
          <w:p w14:paraId="26DEBD7E" w14:textId="77777777" w:rsidR="002D58E4" w:rsidRDefault="00F721D4">
            <w:pPr>
              <w:rPr>
                <w:sz w:val="20"/>
                <w:szCs w:val="20"/>
              </w:rPr>
            </w:pPr>
            <w:r>
              <w:rPr>
                <w:sz w:val="20"/>
                <w:szCs w:val="20"/>
              </w:rPr>
              <w:t>Other manifestations included neuropathy, juxtaarticular nodules and hypertonia, juxtaarticular nodules, IgM hyperimmunoglobulinemia, arthralgia, and pseudoscleroderma, depressive syndrome, and anetoderma.</w:t>
            </w:r>
          </w:p>
        </w:tc>
        <w:tc>
          <w:tcPr>
            <w:tcW w:w="2340" w:type="dxa"/>
            <w:tcBorders>
              <w:top w:val="single" w:sz="6" w:space="0" w:color="AEAEAE"/>
              <w:left w:val="single" w:sz="6" w:space="0" w:color="AEAEAE"/>
              <w:bottom w:val="single" w:sz="6" w:space="0" w:color="AEAEAE"/>
              <w:right w:val="single" w:sz="6" w:space="0" w:color="AEAEAE"/>
            </w:tcBorders>
            <w:vAlign w:val="center"/>
          </w:tcPr>
          <w:p w14:paraId="4A184358" w14:textId="77777777" w:rsidR="002D58E4" w:rsidRDefault="00F721D4">
            <w:pPr>
              <w:rPr>
                <w:sz w:val="20"/>
                <w:szCs w:val="20"/>
              </w:rPr>
            </w:pPr>
            <w:r>
              <w:rPr>
                <w:sz w:val="20"/>
                <w:szCs w:val="20"/>
              </w:rPr>
              <w:t>Oral penicillin (14 pt rec'd 1.5 M IU t.i.d. for 30 days; 5 rec'd 1.5 M IU for 20 days; 19 pts total) vs.tetracyclines (13 pts rec'd oral doxycycline 100 mg for 20 or 30 days);</w:t>
            </w:r>
          </w:p>
          <w:p w14:paraId="1FDC6621" w14:textId="77777777" w:rsidR="002D58E4" w:rsidRDefault="002D58E4">
            <w:pPr>
              <w:rPr>
                <w:sz w:val="20"/>
                <w:szCs w:val="20"/>
              </w:rPr>
            </w:pPr>
          </w:p>
          <w:p w14:paraId="6546CDB0" w14:textId="77777777" w:rsidR="002D58E4" w:rsidRDefault="00F721D4">
            <w:pPr>
              <w:rPr>
                <w:sz w:val="20"/>
                <w:szCs w:val="20"/>
              </w:rPr>
            </w:pPr>
            <w:r>
              <w:rPr>
                <w:sz w:val="20"/>
                <w:szCs w:val="20"/>
              </w:rPr>
              <w:t>IV vs. Oral: 14 patients receiving IV ceftriaxone (2 g/day for 15 days) are compared with 32 patients receiving either oral penicillin or oral tetracyclines</w:t>
            </w:r>
          </w:p>
        </w:tc>
        <w:tc>
          <w:tcPr>
            <w:tcW w:w="4680" w:type="dxa"/>
            <w:tcBorders>
              <w:top w:val="single" w:sz="6" w:space="0" w:color="AEAEAE"/>
              <w:left w:val="single" w:sz="6" w:space="0" w:color="AEAEAE"/>
              <w:bottom w:val="single" w:sz="6" w:space="0" w:color="AEAEAE"/>
              <w:right w:val="single" w:sz="6" w:space="0" w:color="AEAEAE"/>
            </w:tcBorders>
            <w:vAlign w:val="center"/>
          </w:tcPr>
          <w:p w14:paraId="684DC0A3" w14:textId="77777777" w:rsidR="002D58E4" w:rsidRDefault="00F721D4">
            <w:pPr>
              <w:rPr>
                <w:sz w:val="20"/>
                <w:szCs w:val="20"/>
              </w:rPr>
            </w:pPr>
            <w:r>
              <w:rPr>
                <w:sz w:val="20"/>
                <w:szCs w:val="20"/>
              </w:rPr>
              <w:t>10 of 14 (71.4%) patients receiving IV treatment and 28 of 32 (87.5%) patients receiving oral treatment experienced complete resolution of ACA. 10 of 13 (76.9%) patients treated with tetracycline and 18 of 19 (94.7%) patients treated with oral penicillin experienced complete resolution.</w:t>
            </w:r>
          </w:p>
          <w:p w14:paraId="09E4160B" w14:textId="77777777" w:rsidR="002D58E4" w:rsidRDefault="002D58E4">
            <w:pPr>
              <w:rPr>
                <w:sz w:val="20"/>
                <w:szCs w:val="20"/>
              </w:rPr>
            </w:pPr>
          </w:p>
          <w:p w14:paraId="0E2E5BE5" w14:textId="77777777" w:rsidR="002D58E4" w:rsidRDefault="00F721D4">
            <w:pPr>
              <w:rPr>
                <w:sz w:val="20"/>
                <w:szCs w:val="20"/>
              </w:rPr>
            </w:pPr>
            <w:r>
              <w:rPr>
                <w:sz w:val="20"/>
                <w:szCs w:val="20"/>
              </w:rPr>
              <w:t xml:space="preserve">Persistence of ACA or associated symptoms for longer than 6 months was seen in 11 of 46 patients. All 11 of these patients were successfully retreated. </w:t>
            </w:r>
          </w:p>
          <w:p w14:paraId="23882700" w14:textId="77777777" w:rsidR="002D58E4" w:rsidRDefault="002D58E4">
            <w:pPr>
              <w:rPr>
                <w:sz w:val="20"/>
                <w:szCs w:val="20"/>
              </w:rPr>
            </w:pPr>
          </w:p>
          <w:p w14:paraId="394CF76D" w14:textId="77777777" w:rsidR="002D58E4" w:rsidRDefault="00F721D4">
            <w:pPr>
              <w:rPr>
                <w:sz w:val="20"/>
                <w:szCs w:val="20"/>
              </w:rPr>
            </w:pPr>
            <w:r>
              <w:rPr>
                <w:sz w:val="20"/>
                <w:szCs w:val="20"/>
              </w:rPr>
              <w:t xml:space="preserve">The authors concluded that a 4-week course of oral antibiotic treatment is effective in treating ACA patients. </w:t>
            </w:r>
          </w:p>
        </w:tc>
      </w:tr>
      <w:tr w:rsidR="002D58E4" w14:paraId="448012F2" w14:textId="77777777">
        <w:trPr>
          <w:trHeight w:val="1260"/>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40D0A40" w14:textId="77777777" w:rsidR="002D58E4" w:rsidRDefault="00F721D4">
            <w:pPr>
              <w:rPr>
                <w:sz w:val="20"/>
                <w:szCs w:val="20"/>
              </w:rPr>
            </w:pPr>
            <w:r>
              <w:rPr>
                <w:sz w:val="20"/>
                <w:szCs w:val="20"/>
              </w:rPr>
              <w:t>Kindstrand et al., 2002</w:t>
            </w:r>
          </w:p>
          <w:p w14:paraId="634F3781" w14:textId="77777777" w:rsidR="002D58E4" w:rsidRDefault="002D58E4">
            <w:pPr>
              <w:rPr>
                <w:sz w:val="20"/>
                <w:szCs w:val="20"/>
              </w:rPr>
            </w:pPr>
          </w:p>
          <w:p w14:paraId="71112C2C" w14:textId="77777777" w:rsidR="002D58E4" w:rsidRDefault="00F721D4">
            <w:pPr>
              <w:rPr>
                <w:sz w:val="20"/>
                <w:szCs w:val="20"/>
              </w:rPr>
            </w:pPr>
            <w:r>
              <w:rPr>
                <w:sz w:val="20"/>
                <w:szCs w:val="20"/>
              </w:rPr>
              <w:t>Sweden</w:t>
            </w:r>
          </w:p>
        </w:tc>
        <w:tc>
          <w:tcPr>
            <w:tcW w:w="990" w:type="dxa"/>
            <w:tcBorders>
              <w:top w:val="single" w:sz="6" w:space="0" w:color="AEAEAE"/>
              <w:left w:val="single" w:sz="6" w:space="0" w:color="AEAEAE"/>
              <w:bottom w:val="single" w:sz="6" w:space="0" w:color="AEAEAE"/>
              <w:right w:val="single" w:sz="6" w:space="0" w:color="AEAEAE"/>
            </w:tcBorders>
            <w:vAlign w:val="center"/>
          </w:tcPr>
          <w:p w14:paraId="3AD88BCC" w14:textId="77777777" w:rsidR="002D58E4" w:rsidRDefault="00F721D4">
            <w:pPr>
              <w:rPr>
                <w:sz w:val="20"/>
                <w:szCs w:val="20"/>
              </w:rPr>
            </w:pPr>
            <w:r>
              <w:rPr>
                <w:sz w:val="20"/>
                <w:szCs w:val="20"/>
              </w:rPr>
              <w:t>Prospective cohort study</w:t>
            </w:r>
          </w:p>
        </w:tc>
        <w:tc>
          <w:tcPr>
            <w:tcW w:w="810" w:type="dxa"/>
            <w:tcBorders>
              <w:top w:val="single" w:sz="6" w:space="0" w:color="AEAEAE"/>
              <w:left w:val="single" w:sz="6" w:space="0" w:color="AEAEAE"/>
              <w:bottom w:val="single" w:sz="6" w:space="0" w:color="AEAEAE"/>
              <w:right w:val="single" w:sz="6" w:space="0" w:color="AEAEAE"/>
            </w:tcBorders>
            <w:vAlign w:val="center"/>
          </w:tcPr>
          <w:p w14:paraId="2077D5AC" w14:textId="77777777" w:rsidR="002D58E4" w:rsidRDefault="00F721D4">
            <w:pPr>
              <w:jc w:val="center"/>
              <w:rPr>
                <w:sz w:val="20"/>
                <w:szCs w:val="20"/>
              </w:rPr>
            </w:pPr>
            <w:r>
              <w:rPr>
                <w:sz w:val="20"/>
                <w:szCs w:val="20"/>
              </w:rPr>
              <w:t>6</w:t>
            </w:r>
          </w:p>
        </w:tc>
        <w:tc>
          <w:tcPr>
            <w:tcW w:w="2250" w:type="dxa"/>
            <w:tcBorders>
              <w:top w:val="single" w:sz="6" w:space="0" w:color="AEAEAE"/>
              <w:left w:val="single" w:sz="6" w:space="0" w:color="AEAEAE"/>
              <w:bottom w:val="single" w:sz="6" w:space="0" w:color="AEAEAE"/>
              <w:right w:val="single" w:sz="6" w:space="0" w:color="AEAEAE"/>
            </w:tcBorders>
            <w:vAlign w:val="center"/>
          </w:tcPr>
          <w:p w14:paraId="304CE2AE" w14:textId="77777777" w:rsidR="002D58E4" w:rsidRDefault="00F721D4">
            <w:pPr>
              <w:rPr>
                <w:sz w:val="20"/>
                <w:szCs w:val="20"/>
              </w:rPr>
            </w:pPr>
            <w:r>
              <w:rPr>
                <w:sz w:val="20"/>
                <w:szCs w:val="20"/>
              </w:rPr>
              <w:t>Forty-seven patients included (66% female), mean age 67 (range, 31-89, median 71).</w:t>
            </w:r>
          </w:p>
          <w:p w14:paraId="10A0F3B9" w14:textId="77777777" w:rsidR="002D58E4" w:rsidRDefault="002D58E4">
            <w:pPr>
              <w:rPr>
                <w:sz w:val="20"/>
                <w:szCs w:val="20"/>
              </w:rPr>
            </w:pPr>
          </w:p>
          <w:p w14:paraId="09B2B0C4" w14:textId="77777777" w:rsidR="002D58E4" w:rsidRDefault="00F721D4">
            <w:pPr>
              <w:rPr>
                <w:sz w:val="20"/>
                <w:szCs w:val="20"/>
              </w:rPr>
            </w:pPr>
            <w:r>
              <w:rPr>
                <w:sz w:val="20"/>
                <w:szCs w:val="20"/>
              </w:rPr>
              <w:t>Diagnosis clinical, serological, and histological means. Positive antibody titer by ELISA.</w:t>
            </w:r>
          </w:p>
          <w:p w14:paraId="2733F74B" w14:textId="77777777" w:rsidR="002D58E4" w:rsidRDefault="002D58E4">
            <w:pPr>
              <w:rPr>
                <w:sz w:val="20"/>
                <w:szCs w:val="20"/>
              </w:rPr>
            </w:pPr>
          </w:p>
          <w:p w14:paraId="0FA2B28B" w14:textId="77777777" w:rsidR="002D58E4" w:rsidRDefault="00F721D4">
            <w:pPr>
              <w:rPr>
                <w:sz w:val="20"/>
                <w:szCs w:val="20"/>
              </w:rPr>
            </w:pPr>
            <w:r>
              <w:rPr>
                <w:sz w:val="20"/>
                <w:szCs w:val="20"/>
              </w:rPr>
              <w:t>Neurological follow-up was performed in 43 of 47 patients.</w:t>
            </w:r>
          </w:p>
          <w:p w14:paraId="6FA83E1C" w14:textId="77777777" w:rsidR="002D58E4" w:rsidRDefault="002D58E4">
            <w:pPr>
              <w:rPr>
                <w:sz w:val="20"/>
                <w:szCs w:val="20"/>
              </w:rPr>
            </w:pPr>
          </w:p>
          <w:p w14:paraId="24639A2E" w14:textId="77777777" w:rsidR="002D58E4" w:rsidRDefault="002D58E4">
            <w:pPr>
              <w:rPr>
                <w:sz w:val="20"/>
                <w:szCs w:val="20"/>
              </w:rPr>
            </w:pPr>
          </w:p>
        </w:tc>
        <w:tc>
          <w:tcPr>
            <w:tcW w:w="2790" w:type="dxa"/>
            <w:tcBorders>
              <w:top w:val="single" w:sz="6" w:space="0" w:color="AEAEAE"/>
              <w:left w:val="single" w:sz="6" w:space="0" w:color="AEAEAE"/>
              <w:bottom w:val="single" w:sz="6" w:space="0" w:color="AEAEAE"/>
              <w:right w:val="single" w:sz="6" w:space="0" w:color="AEAEAE"/>
            </w:tcBorders>
            <w:vAlign w:val="center"/>
          </w:tcPr>
          <w:p w14:paraId="1C1EA0AB" w14:textId="77777777" w:rsidR="002D58E4" w:rsidRDefault="00F721D4">
            <w:pPr>
              <w:rPr>
                <w:sz w:val="20"/>
                <w:szCs w:val="20"/>
              </w:rPr>
            </w:pPr>
            <w:r>
              <w:rPr>
                <w:sz w:val="20"/>
                <w:szCs w:val="20"/>
              </w:rPr>
              <w:t>Patients included were previously untreated and had clinically, serologically, and histologically verified ACA with objective neurological and/or neurophysiological neuropathy signs with no other disease or predisposition for neuropathy.</w:t>
            </w:r>
          </w:p>
          <w:p w14:paraId="5E067E4F" w14:textId="77777777" w:rsidR="002D58E4" w:rsidRDefault="002D58E4">
            <w:pPr>
              <w:rPr>
                <w:sz w:val="20"/>
                <w:szCs w:val="20"/>
              </w:rPr>
            </w:pPr>
          </w:p>
          <w:p w14:paraId="3A2893C3" w14:textId="77777777" w:rsidR="002D58E4" w:rsidRDefault="00F721D4">
            <w:pPr>
              <w:rPr>
                <w:sz w:val="20"/>
                <w:szCs w:val="20"/>
              </w:rPr>
            </w:pPr>
            <w:r>
              <w:rPr>
                <w:sz w:val="20"/>
                <w:szCs w:val="20"/>
              </w:rPr>
              <w:t>Duration of ACA before diagnosis (based on cutaneous discoloration) range from 0.3-20 years (mean 3.3 years, median 1.5 years).</w:t>
            </w:r>
          </w:p>
        </w:tc>
        <w:tc>
          <w:tcPr>
            <w:tcW w:w="2340" w:type="dxa"/>
            <w:tcBorders>
              <w:top w:val="single" w:sz="6" w:space="0" w:color="AEAEAE"/>
              <w:left w:val="single" w:sz="6" w:space="0" w:color="AEAEAE"/>
              <w:bottom w:val="single" w:sz="6" w:space="0" w:color="AEAEAE"/>
              <w:right w:val="single" w:sz="6" w:space="0" w:color="AEAEAE"/>
            </w:tcBorders>
            <w:vAlign w:val="center"/>
          </w:tcPr>
          <w:p w14:paraId="41B96B5E" w14:textId="77777777" w:rsidR="002D58E4" w:rsidRDefault="00F721D4">
            <w:pPr>
              <w:rPr>
                <w:sz w:val="20"/>
                <w:szCs w:val="20"/>
              </w:rPr>
            </w:pPr>
            <w:r>
              <w:rPr>
                <w:sz w:val="20"/>
                <w:szCs w:val="20"/>
              </w:rPr>
              <w:t xml:space="preserve">Twenty-one patients received intravenous antibiotic treatment for 2 weeks with benzyl penicillin (11 patients) or cefuroxime (10 patients), followed by oral doxycycline (200 mg daily) for 2 weeks. </w:t>
            </w:r>
          </w:p>
          <w:p w14:paraId="0158D297" w14:textId="77777777" w:rsidR="002D58E4" w:rsidRDefault="002D58E4">
            <w:pPr>
              <w:rPr>
                <w:sz w:val="20"/>
                <w:szCs w:val="20"/>
              </w:rPr>
            </w:pPr>
          </w:p>
          <w:p w14:paraId="47938B60" w14:textId="77777777" w:rsidR="002D58E4" w:rsidRDefault="00F721D4">
            <w:pPr>
              <w:rPr>
                <w:sz w:val="20"/>
                <w:szCs w:val="20"/>
              </w:rPr>
            </w:pPr>
            <w:r>
              <w:rPr>
                <w:sz w:val="20"/>
                <w:szCs w:val="20"/>
              </w:rPr>
              <w:t>Twenty-six patients were treated with oral doxycycline (200 mg daily) for 3 weeks.</w:t>
            </w:r>
          </w:p>
          <w:p w14:paraId="0256B547" w14:textId="77777777" w:rsidR="002D58E4" w:rsidRDefault="002D58E4">
            <w:pPr>
              <w:rPr>
                <w:sz w:val="20"/>
                <w:szCs w:val="20"/>
              </w:rPr>
            </w:pPr>
          </w:p>
          <w:p w14:paraId="537503BD" w14:textId="77777777" w:rsidR="002D58E4" w:rsidRDefault="00F721D4">
            <w:pPr>
              <w:rPr>
                <w:sz w:val="20"/>
                <w:szCs w:val="20"/>
              </w:rPr>
            </w:pPr>
            <w:r>
              <w:rPr>
                <w:sz w:val="20"/>
                <w:szCs w:val="20"/>
              </w:rPr>
              <w:t>3 patients were treated with oral doxycycline for 6-12 months after intravenous antibiotic treatment because of persistent arthralgia.</w:t>
            </w:r>
          </w:p>
        </w:tc>
        <w:tc>
          <w:tcPr>
            <w:tcW w:w="4680" w:type="dxa"/>
            <w:tcBorders>
              <w:top w:val="single" w:sz="6" w:space="0" w:color="AEAEAE"/>
              <w:left w:val="single" w:sz="6" w:space="0" w:color="AEAEAE"/>
              <w:bottom w:val="single" w:sz="6" w:space="0" w:color="AEAEAE"/>
              <w:right w:val="single" w:sz="6" w:space="0" w:color="AEAEAE"/>
            </w:tcBorders>
            <w:vAlign w:val="center"/>
          </w:tcPr>
          <w:p w14:paraId="4B1D442D" w14:textId="77777777" w:rsidR="002D58E4" w:rsidRDefault="00F721D4">
            <w:pPr>
              <w:rPr>
                <w:sz w:val="20"/>
                <w:szCs w:val="20"/>
              </w:rPr>
            </w:pPr>
            <w:r>
              <w:rPr>
                <w:sz w:val="20"/>
                <w:szCs w:val="20"/>
              </w:rPr>
              <w:t>Improvement of erythema and edematous swelling occurred within 2 months. Inflammatory lesions disappeared in 85% (40 of 47) of patients within 6 months.</w:t>
            </w:r>
          </w:p>
          <w:p w14:paraId="3CCD4D03" w14:textId="77777777" w:rsidR="002D58E4" w:rsidRDefault="002D58E4">
            <w:pPr>
              <w:rPr>
                <w:sz w:val="20"/>
                <w:szCs w:val="20"/>
              </w:rPr>
            </w:pPr>
          </w:p>
          <w:p w14:paraId="2B103DB0" w14:textId="77777777" w:rsidR="002D58E4" w:rsidRDefault="00F721D4">
            <w:pPr>
              <w:rPr>
                <w:sz w:val="20"/>
                <w:szCs w:val="20"/>
              </w:rPr>
            </w:pPr>
            <w:r>
              <w:rPr>
                <w:sz w:val="20"/>
                <w:szCs w:val="20"/>
              </w:rPr>
              <w:t xml:space="preserve">Neuropathy symptoms (except numbness) disappeared or improved by 6-month follow-up. Allodynia disappeared in all patients. Pain in extremities disappeared in 24 of 28 patients. Paresthesia disappeared within 6 months. Muscle weakness was unchanged after treatment. In 14 of 15 patients, local dysalgesia in ACA areas disappeared after treatment. In patients with polyneuropathy or mono-neuropathy/regional neuropathy, clinical evaluation remained unchanged at 6 months. </w:t>
            </w:r>
          </w:p>
          <w:p w14:paraId="291B5B5C" w14:textId="77777777" w:rsidR="002D58E4" w:rsidRDefault="002D58E4">
            <w:pPr>
              <w:rPr>
                <w:sz w:val="20"/>
                <w:szCs w:val="20"/>
              </w:rPr>
            </w:pPr>
          </w:p>
          <w:p w14:paraId="198CAAC5" w14:textId="77777777" w:rsidR="002D58E4" w:rsidRDefault="00F721D4">
            <w:pPr>
              <w:rPr>
                <w:sz w:val="20"/>
                <w:szCs w:val="20"/>
              </w:rPr>
            </w:pPr>
            <w:r>
              <w:rPr>
                <w:sz w:val="20"/>
                <w:szCs w:val="20"/>
              </w:rPr>
              <w:t>No difference in clinical response between initial intravenous antibiotic therapy followed by oral antibiotics and oral antibiotic treatment only.</w:t>
            </w:r>
          </w:p>
        </w:tc>
      </w:tr>
      <w:tr w:rsidR="002D58E4" w14:paraId="0CBDF2B6" w14:textId="77777777">
        <w:trPr>
          <w:trHeight w:val="549"/>
        </w:trPr>
        <w:tc>
          <w:tcPr>
            <w:tcW w:w="102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00639D6B" w14:textId="77777777" w:rsidR="002D58E4" w:rsidRDefault="00F721D4">
            <w:pPr>
              <w:rPr>
                <w:sz w:val="20"/>
                <w:szCs w:val="20"/>
              </w:rPr>
            </w:pPr>
            <w:r>
              <w:rPr>
                <w:sz w:val="20"/>
                <w:szCs w:val="20"/>
              </w:rPr>
              <w:t>Lenormand, et al., 2016</w:t>
            </w:r>
          </w:p>
          <w:p w14:paraId="089ABAA3" w14:textId="77777777" w:rsidR="002D58E4" w:rsidRDefault="002D58E4">
            <w:pPr>
              <w:rPr>
                <w:sz w:val="20"/>
                <w:szCs w:val="20"/>
              </w:rPr>
            </w:pPr>
          </w:p>
          <w:p w14:paraId="32F6AB80" w14:textId="77777777" w:rsidR="002D58E4" w:rsidRDefault="00F721D4">
            <w:pPr>
              <w:rPr>
                <w:sz w:val="20"/>
                <w:szCs w:val="20"/>
              </w:rPr>
            </w:pPr>
            <w:r>
              <w:rPr>
                <w:sz w:val="20"/>
                <w:szCs w:val="20"/>
              </w:rPr>
              <w:t>France</w:t>
            </w:r>
          </w:p>
        </w:tc>
        <w:tc>
          <w:tcPr>
            <w:tcW w:w="990" w:type="dxa"/>
            <w:tcBorders>
              <w:top w:val="single" w:sz="6" w:space="0" w:color="AEAEAE"/>
              <w:left w:val="single" w:sz="6" w:space="0" w:color="AEAEAE"/>
              <w:bottom w:val="single" w:sz="6" w:space="0" w:color="AEAEAE"/>
              <w:right w:val="single" w:sz="6" w:space="0" w:color="AEAEAE"/>
            </w:tcBorders>
            <w:vAlign w:val="center"/>
          </w:tcPr>
          <w:p w14:paraId="3C1E1CC4" w14:textId="77777777" w:rsidR="002D58E4" w:rsidRDefault="00F721D4">
            <w:pPr>
              <w:rPr>
                <w:sz w:val="20"/>
                <w:szCs w:val="20"/>
              </w:rPr>
            </w:pPr>
            <w:r>
              <w:rPr>
                <w:sz w:val="20"/>
                <w:szCs w:val="20"/>
              </w:rPr>
              <w:t>Prospective cohort study</w:t>
            </w:r>
          </w:p>
        </w:tc>
        <w:tc>
          <w:tcPr>
            <w:tcW w:w="810" w:type="dxa"/>
            <w:tcBorders>
              <w:top w:val="single" w:sz="6" w:space="0" w:color="AEAEAE"/>
              <w:left w:val="single" w:sz="6" w:space="0" w:color="AEAEAE"/>
              <w:bottom w:val="single" w:sz="6" w:space="0" w:color="AEAEAE"/>
              <w:right w:val="single" w:sz="6" w:space="0" w:color="AEAEAE"/>
            </w:tcBorders>
            <w:vAlign w:val="center"/>
          </w:tcPr>
          <w:p w14:paraId="6A425C89" w14:textId="77777777" w:rsidR="002D58E4" w:rsidRDefault="00F721D4">
            <w:pPr>
              <w:jc w:val="center"/>
              <w:rPr>
                <w:sz w:val="20"/>
                <w:szCs w:val="20"/>
              </w:rPr>
            </w:pPr>
            <w:r>
              <w:rPr>
                <w:sz w:val="20"/>
                <w:szCs w:val="20"/>
              </w:rPr>
              <w:t>5</w:t>
            </w:r>
          </w:p>
        </w:tc>
        <w:tc>
          <w:tcPr>
            <w:tcW w:w="2250" w:type="dxa"/>
            <w:tcBorders>
              <w:top w:val="single" w:sz="6" w:space="0" w:color="AEAEAE"/>
              <w:left w:val="single" w:sz="6" w:space="0" w:color="AEAEAE"/>
              <w:bottom w:val="single" w:sz="6" w:space="0" w:color="AEAEAE"/>
              <w:right w:val="single" w:sz="6" w:space="0" w:color="AEAEAE"/>
            </w:tcBorders>
            <w:vAlign w:val="center"/>
          </w:tcPr>
          <w:p w14:paraId="0EE4E750" w14:textId="77777777" w:rsidR="002D58E4" w:rsidRDefault="00F721D4">
            <w:pPr>
              <w:rPr>
                <w:sz w:val="20"/>
                <w:szCs w:val="20"/>
              </w:rPr>
            </w:pPr>
            <w:r>
              <w:rPr>
                <w:sz w:val="20"/>
                <w:szCs w:val="20"/>
              </w:rPr>
              <w:t xml:space="preserve">Diagnosis of (ACA was confirmed by clinical observation, serological data review, positive culture and/or PCR of skin biopsy sample. </w:t>
            </w:r>
          </w:p>
          <w:p w14:paraId="7E8A9EFB" w14:textId="77777777" w:rsidR="002D58E4" w:rsidRDefault="002D58E4">
            <w:pPr>
              <w:rPr>
                <w:sz w:val="20"/>
                <w:szCs w:val="20"/>
              </w:rPr>
            </w:pPr>
          </w:p>
          <w:p w14:paraId="270208DC" w14:textId="77777777" w:rsidR="002D58E4" w:rsidRDefault="00F721D4">
            <w:pPr>
              <w:rPr>
                <w:sz w:val="20"/>
                <w:szCs w:val="20"/>
              </w:rPr>
            </w:pPr>
            <w:r>
              <w:rPr>
                <w:sz w:val="20"/>
                <w:szCs w:val="20"/>
              </w:rPr>
              <w:t>Tick bite was recalled by patient in 4 of 20 (20%) cases and prior episode of erythema migrans was noted in 5 of 20 (25%) cases.</w:t>
            </w:r>
          </w:p>
          <w:p w14:paraId="141A9533" w14:textId="77777777" w:rsidR="002D58E4" w:rsidRDefault="002D58E4">
            <w:pPr>
              <w:rPr>
                <w:sz w:val="20"/>
                <w:szCs w:val="20"/>
              </w:rPr>
            </w:pPr>
          </w:p>
        </w:tc>
        <w:tc>
          <w:tcPr>
            <w:tcW w:w="2790" w:type="dxa"/>
            <w:tcBorders>
              <w:top w:val="single" w:sz="6" w:space="0" w:color="AEAEAE"/>
              <w:left w:val="single" w:sz="6" w:space="0" w:color="AEAEAE"/>
              <w:bottom w:val="single" w:sz="6" w:space="0" w:color="AEAEAE"/>
              <w:right w:val="single" w:sz="6" w:space="0" w:color="AEAEAE"/>
            </w:tcBorders>
            <w:vAlign w:val="center"/>
          </w:tcPr>
          <w:p w14:paraId="5ADA7E9F" w14:textId="77777777" w:rsidR="002D58E4" w:rsidRDefault="00F721D4">
            <w:pPr>
              <w:rPr>
                <w:sz w:val="20"/>
                <w:szCs w:val="20"/>
              </w:rPr>
            </w:pPr>
            <w:r>
              <w:rPr>
                <w:sz w:val="20"/>
                <w:szCs w:val="20"/>
              </w:rPr>
              <w:t>20 patients (12 female, 8 male age 33-86 years) with confirmed ACA were observed. Lesions had been present for a mean of 2 years (range 2 months to 10 years). Lesions were typical of ACA in all but 1 case.</w:t>
            </w:r>
          </w:p>
          <w:p w14:paraId="0B388357" w14:textId="77777777" w:rsidR="002D58E4" w:rsidRDefault="002D58E4">
            <w:pPr>
              <w:rPr>
                <w:sz w:val="20"/>
                <w:szCs w:val="20"/>
              </w:rPr>
            </w:pPr>
          </w:p>
          <w:p w14:paraId="12135176" w14:textId="77777777" w:rsidR="002D58E4" w:rsidRDefault="00F721D4">
            <w:pPr>
              <w:rPr>
                <w:sz w:val="20"/>
                <w:szCs w:val="20"/>
              </w:rPr>
            </w:pPr>
            <w:r>
              <w:rPr>
                <w:sz w:val="20"/>
                <w:szCs w:val="20"/>
              </w:rPr>
              <w:t>Unusual manifestations, such as numerous small violaceous patches and equidistant small spinous papules with background faint erythema, were observed in 2 patients.</w:t>
            </w:r>
          </w:p>
          <w:p w14:paraId="0A28DFD5" w14:textId="77777777" w:rsidR="002D58E4" w:rsidRDefault="002D58E4">
            <w:pPr>
              <w:rPr>
                <w:sz w:val="20"/>
                <w:szCs w:val="20"/>
              </w:rPr>
            </w:pPr>
          </w:p>
        </w:tc>
        <w:tc>
          <w:tcPr>
            <w:tcW w:w="2340" w:type="dxa"/>
            <w:tcBorders>
              <w:top w:val="single" w:sz="6" w:space="0" w:color="AEAEAE"/>
              <w:left w:val="single" w:sz="6" w:space="0" w:color="AEAEAE"/>
              <w:bottom w:val="single" w:sz="6" w:space="0" w:color="AEAEAE"/>
              <w:right w:val="single" w:sz="6" w:space="0" w:color="AEAEAE"/>
            </w:tcBorders>
            <w:vAlign w:val="center"/>
          </w:tcPr>
          <w:p w14:paraId="5D1F9830" w14:textId="77777777" w:rsidR="002D58E4" w:rsidRDefault="00F721D4">
            <w:pPr>
              <w:rPr>
                <w:sz w:val="20"/>
                <w:szCs w:val="20"/>
              </w:rPr>
            </w:pPr>
            <w:r>
              <w:rPr>
                <w:sz w:val="20"/>
                <w:szCs w:val="20"/>
              </w:rPr>
              <w:t>18 of 20 patients received doxycycline for 21- 28 days.</w:t>
            </w:r>
          </w:p>
          <w:p w14:paraId="201E50EA" w14:textId="77777777" w:rsidR="002D58E4" w:rsidRDefault="002D58E4">
            <w:pPr>
              <w:rPr>
                <w:sz w:val="20"/>
                <w:szCs w:val="20"/>
              </w:rPr>
            </w:pPr>
          </w:p>
          <w:p w14:paraId="4612F4ED" w14:textId="77777777" w:rsidR="002D58E4" w:rsidRDefault="00F721D4">
            <w:pPr>
              <w:rPr>
                <w:sz w:val="20"/>
                <w:szCs w:val="20"/>
              </w:rPr>
            </w:pPr>
            <w:r>
              <w:rPr>
                <w:sz w:val="20"/>
                <w:szCs w:val="20"/>
              </w:rPr>
              <w:t>2 of 20 patients received ceftriaxone for 14-21 days.</w:t>
            </w:r>
          </w:p>
        </w:tc>
        <w:tc>
          <w:tcPr>
            <w:tcW w:w="4680" w:type="dxa"/>
            <w:tcBorders>
              <w:top w:val="single" w:sz="6" w:space="0" w:color="AEAEAE"/>
              <w:left w:val="single" w:sz="6" w:space="0" w:color="AEAEAE"/>
              <w:bottom w:val="single" w:sz="6" w:space="0" w:color="AEAEAE"/>
              <w:right w:val="single" w:sz="6" w:space="0" w:color="AEAEAE"/>
            </w:tcBorders>
            <w:vAlign w:val="center"/>
          </w:tcPr>
          <w:p w14:paraId="604B12B8" w14:textId="77777777" w:rsidR="002D58E4" w:rsidRDefault="00F721D4">
            <w:pPr>
              <w:rPr>
                <w:sz w:val="20"/>
                <w:szCs w:val="20"/>
              </w:rPr>
            </w:pPr>
            <w:r>
              <w:rPr>
                <w:sz w:val="20"/>
                <w:szCs w:val="20"/>
              </w:rPr>
              <w:t>Partial or complete improvement of lesions was observed in all patients after antibiotic treatment with doxycycline or ceftriaxone.</w:t>
            </w:r>
          </w:p>
          <w:p w14:paraId="3B1A08E4" w14:textId="77777777" w:rsidR="002D58E4" w:rsidRDefault="002D58E4">
            <w:pPr>
              <w:rPr>
                <w:sz w:val="20"/>
                <w:szCs w:val="20"/>
              </w:rPr>
            </w:pPr>
          </w:p>
          <w:p w14:paraId="70D3E9D1" w14:textId="77777777" w:rsidR="002D58E4" w:rsidRDefault="002D58E4">
            <w:pPr>
              <w:rPr>
                <w:sz w:val="20"/>
                <w:szCs w:val="20"/>
              </w:rPr>
            </w:pPr>
          </w:p>
        </w:tc>
      </w:tr>
    </w:tbl>
    <w:p w14:paraId="6E14E64A" w14:textId="77777777" w:rsidR="002D58E4" w:rsidRDefault="00F721D4" w:rsidP="00E343BA">
      <w:pPr>
        <w:ind w:right="-3980"/>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32D38B3C" w14:textId="77777777" w:rsidR="002D58E4" w:rsidRDefault="002D58E4">
      <w:pPr>
        <w:rPr>
          <w:sz w:val="18"/>
          <w:szCs w:val="18"/>
        </w:rPr>
      </w:pPr>
    </w:p>
    <w:p w14:paraId="78915B6E" w14:textId="77777777" w:rsidR="002D58E4" w:rsidRDefault="00F721D4">
      <w:bookmarkStart w:id="28" w:name="1ci93xb" w:colFirst="0" w:colLast="0"/>
      <w:bookmarkEnd w:id="28"/>
      <w:r>
        <w:br w:type="page"/>
      </w:r>
    </w:p>
    <w:tbl>
      <w:tblPr>
        <w:tblStyle w:val="afffb"/>
        <w:tblW w:w="14741" w:type="dxa"/>
        <w:tblLayout w:type="fixed"/>
        <w:tblLook w:val="0600" w:firstRow="0" w:lastRow="0" w:firstColumn="0" w:lastColumn="0" w:noHBand="1" w:noVBand="1"/>
      </w:tblPr>
      <w:tblGrid>
        <w:gridCol w:w="839"/>
        <w:gridCol w:w="861"/>
        <w:gridCol w:w="630"/>
        <w:gridCol w:w="2489"/>
        <w:gridCol w:w="2268"/>
        <w:gridCol w:w="2410"/>
        <w:gridCol w:w="5244"/>
      </w:tblGrid>
      <w:tr w:rsidR="002D58E4" w14:paraId="7B7D2A09" w14:textId="77777777">
        <w:trPr>
          <w:trHeight w:val="500"/>
        </w:trPr>
        <w:tc>
          <w:tcPr>
            <w:tcW w:w="14742" w:type="dxa"/>
            <w:gridSpan w:val="7"/>
            <w:shd w:val="clear" w:color="auto" w:fill="auto"/>
            <w:tcMar>
              <w:top w:w="15" w:type="dxa"/>
              <w:left w:w="30" w:type="dxa"/>
              <w:bottom w:w="0" w:type="dxa"/>
              <w:right w:w="30" w:type="dxa"/>
            </w:tcMar>
          </w:tcPr>
          <w:p w14:paraId="7B6D749B" w14:textId="77777777" w:rsidR="002D58E4" w:rsidRDefault="00F721D4">
            <w:pPr>
              <w:spacing w:after="160" w:line="259" w:lineRule="auto"/>
              <w:rPr>
                <w:b/>
                <w:sz w:val="32"/>
                <w:szCs w:val="32"/>
                <w:u w:val="single"/>
              </w:rPr>
            </w:pPr>
            <w:bookmarkStart w:id="29" w:name="3whwml4" w:colFirst="0" w:colLast="0"/>
            <w:bookmarkEnd w:id="29"/>
            <w:r>
              <w:rPr>
                <w:b/>
                <w:sz w:val="32"/>
                <w:szCs w:val="32"/>
                <w:u w:val="single"/>
              </w:rPr>
              <w:t>Lyme disease coinfections</w:t>
            </w:r>
          </w:p>
          <w:p w14:paraId="311F6302" w14:textId="77777777" w:rsidR="002D58E4" w:rsidRDefault="00F721D4">
            <w:pPr>
              <w:spacing w:after="160" w:line="259" w:lineRule="auto"/>
              <w:rPr>
                <w:b/>
                <w:sz w:val="32"/>
                <w:szCs w:val="32"/>
              </w:rPr>
            </w:pPr>
            <w:r>
              <w:rPr>
                <w:b/>
                <w:sz w:val="28"/>
                <w:szCs w:val="28"/>
              </w:rPr>
              <w:t xml:space="preserve">Background information: </w:t>
            </w:r>
            <w:r>
              <w:rPr>
                <w:b/>
                <w:i/>
                <w:sz w:val="28"/>
                <w:szCs w:val="28"/>
              </w:rPr>
              <w:t>Bartonella</w:t>
            </w:r>
            <w:r>
              <w:rPr>
                <w:b/>
                <w:sz w:val="28"/>
                <w:szCs w:val="28"/>
              </w:rPr>
              <w:t xml:space="preserve"> coinfection </w:t>
            </w:r>
          </w:p>
          <w:p w14:paraId="1C261194" w14:textId="77777777" w:rsidR="002D58E4" w:rsidRDefault="002D58E4">
            <w:pPr>
              <w:rPr>
                <w:b/>
                <w:color w:val="000000"/>
                <w:sz w:val="18"/>
                <w:szCs w:val="18"/>
              </w:rPr>
            </w:pPr>
          </w:p>
        </w:tc>
      </w:tr>
      <w:tr w:rsidR="002D58E4" w:rsidRPr="00E20834" w14:paraId="44D5F711" w14:textId="77777777">
        <w:trPr>
          <w:trHeight w:val="500"/>
        </w:trPr>
        <w:tc>
          <w:tcPr>
            <w:tcW w:w="14742" w:type="dxa"/>
            <w:gridSpan w:val="7"/>
            <w:tcBorders>
              <w:bottom w:val="single" w:sz="6" w:space="0" w:color="AEAEAE"/>
            </w:tcBorders>
            <w:shd w:val="clear" w:color="auto" w:fill="auto"/>
            <w:tcMar>
              <w:top w:w="15" w:type="dxa"/>
              <w:left w:w="30" w:type="dxa"/>
              <w:bottom w:w="0" w:type="dxa"/>
              <w:right w:w="30" w:type="dxa"/>
            </w:tcMar>
          </w:tcPr>
          <w:p w14:paraId="57BD1483" w14:textId="77777777" w:rsidR="002D58E4" w:rsidRPr="00C10663" w:rsidRDefault="00F721D4">
            <w:pPr>
              <w:rPr>
                <w:color w:val="000000"/>
                <w:sz w:val="18"/>
                <w:szCs w:val="18"/>
                <w:lang w:val="fr-CA"/>
              </w:rPr>
            </w:pPr>
            <w:r w:rsidRPr="002914A2">
              <w:rPr>
                <w:b/>
                <w:color w:val="000000"/>
                <w:sz w:val="18"/>
                <w:szCs w:val="18"/>
                <w:lang w:val="fr-CA"/>
              </w:rPr>
              <w:t>Bibliography</w:t>
            </w:r>
            <w:r w:rsidRPr="002914A2">
              <w:rPr>
                <w:color w:val="000000"/>
                <w:sz w:val="18"/>
                <w:szCs w:val="18"/>
                <w:lang w:val="fr-CA"/>
              </w:rPr>
              <w:t xml:space="preserve">: 1. Podsiadły, et al. </w:t>
            </w:r>
            <w:r w:rsidRPr="002914A2">
              <w:rPr>
                <w:lang w:val="fr-CA"/>
              </w:rPr>
              <w:t xml:space="preserve"> </w:t>
            </w:r>
            <w:r w:rsidRPr="00C10663">
              <w:rPr>
                <w:color w:val="000000"/>
                <w:sz w:val="18"/>
                <w:szCs w:val="18"/>
                <w:lang w:val="en-CA"/>
              </w:rPr>
              <w:t xml:space="preserve">Ann N Y Acad Sci. 2003 Jun; 990: 404-6; 2. </w:t>
            </w:r>
            <w:r w:rsidRPr="00C10663">
              <w:rPr>
                <w:lang w:val="en-CA"/>
              </w:rPr>
              <w:t xml:space="preserve"> </w:t>
            </w:r>
            <w:r w:rsidRPr="00C10663">
              <w:rPr>
                <w:color w:val="000000"/>
                <w:sz w:val="18"/>
                <w:szCs w:val="18"/>
                <w:lang w:val="en-CA"/>
              </w:rPr>
              <w:t xml:space="preserve">Podsiadły, et al. </w:t>
            </w:r>
            <w:r w:rsidRPr="00C10663">
              <w:rPr>
                <w:lang w:val="en-CA"/>
              </w:rPr>
              <w:t xml:space="preserve"> </w:t>
            </w:r>
            <w:r>
              <w:rPr>
                <w:color w:val="000000"/>
                <w:sz w:val="18"/>
                <w:szCs w:val="18"/>
              </w:rPr>
              <w:t xml:space="preserve">Vector Borne Zoonotic Dis. 2011 Jul; 11(7): 985-9; 3. </w:t>
            </w:r>
            <w:r>
              <w:rPr>
                <w:sz w:val="18"/>
                <w:szCs w:val="18"/>
              </w:rPr>
              <w:t>Chmielewski-Badora, et al</w:t>
            </w:r>
            <w:r>
              <w:rPr>
                <w:color w:val="000000"/>
                <w:sz w:val="18"/>
                <w:szCs w:val="18"/>
              </w:rPr>
              <w:t>.</w:t>
            </w:r>
            <w:r>
              <w:rPr>
                <w:sz w:val="18"/>
                <w:szCs w:val="18"/>
              </w:rPr>
              <w:t xml:space="preserve"> </w:t>
            </w:r>
            <w:r>
              <w:rPr>
                <w:color w:val="000000"/>
                <w:sz w:val="18"/>
                <w:szCs w:val="18"/>
              </w:rPr>
              <w:t>Ann Agric Environ Med. 2012; 19(2): 271-4; 4. Eskow, et al.</w:t>
            </w:r>
            <w:r>
              <w:t xml:space="preserve">  </w:t>
            </w:r>
            <w:r>
              <w:rPr>
                <w:color w:val="000000"/>
                <w:sz w:val="18"/>
                <w:szCs w:val="18"/>
              </w:rPr>
              <w:t xml:space="preserve">Arch Neurol. </w:t>
            </w:r>
            <w:r w:rsidRPr="00C10663">
              <w:rPr>
                <w:color w:val="000000"/>
                <w:sz w:val="18"/>
                <w:szCs w:val="18"/>
                <w:lang w:val="fr-CA"/>
              </w:rPr>
              <w:t xml:space="preserve">2001 Sep; 58(9):1357-63; 5. </w:t>
            </w:r>
            <w:r w:rsidRPr="002914A2">
              <w:rPr>
                <w:color w:val="000000"/>
                <w:sz w:val="18"/>
                <w:szCs w:val="18"/>
                <w:lang w:val="fr-CA"/>
              </w:rPr>
              <w:t xml:space="preserve">Gupta, et al. </w:t>
            </w:r>
            <w:r w:rsidRPr="002914A2">
              <w:rPr>
                <w:lang w:val="fr-CA"/>
              </w:rPr>
              <w:t xml:space="preserve"> </w:t>
            </w:r>
            <w:r w:rsidRPr="002914A2">
              <w:rPr>
                <w:color w:val="000000"/>
                <w:sz w:val="18"/>
                <w:szCs w:val="18"/>
                <w:lang w:val="fr-CA"/>
              </w:rPr>
              <w:t xml:space="preserve">Eye (Lond). 2009 Jul; 23(7): 1607; 6. Rigaud, et al. Clin Microbiol Infect. </w:t>
            </w:r>
            <w:r w:rsidRPr="00C10663">
              <w:rPr>
                <w:color w:val="000000"/>
                <w:sz w:val="18"/>
                <w:szCs w:val="18"/>
                <w:lang w:val="fr-CA"/>
              </w:rPr>
              <w:t>2016 Aug;22(8):735.e1-9.</w:t>
            </w:r>
          </w:p>
          <w:p w14:paraId="0BC2A238" w14:textId="5E03ED8D" w:rsidR="00E343BA" w:rsidRPr="00C10663" w:rsidRDefault="00E343BA">
            <w:pPr>
              <w:rPr>
                <w:b/>
                <w:color w:val="000000"/>
                <w:sz w:val="20"/>
                <w:szCs w:val="20"/>
                <w:lang w:val="fr-CA"/>
              </w:rPr>
            </w:pPr>
          </w:p>
        </w:tc>
      </w:tr>
      <w:tr w:rsidR="002D58E4" w14:paraId="16AC47C7" w14:textId="77777777">
        <w:trPr>
          <w:trHeight w:val="660"/>
        </w:trPr>
        <w:tc>
          <w:tcPr>
            <w:tcW w:w="840"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5F740DE8" w14:textId="77777777" w:rsidR="002D58E4" w:rsidRDefault="00F721D4">
            <w:pPr>
              <w:jc w:val="center"/>
              <w:rPr>
                <w:sz w:val="20"/>
                <w:szCs w:val="20"/>
              </w:rPr>
            </w:pPr>
            <w:r>
              <w:rPr>
                <w:b/>
                <w:color w:val="000000"/>
                <w:sz w:val="20"/>
                <w:szCs w:val="20"/>
              </w:rPr>
              <w:t>Study, Location</w:t>
            </w:r>
          </w:p>
        </w:tc>
        <w:tc>
          <w:tcPr>
            <w:tcW w:w="861" w:type="dxa"/>
            <w:tcBorders>
              <w:top w:val="single" w:sz="6" w:space="0" w:color="AEAEAE"/>
              <w:left w:val="single" w:sz="6" w:space="0" w:color="AEAEAE"/>
              <w:bottom w:val="single" w:sz="6" w:space="0" w:color="AEAEAE"/>
              <w:right w:val="single" w:sz="6" w:space="0" w:color="AEAEAE"/>
            </w:tcBorders>
            <w:shd w:val="clear" w:color="auto" w:fill="D9D9D9"/>
          </w:tcPr>
          <w:p w14:paraId="0246691B"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623AF2E5" w14:textId="77777777" w:rsidR="002D58E4" w:rsidRDefault="00F721D4">
            <w:pPr>
              <w:jc w:val="center"/>
              <w:rPr>
                <w:b/>
                <w:color w:val="000000"/>
                <w:sz w:val="20"/>
                <w:szCs w:val="20"/>
              </w:rPr>
            </w:pPr>
            <w:r>
              <w:rPr>
                <w:b/>
                <w:color w:val="000000"/>
                <w:sz w:val="20"/>
                <w:szCs w:val="20"/>
              </w:rPr>
              <w:t>Risk of bias*</w:t>
            </w:r>
          </w:p>
        </w:tc>
        <w:tc>
          <w:tcPr>
            <w:tcW w:w="2489" w:type="dxa"/>
            <w:tcBorders>
              <w:top w:val="single" w:sz="6" w:space="0" w:color="AEAEAE"/>
              <w:left w:val="single" w:sz="6" w:space="0" w:color="AEAEAE"/>
              <w:bottom w:val="single" w:sz="6" w:space="0" w:color="AEAEAE"/>
              <w:right w:val="single" w:sz="6" w:space="0" w:color="AEAEAE"/>
            </w:tcBorders>
            <w:shd w:val="clear" w:color="auto" w:fill="D9D9D9"/>
          </w:tcPr>
          <w:p w14:paraId="0A851CFB" w14:textId="77777777" w:rsidR="002D58E4" w:rsidRDefault="00F721D4">
            <w:pPr>
              <w:jc w:val="center"/>
              <w:rPr>
                <w:b/>
                <w:color w:val="000000"/>
                <w:sz w:val="20"/>
                <w:szCs w:val="20"/>
              </w:rPr>
            </w:pPr>
            <w:r>
              <w:rPr>
                <w:b/>
                <w:color w:val="000000"/>
                <w:sz w:val="20"/>
                <w:szCs w:val="20"/>
              </w:rPr>
              <w:t>Population characteristics, Disease presentation</w:t>
            </w:r>
          </w:p>
        </w:tc>
        <w:tc>
          <w:tcPr>
            <w:tcW w:w="2268" w:type="dxa"/>
            <w:tcBorders>
              <w:top w:val="single" w:sz="6" w:space="0" w:color="AEAEAE"/>
              <w:left w:val="single" w:sz="6" w:space="0" w:color="AEAEAE"/>
              <w:bottom w:val="single" w:sz="6" w:space="0" w:color="AEAEAE"/>
              <w:right w:val="single" w:sz="6" w:space="0" w:color="AEAEAE"/>
            </w:tcBorders>
            <w:shd w:val="clear" w:color="auto" w:fill="D9D9D9"/>
          </w:tcPr>
          <w:p w14:paraId="2FB56EE0" w14:textId="77777777" w:rsidR="002D58E4" w:rsidRDefault="00F721D4">
            <w:pPr>
              <w:jc w:val="center"/>
              <w:rPr>
                <w:b/>
                <w:color w:val="000000"/>
                <w:sz w:val="20"/>
                <w:szCs w:val="20"/>
              </w:rPr>
            </w:pPr>
            <w:r>
              <w:rPr>
                <w:b/>
                <w:color w:val="000000"/>
                <w:sz w:val="20"/>
                <w:szCs w:val="20"/>
              </w:rPr>
              <w:t>Bartonella Diagnosis Method, Lyme Disease Diagnosis method (if applicable)</w:t>
            </w:r>
          </w:p>
        </w:tc>
        <w:tc>
          <w:tcPr>
            <w:tcW w:w="2410" w:type="dxa"/>
            <w:tcBorders>
              <w:top w:val="single" w:sz="6" w:space="0" w:color="AEAEAE"/>
              <w:left w:val="single" w:sz="6" w:space="0" w:color="AEAEAE"/>
              <w:bottom w:val="single" w:sz="6" w:space="0" w:color="AEAEAE"/>
              <w:right w:val="single" w:sz="6" w:space="0" w:color="AEAEAE"/>
            </w:tcBorders>
            <w:shd w:val="clear" w:color="auto" w:fill="D9D9D9"/>
          </w:tcPr>
          <w:p w14:paraId="5E6B48DC" w14:textId="77777777" w:rsidR="002D58E4" w:rsidRDefault="00F721D4">
            <w:pPr>
              <w:jc w:val="center"/>
              <w:rPr>
                <w:sz w:val="20"/>
                <w:szCs w:val="20"/>
              </w:rPr>
            </w:pPr>
            <w:r>
              <w:rPr>
                <w:b/>
                <w:color w:val="000000"/>
                <w:sz w:val="20"/>
                <w:szCs w:val="20"/>
              </w:rPr>
              <w:t>% Co-infected</w:t>
            </w:r>
          </w:p>
          <w:p w14:paraId="54D716AF" w14:textId="77777777" w:rsidR="002D58E4" w:rsidRDefault="00F721D4">
            <w:pPr>
              <w:jc w:val="center"/>
              <w:rPr>
                <w:b/>
                <w:color w:val="000000"/>
                <w:sz w:val="20"/>
                <w:szCs w:val="20"/>
              </w:rPr>
            </w:pPr>
            <w:r>
              <w:rPr>
                <w:b/>
                <w:color w:val="000000"/>
                <w:sz w:val="20"/>
                <w:szCs w:val="20"/>
              </w:rPr>
              <w:t>(N cases/N Lyme cases)</w:t>
            </w:r>
          </w:p>
        </w:tc>
        <w:tc>
          <w:tcPr>
            <w:tcW w:w="5244" w:type="dxa"/>
            <w:tcBorders>
              <w:top w:val="single" w:sz="6" w:space="0" w:color="AEAEAE"/>
              <w:left w:val="single" w:sz="6" w:space="0" w:color="AEAEAE"/>
              <w:bottom w:val="single" w:sz="6" w:space="0" w:color="AEAEAE"/>
              <w:right w:val="single" w:sz="6" w:space="0" w:color="AEAEAE"/>
            </w:tcBorders>
            <w:shd w:val="clear" w:color="auto" w:fill="D9D9D9"/>
          </w:tcPr>
          <w:p w14:paraId="5A8E0D97" w14:textId="77777777" w:rsidR="002D58E4" w:rsidRDefault="00F721D4">
            <w:pPr>
              <w:jc w:val="center"/>
              <w:rPr>
                <w:b/>
                <w:color w:val="000000"/>
                <w:sz w:val="20"/>
                <w:szCs w:val="20"/>
              </w:rPr>
            </w:pPr>
            <w:r>
              <w:rPr>
                <w:b/>
                <w:color w:val="000000"/>
                <w:sz w:val="20"/>
                <w:szCs w:val="20"/>
              </w:rPr>
              <w:t>Treatment(s) received and Study Conclusions</w:t>
            </w:r>
          </w:p>
        </w:tc>
      </w:tr>
      <w:tr w:rsidR="002D58E4" w14:paraId="4D3A1F9C"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A4A62AD" w14:textId="77777777" w:rsidR="002D58E4" w:rsidRDefault="00F721D4">
            <w:pPr>
              <w:rPr>
                <w:sz w:val="20"/>
                <w:szCs w:val="20"/>
              </w:rPr>
            </w:pPr>
            <w:r>
              <w:rPr>
                <w:sz w:val="20"/>
                <w:szCs w:val="20"/>
              </w:rPr>
              <w:t>Podsiadły, et al., 2003</w:t>
            </w:r>
          </w:p>
          <w:p w14:paraId="42B86854" w14:textId="77777777" w:rsidR="002D58E4" w:rsidRDefault="002D58E4">
            <w:pPr>
              <w:rPr>
                <w:sz w:val="20"/>
                <w:szCs w:val="20"/>
              </w:rPr>
            </w:pPr>
          </w:p>
          <w:p w14:paraId="3787446B" w14:textId="77777777" w:rsidR="002D58E4" w:rsidRDefault="00F721D4">
            <w:pPr>
              <w:rPr>
                <w:sz w:val="20"/>
                <w:szCs w:val="20"/>
              </w:rPr>
            </w:pPr>
            <w:r>
              <w:rPr>
                <w:sz w:val="20"/>
                <w:szCs w:val="20"/>
              </w:rPr>
              <w:t>Warsaw, Poland</w:t>
            </w:r>
          </w:p>
        </w:tc>
        <w:tc>
          <w:tcPr>
            <w:tcW w:w="861" w:type="dxa"/>
            <w:tcBorders>
              <w:top w:val="single" w:sz="6" w:space="0" w:color="AEAEAE"/>
              <w:left w:val="single" w:sz="6" w:space="0" w:color="AEAEAE"/>
              <w:bottom w:val="single" w:sz="6" w:space="0" w:color="AEAEAE"/>
              <w:right w:val="single" w:sz="6" w:space="0" w:color="AEAEAE"/>
            </w:tcBorders>
            <w:vAlign w:val="center"/>
          </w:tcPr>
          <w:p w14:paraId="5B5897E8"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70C893B8" w14:textId="77777777" w:rsidR="002D58E4" w:rsidRDefault="00F721D4">
            <w:pPr>
              <w:jc w:val="center"/>
              <w:rPr>
                <w:sz w:val="20"/>
                <w:szCs w:val="20"/>
              </w:rPr>
            </w:pPr>
            <w:r>
              <w:rPr>
                <w:sz w:val="20"/>
                <w:szCs w:val="20"/>
              </w:rPr>
              <w:t>5</w:t>
            </w:r>
          </w:p>
        </w:tc>
        <w:tc>
          <w:tcPr>
            <w:tcW w:w="2489" w:type="dxa"/>
            <w:tcBorders>
              <w:top w:val="single" w:sz="6" w:space="0" w:color="AEAEAE"/>
              <w:left w:val="single" w:sz="6" w:space="0" w:color="AEAEAE"/>
              <w:bottom w:val="single" w:sz="6" w:space="0" w:color="AEAEAE"/>
              <w:right w:val="single" w:sz="6" w:space="0" w:color="AEAEAE"/>
            </w:tcBorders>
            <w:vAlign w:val="center"/>
          </w:tcPr>
          <w:p w14:paraId="59D7DE06" w14:textId="77777777" w:rsidR="002D58E4" w:rsidRDefault="00F721D4">
            <w:pPr>
              <w:rPr>
                <w:sz w:val="20"/>
                <w:szCs w:val="20"/>
              </w:rPr>
            </w:pPr>
            <w:r>
              <w:rPr>
                <w:sz w:val="20"/>
                <w:szCs w:val="20"/>
              </w:rPr>
              <w:t xml:space="preserve">17 patients with clinical symptoms suggesting neuroborreliosis were serologically surveyed. </w:t>
            </w:r>
          </w:p>
          <w:p w14:paraId="496D6079" w14:textId="77777777" w:rsidR="002D58E4" w:rsidRDefault="002D58E4">
            <w:pPr>
              <w:rPr>
                <w:sz w:val="20"/>
                <w:szCs w:val="20"/>
              </w:rPr>
            </w:pPr>
          </w:p>
          <w:p w14:paraId="041AE910" w14:textId="77777777" w:rsidR="002D58E4" w:rsidRDefault="00F721D4">
            <w:pPr>
              <w:rPr>
                <w:sz w:val="20"/>
                <w:szCs w:val="20"/>
              </w:rPr>
            </w:pPr>
            <w:r>
              <w:rPr>
                <w:sz w:val="20"/>
                <w:szCs w:val="20"/>
              </w:rPr>
              <w:t xml:space="preserve">Symptoms included meningitis (N=9), multiple sclerosis (N=2), headache (N=2), double vision with difficulty walking (N=1), mediastinal lymphadenitis with pulmonary interstitial changes (N=1), depression with paresis of face muscles (N=1), and bilateral facial nerve palsy (N=1). </w:t>
            </w:r>
          </w:p>
        </w:tc>
        <w:tc>
          <w:tcPr>
            <w:tcW w:w="2268" w:type="dxa"/>
            <w:tcBorders>
              <w:top w:val="single" w:sz="6" w:space="0" w:color="AEAEAE"/>
              <w:left w:val="single" w:sz="6" w:space="0" w:color="AEAEAE"/>
              <w:bottom w:val="single" w:sz="6" w:space="0" w:color="AEAEAE"/>
              <w:right w:val="single" w:sz="6" w:space="0" w:color="AEAEAE"/>
            </w:tcBorders>
            <w:vAlign w:val="center"/>
          </w:tcPr>
          <w:p w14:paraId="176BBBE5" w14:textId="77777777" w:rsidR="002D58E4" w:rsidRDefault="00F721D4">
            <w:pPr>
              <w:rPr>
                <w:sz w:val="20"/>
                <w:szCs w:val="20"/>
              </w:rPr>
            </w:pPr>
            <w:r>
              <w:rPr>
                <w:sz w:val="20"/>
                <w:szCs w:val="20"/>
              </w:rPr>
              <w:t xml:space="preserve">Patients were tested for antibody titers against </w:t>
            </w:r>
            <w:r>
              <w:rPr>
                <w:i/>
                <w:sz w:val="20"/>
                <w:szCs w:val="20"/>
              </w:rPr>
              <w:t>B. henselae</w:t>
            </w:r>
            <w:r>
              <w:rPr>
                <w:sz w:val="20"/>
                <w:szCs w:val="20"/>
              </w:rPr>
              <w:t xml:space="preserve"> by IFA. </w:t>
            </w:r>
          </w:p>
          <w:p w14:paraId="1B13F2B2" w14:textId="77777777" w:rsidR="002D58E4" w:rsidRDefault="002D58E4">
            <w:pPr>
              <w:rPr>
                <w:sz w:val="20"/>
                <w:szCs w:val="20"/>
              </w:rPr>
            </w:pPr>
          </w:p>
          <w:p w14:paraId="67525A79" w14:textId="77777777" w:rsidR="002D58E4" w:rsidRDefault="00F721D4">
            <w:pPr>
              <w:rPr>
                <w:sz w:val="20"/>
                <w:szCs w:val="20"/>
              </w:rPr>
            </w:pPr>
            <w:r>
              <w:rPr>
                <w:sz w:val="20"/>
                <w:szCs w:val="20"/>
              </w:rPr>
              <w:t xml:space="preserve">Patients were tested for antibodies against </w:t>
            </w:r>
            <w:r>
              <w:rPr>
                <w:i/>
                <w:sz w:val="20"/>
                <w:szCs w:val="20"/>
              </w:rPr>
              <w:t>B. burgdorferi</w:t>
            </w:r>
            <w:r>
              <w:rPr>
                <w:sz w:val="20"/>
                <w:szCs w:val="20"/>
              </w:rPr>
              <w:t xml:space="preserve"> by ELISA. </w:t>
            </w:r>
          </w:p>
          <w:p w14:paraId="5D65BC8E" w14:textId="77777777" w:rsidR="002D58E4" w:rsidRDefault="002D58E4">
            <w:pPr>
              <w:rPr>
                <w:sz w:val="20"/>
                <w:szCs w:val="20"/>
              </w:rPr>
            </w:pPr>
          </w:p>
          <w:p w14:paraId="22FF834E" w14:textId="77777777" w:rsidR="002D58E4" w:rsidRDefault="002D58E4">
            <w:pPr>
              <w:rPr>
                <w:sz w:val="20"/>
                <w:szCs w:val="20"/>
              </w:rPr>
            </w:pPr>
          </w:p>
        </w:tc>
        <w:tc>
          <w:tcPr>
            <w:tcW w:w="2410" w:type="dxa"/>
            <w:tcBorders>
              <w:top w:val="single" w:sz="6" w:space="0" w:color="AEAEAE"/>
              <w:left w:val="single" w:sz="6" w:space="0" w:color="AEAEAE"/>
              <w:bottom w:val="single" w:sz="6" w:space="0" w:color="AEAEAE"/>
              <w:right w:val="single" w:sz="6" w:space="0" w:color="AEAEAE"/>
            </w:tcBorders>
            <w:vAlign w:val="center"/>
          </w:tcPr>
          <w:p w14:paraId="3F5D1A82" w14:textId="77777777" w:rsidR="002D58E4" w:rsidRDefault="00F721D4">
            <w:pPr>
              <w:rPr>
                <w:sz w:val="20"/>
                <w:szCs w:val="20"/>
              </w:rPr>
            </w:pPr>
            <w:r>
              <w:rPr>
                <w:sz w:val="20"/>
                <w:szCs w:val="20"/>
              </w:rPr>
              <w:t xml:space="preserve">1 of 17 (0.06%) patients was positive for </w:t>
            </w:r>
            <w:r>
              <w:rPr>
                <w:i/>
                <w:sz w:val="20"/>
                <w:szCs w:val="20"/>
              </w:rPr>
              <w:t>B. henselae</w:t>
            </w:r>
            <w:r>
              <w:rPr>
                <w:sz w:val="20"/>
                <w:szCs w:val="20"/>
              </w:rPr>
              <w:t xml:space="preserve"> alone. This patient had received ceftriaxone for assumed neuroborreliosis 2 months previously.  </w:t>
            </w:r>
          </w:p>
          <w:p w14:paraId="71CEB887" w14:textId="77777777" w:rsidR="002D58E4" w:rsidRDefault="002D58E4">
            <w:pPr>
              <w:rPr>
                <w:sz w:val="20"/>
                <w:szCs w:val="20"/>
              </w:rPr>
            </w:pPr>
          </w:p>
          <w:p w14:paraId="228A01F0" w14:textId="77777777" w:rsidR="002D58E4" w:rsidRDefault="00F721D4">
            <w:pPr>
              <w:rPr>
                <w:i/>
                <w:sz w:val="20"/>
                <w:szCs w:val="20"/>
              </w:rPr>
            </w:pPr>
            <w:r>
              <w:rPr>
                <w:sz w:val="20"/>
                <w:szCs w:val="20"/>
              </w:rPr>
              <w:t xml:space="preserve">12 of 17 patients (70.6%) were positive for </w:t>
            </w:r>
            <w:r>
              <w:rPr>
                <w:i/>
                <w:sz w:val="20"/>
                <w:szCs w:val="20"/>
              </w:rPr>
              <w:t xml:space="preserve">B. burgdorferi infection. </w:t>
            </w:r>
          </w:p>
          <w:p w14:paraId="2379276F" w14:textId="77777777" w:rsidR="002D58E4" w:rsidRDefault="002D58E4">
            <w:pPr>
              <w:rPr>
                <w:i/>
                <w:sz w:val="20"/>
                <w:szCs w:val="20"/>
              </w:rPr>
            </w:pPr>
          </w:p>
          <w:p w14:paraId="79EA9F98" w14:textId="77777777" w:rsidR="002D58E4" w:rsidRPr="00E343BA" w:rsidRDefault="00F721D4">
            <w:pPr>
              <w:rPr>
                <w:i/>
                <w:sz w:val="20"/>
                <w:szCs w:val="20"/>
              </w:rPr>
            </w:pPr>
            <w:r w:rsidRPr="00E343BA">
              <w:rPr>
                <w:sz w:val="20"/>
                <w:szCs w:val="20"/>
              </w:rPr>
              <w:t xml:space="preserve">2 of 12 (16.7%) patients with neuroborreliosis were positive for both </w:t>
            </w:r>
            <w:r w:rsidRPr="00E343BA">
              <w:rPr>
                <w:i/>
                <w:sz w:val="20"/>
                <w:szCs w:val="20"/>
              </w:rPr>
              <w:t xml:space="preserve">B. burgdorferi </w:t>
            </w:r>
            <w:r w:rsidRPr="00E343BA">
              <w:rPr>
                <w:sz w:val="20"/>
                <w:szCs w:val="20"/>
              </w:rPr>
              <w:t xml:space="preserve">and </w:t>
            </w:r>
            <w:r w:rsidRPr="00E343BA">
              <w:rPr>
                <w:i/>
                <w:sz w:val="20"/>
                <w:szCs w:val="20"/>
              </w:rPr>
              <w:t>B. henselae.</w:t>
            </w:r>
          </w:p>
        </w:tc>
        <w:tc>
          <w:tcPr>
            <w:tcW w:w="5244" w:type="dxa"/>
            <w:tcBorders>
              <w:top w:val="single" w:sz="6" w:space="0" w:color="AEAEAE"/>
              <w:left w:val="single" w:sz="6" w:space="0" w:color="AEAEAE"/>
              <w:bottom w:val="single" w:sz="6" w:space="0" w:color="AEAEAE"/>
              <w:right w:val="single" w:sz="6" w:space="0" w:color="AEAEAE"/>
            </w:tcBorders>
            <w:vAlign w:val="center"/>
          </w:tcPr>
          <w:p w14:paraId="38F974FE" w14:textId="77777777" w:rsidR="002D58E4" w:rsidRDefault="00F721D4">
            <w:pPr>
              <w:rPr>
                <w:sz w:val="20"/>
                <w:szCs w:val="20"/>
              </w:rPr>
            </w:pPr>
            <w:r>
              <w:rPr>
                <w:sz w:val="20"/>
                <w:szCs w:val="20"/>
              </w:rPr>
              <w:t xml:space="preserve">The authors concluded that </w:t>
            </w:r>
            <w:r>
              <w:rPr>
                <w:i/>
                <w:sz w:val="20"/>
                <w:szCs w:val="20"/>
              </w:rPr>
              <w:t xml:space="preserve">B. henselae </w:t>
            </w:r>
            <w:r>
              <w:rPr>
                <w:sz w:val="20"/>
                <w:szCs w:val="20"/>
              </w:rPr>
              <w:t xml:space="preserve">can be an etiological agent of a central nervous system infection. </w:t>
            </w:r>
          </w:p>
          <w:p w14:paraId="550A07F8" w14:textId="77777777" w:rsidR="002D58E4" w:rsidRDefault="002D58E4">
            <w:pPr>
              <w:rPr>
                <w:sz w:val="20"/>
                <w:szCs w:val="20"/>
              </w:rPr>
            </w:pPr>
          </w:p>
          <w:p w14:paraId="7CE08ACF" w14:textId="77777777" w:rsidR="002D58E4" w:rsidRDefault="00F721D4">
            <w:pPr>
              <w:rPr>
                <w:sz w:val="20"/>
                <w:szCs w:val="20"/>
              </w:rPr>
            </w:pPr>
            <w:r>
              <w:rPr>
                <w:sz w:val="20"/>
                <w:szCs w:val="20"/>
              </w:rPr>
              <w:t xml:space="preserve">They suggest that mixed infections with Lyme and </w:t>
            </w:r>
            <w:r>
              <w:rPr>
                <w:i/>
                <w:sz w:val="20"/>
                <w:szCs w:val="20"/>
              </w:rPr>
              <w:t>Bartonella</w:t>
            </w:r>
            <w:r>
              <w:rPr>
                <w:sz w:val="20"/>
                <w:szCs w:val="20"/>
              </w:rPr>
              <w:t xml:space="preserve"> should be taken into account in patients with neurologic symptoms, particularly in the event of incomplete resolution of neuroborreliosis symptoms after administration of appropriate antibiotic treatment for Lyme disease. </w:t>
            </w:r>
          </w:p>
        </w:tc>
      </w:tr>
      <w:tr w:rsidR="002D58E4" w14:paraId="544138F5"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9DB799D" w14:textId="77777777" w:rsidR="002D58E4" w:rsidRDefault="00F721D4">
            <w:pPr>
              <w:rPr>
                <w:sz w:val="20"/>
                <w:szCs w:val="20"/>
              </w:rPr>
            </w:pPr>
            <w:r>
              <w:rPr>
                <w:sz w:val="20"/>
                <w:szCs w:val="20"/>
              </w:rPr>
              <w:t>Podsiadły, et al, 2011</w:t>
            </w:r>
          </w:p>
          <w:p w14:paraId="03D562FE" w14:textId="77777777" w:rsidR="002D58E4" w:rsidRDefault="002D58E4">
            <w:pPr>
              <w:rPr>
                <w:sz w:val="20"/>
                <w:szCs w:val="20"/>
              </w:rPr>
            </w:pPr>
          </w:p>
          <w:p w14:paraId="2C434D6B" w14:textId="77777777" w:rsidR="002D58E4" w:rsidRDefault="00F721D4">
            <w:pPr>
              <w:rPr>
                <w:sz w:val="20"/>
                <w:szCs w:val="20"/>
              </w:rPr>
            </w:pPr>
            <w:r>
              <w:rPr>
                <w:sz w:val="20"/>
                <w:szCs w:val="20"/>
              </w:rPr>
              <w:t>Warsaw, Poland</w:t>
            </w:r>
          </w:p>
        </w:tc>
        <w:tc>
          <w:tcPr>
            <w:tcW w:w="861" w:type="dxa"/>
            <w:tcBorders>
              <w:top w:val="single" w:sz="6" w:space="0" w:color="AEAEAE"/>
              <w:left w:val="single" w:sz="6" w:space="0" w:color="AEAEAE"/>
              <w:bottom w:val="single" w:sz="6" w:space="0" w:color="AEAEAE"/>
              <w:right w:val="single" w:sz="6" w:space="0" w:color="AEAEAE"/>
            </w:tcBorders>
            <w:vAlign w:val="center"/>
          </w:tcPr>
          <w:p w14:paraId="2CFDBC9E"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1D39BC76" w14:textId="77777777" w:rsidR="002D58E4" w:rsidRDefault="00F721D4">
            <w:pPr>
              <w:jc w:val="center"/>
              <w:rPr>
                <w:sz w:val="20"/>
                <w:szCs w:val="20"/>
              </w:rPr>
            </w:pPr>
            <w:r>
              <w:rPr>
                <w:sz w:val="20"/>
                <w:szCs w:val="20"/>
              </w:rPr>
              <w:t>5</w:t>
            </w:r>
          </w:p>
        </w:tc>
        <w:tc>
          <w:tcPr>
            <w:tcW w:w="2489" w:type="dxa"/>
            <w:tcBorders>
              <w:top w:val="single" w:sz="6" w:space="0" w:color="AEAEAE"/>
              <w:left w:val="single" w:sz="6" w:space="0" w:color="AEAEAE"/>
              <w:bottom w:val="single" w:sz="6" w:space="0" w:color="AEAEAE"/>
              <w:right w:val="single" w:sz="6" w:space="0" w:color="AEAEAE"/>
            </w:tcBorders>
            <w:vAlign w:val="center"/>
          </w:tcPr>
          <w:p w14:paraId="4AFFC426" w14:textId="77777777" w:rsidR="002D58E4" w:rsidRDefault="00F721D4">
            <w:pPr>
              <w:rPr>
                <w:sz w:val="20"/>
                <w:szCs w:val="20"/>
              </w:rPr>
            </w:pPr>
            <w:r>
              <w:rPr>
                <w:sz w:val="20"/>
                <w:szCs w:val="20"/>
              </w:rPr>
              <w:t xml:space="preserve">129 occupationally exposed foresters (80% male; mean age 29 years) working in an endemic region who were at high exposure to tick bites. </w:t>
            </w:r>
          </w:p>
        </w:tc>
        <w:tc>
          <w:tcPr>
            <w:tcW w:w="2268" w:type="dxa"/>
            <w:tcBorders>
              <w:top w:val="single" w:sz="6" w:space="0" w:color="AEAEAE"/>
              <w:left w:val="single" w:sz="6" w:space="0" w:color="AEAEAE"/>
              <w:bottom w:val="single" w:sz="6" w:space="0" w:color="AEAEAE"/>
              <w:right w:val="single" w:sz="6" w:space="0" w:color="AEAEAE"/>
            </w:tcBorders>
            <w:vAlign w:val="center"/>
          </w:tcPr>
          <w:p w14:paraId="5114B202" w14:textId="77777777" w:rsidR="002D58E4" w:rsidRDefault="00F721D4">
            <w:pPr>
              <w:rPr>
                <w:sz w:val="20"/>
                <w:szCs w:val="20"/>
              </w:rPr>
            </w:pPr>
            <w:r>
              <w:rPr>
                <w:sz w:val="20"/>
                <w:szCs w:val="20"/>
              </w:rPr>
              <w:t>Indirect immunofluorescence assay (IFA) was used to measure titers of anti-</w:t>
            </w:r>
            <w:r>
              <w:rPr>
                <w:i/>
                <w:sz w:val="20"/>
                <w:szCs w:val="20"/>
              </w:rPr>
              <w:t>A. phagocytophilum</w:t>
            </w:r>
            <w:r>
              <w:rPr>
                <w:sz w:val="20"/>
                <w:szCs w:val="20"/>
              </w:rPr>
              <w:t xml:space="preserve">, </w:t>
            </w:r>
            <w:r>
              <w:rPr>
                <w:i/>
                <w:sz w:val="20"/>
                <w:szCs w:val="20"/>
              </w:rPr>
              <w:t>B. microti</w:t>
            </w:r>
            <w:r>
              <w:rPr>
                <w:sz w:val="20"/>
                <w:szCs w:val="20"/>
              </w:rPr>
              <w:t xml:space="preserve"> and </w:t>
            </w:r>
            <w:r>
              <w:rPr>
                <w:i/>
                <w:sz w:val="20"/>
                <w:szCs w:val="20"/>
              </w:rPr>
              <w:t xml:space="preserve">Bartonella </w:t>
            </w:r>
            <w:r>
              <w:rPr>
                <w:sz w:val="20"/>
                <w:szCs w:val="20"/>
              </w:rPr>
              <w:t xml:space="preserve">IgG. </w:t>
            </w:r>
          </w:p>
          <w:p w14:paraId="21FDC627" w14:textId="77777777" w:rsidR="002D58E4" w:rsidRDefault="002D58E4">
            <w:pPr>
              <w:rPr>
                <w:sz w:val="20"/>
                <w:szCs w:val="20"/>
              </w:rPr>
            </w:pPr>
          </w:p>
          <w:p w14:paraId="1FA78E54" w14:textId="77777777" w:rsidR="002D58E4" w:rsidRDefault="00F721D4">
            <w:pPr>
              <w:rPr>
                <w:sz w:val="20"/>
                <w:szCs w:val="20"/>
              </w:rPr>
            </w:pPr>
            <w:r>
              <w:rPr>
                <w:sz w:val="20"/>
                <w:szCs w:val="20"/>
              </w:rPr>
              <w:t>Anti-</w:t>
            </w:r>
            <w:r>
              <w:rPr>
                <w:i/>
                <w:sz w:val="20"/>
                <w:szCs w:val="20"/>
              </w:rPr>
              <w:t>B. burgdorferi</w:t>
            </w:r>
            <w:r>
              <w:rPr>
                <w:sz w:val="20"/>
                <w:szCs w:val="20"/>
              </w:rPr>
              <w:t xml:space="preserve"> IgM and IgG were measured by ELISA.</w:t>
            </w:r>
          </w:p>
        </w:tc>
        <w:tc>
          <w:tcPr>
            <w:tcW w:w="2410" w:type="dxa"/>
            <w:tcBorders>
              <w:top w:val="single" w:sz="6" w:space="0" w:color="AEAEAE"/>
              <w:left w:val="single" w:sz="6" w:space="0" w:color="AEAEAE"/>
              <w:bottom w:val="single" w:sz="6" w:space="0" w:color="AEAEAE"/>
              <w:right w:val="single" w:sz="6" w:space="0" w:color="AEAEAE"/>
            </w:tcBorders>
            <w:vAlign w:val="center"/>
          </w:tcPr>
          <w:p w14:paraId="7A0BDCEB" w14:textId="77777777" w:rsidR="002D58E4" w:rsidRDefault="00F721D4">
            <w:pPr>
              <w:rPr>
                <w:i/>
                <w:sz w:val="20"/>
                <w:szCs w:val="20"/>
              </w:rPr>
            </w:pPr>
            <w:r>
              <w:rPr>
                <w:sz w:val="20"/>
                <w:szCs w:val="20"/>
              </w:rPr>
              <w:t xml:space="preserve">10% of forest workers reported hand antibodies to both </w:t>
            </w:r>
            <w:r>
              <w:rPr>
                <w:i/>
                <w:sz w:val="20"/>
                <w:szCs w:val="20"/>
              </w:rPr>
              <w:t xml:space="preserve">B. burgdorferi </w:t>
            </w:r>
            <w:r>
              <w:rPr>
                <w:sz w:val="20"/>
                <w:szCs w:val="20"/>
              </w:rPr>
              <w:t xml:space="preserve">and </w:t>
            </w:r>
            <w:r>
              <w:rPr>
                <w:i/>
                <w:sz w:val="20"/>
                <w:szCs w:val="20"/>
              </w:rPr>
              <w:t xml:space="preserve">Bartonella </w:t>
            </w:r>
            <w:r>
              <w:rPr>
                <w:sz w:val="20"/>
                <w:szCs w:val="20"/>
              </w:rPr>
              <w:t>spp</w:t>
            </w:r>
            <w:r>
              <w:rPr>
                <w:i/>
                <w:sz w:val="20"/>
                <w:szCs w:val="20"/>
              </w:rPr>
              <w:t>.</w:t>
            </w:r>
          </w:p>
          <w:p w14:paraId="34270A40" w14:textId="77777777" w:rsidR="002D58E4" w:rsidRDefault="002D58E4">
            <w:pPr>
              <w:rPr>
                <w:i/>
                <w:sz w:val="20"/>
                <w:szCs w:val="20"/>
              </w:rPr>
            </w:pPr>
          </w:p>
          <w:p w14:paraId="58C0FBDC" w14:textId="77777777" w:rsidR="002D58E4" w:rsidRDefault="00F721D4">
            <w:pPr>
              <w:rPr>
                <w:i/>
                <w:sz w:val="20"/>
                <w:szCs w:val="20"/>
              </w:rPr>
            </w:pPr>
            <w:r>
              <w:rPr>
                <w:sz w:val="20"/>
                <w:szCs w:val="20"/>
              </w:rPr>
              <w:t xml:space="preserve">34% (44/129) of workers were seropositive to </w:t>
            </w:r>
            <w:r>
              <w:rPr>
                <w:i/>
                <w:sz w:val="20"/>
                <w:szCs w:val="20"/>
              </w:rPr>
              <w:t xml:space="preserve">B. burgdorferi. </w:t>
            </w:r>
          </w:p>
          <w:p w14:paraId="7E8B131D" w14:textId="77777777" w:rsidR="002D58E4" w:rsidRDefault="002D58E4">
            <w:pPr>
              <w:rPr>
                <w:i/>
                <w:sz w:val="20"/>
                <w:szCs w:val="20"/>
              </w:rPr>
            </w:pPr>
          </w:p>
          <w:p w14:paraId="38694AD4" w14:textId="77777777" w:rsidR="002D58E4" w:rsidRDefault="00F721D4">
            <w:pPr>
              <w:rPr>
                <w:i/>
                <w:sz w:val="20"/>
                <w:szCs w:val="20"/>
              </w:rPr>
            </w:pPr>
            <w:r>
              <w:rPr>
                <w:i/>
                <w:sz w:val="20"/>
                <w:szCs w:val="20"/>
              </w:rPr>
              <w:t xml:space="preserve">Bartonella </w:t>
            </w:r>
            <w:r>
              <w:rPr>
                <w:sz w:val="20"/>
                <w:szCs w:val="20"/>
              </w:rPr>
              <w:t>spp. antibodies were found in about 30% (38/129) of the individuals.</w:t>
            </w:r>
          </w:p>
        </w:tc>
        <w:tc>
          <w:tcPr>
            <w:tcW w:w="5244" w:type="dxa"/>
            <w:tcBorders>
              <w:top w:val="single" w:sz="6" w:space="0" w:color="AEAEAE"/>
              <w:left w:val="single" w:sz="6" w:space="0" w:color="AEAEAE"/>
              <w:bottom w:val="single" w:sz="6" w:space="0" w:color="AEAEAE"/>
              <w:right w:val="single" w:sz="6" w:space="0" w:color="AEAEAE"/>
            </w:tcBorders>
            <w:vAlign w:val="center"/>
          </w:tcPr>
          <w:p w14:paraId="3A687444" w14:textId="77777777" w:rsidR="002D58E4" w:rsidRDefault="00F721D4">
            <w:pPr>
              <w:rPr>
                <w:sz w:val="20"/>
                <w:szCs w:val="20"/>
              </w:rPr>
            </w:pPr>
            <w:r>
              <w:rPr>
                <w:sz w:val="20"/>
                <w:szCs w:val="20"/>
              </w:rPr>
              <w:t xml:space="preserve">The most frequent findings of seropositivity in occupationally exposed forest workers in Poland were with </w:t>
            </w:r>
            <w:r>
              <w:rPr>
                <w:i/>
                <w:sz w:val="20"/>
                <w:szCs w:val="20"/>
              </w:rPr>
              <w:t xml:space="preserve">B. burgdorferi </w:t>
            </w:r>
            <w:r>
              <w:rPr>
                <w:sz w:val="20"/>
                <w:szCs w:val="20"/>
              </w:rPr>
              <w:t xml:space="preserve">and </w:t>
            </w:r>
            <w:r>
              <w:rPr>
                <w:i/>
                <w:sz w:val="20"/>
                <w:szCs w:val="20"/>
              </w:rPr>
              <w:t>Bartonella.</w:t>
            </w:r>
            <w:r>
              <w:rPr>
                <w:sz w:val="20"/>
                <w:szCs w:val="20"/>
              </w:rPr>
              <w:t xml:space="preserve"> This information is unable to discern when seropositive statuses were acquired. </w:t>
            </w:r>
          </w:p>
        </w:tc>
      </w:tr>
      <w:tr w:rsidR="002D58E4" w14:paraId="761529DC"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532EA31" w14:textId="77777777" w:rsidR="002D58E4" w:rsidRPr="002914A2" w:rsidRDefault="00F721D4">
            <w:pPr>
              <w:rPr>
                <w:sz w:val="20"/>
                <w:szCs w:val="20"/>
                <w:lang w:val="fr-CA"/>
              </w:rPr>
            </w:pPr>
            <w:r w:rsidRPr="002914A2">
              <w:rPr>
                <w:sz w:val="20"/>
                <w:szCs w:val="20"/>
                <w:lang w:val="fr-CA"/>
              </w:rPr>
              <w:t>Chmielewski-Badora, et al., 2012</w:t>
            </w:r>
          </w:p>
          <w:p w14:paraId="6D4F35CF" w14:textId="77777777" w:rsidR="002D58E4" w:rsidRPr="002914A2" w:rsidRDefault="002D58E4">
            <w:pPr>
              <w:rPr>
                <w:sz w:val="20"/>
                <w:szCs w:val="20"/>
                <w:lang w:val="fr-CA"/>
              </w:rPr>
            </w:pPr>
          </w:p>
          <w:p w14:paraId="12D04881" w14:textId="77777777" w:rsidR="002D58E4" w:rsidRPr="002914A2" w:rsidRDefault="00F721D4">
            <w:pPr>
              <w:rPr>
                <w:sz w:val="20"/>
                <w:szCs w:val="20"/>
                <w:lang w:val="fr-CA"/>
              </w:rPr>
            </w:pPr>
            <w:r w:rsidRPr="002914A2">
              <w:rPr>
                <w:sz w:val="20"/>
                <w:szCs w:val="20"/>
                <w:lang w:val="fr-CA"/>
              </w:rPr>
              <w:t>Lublin, Poland</w:t>
            </w:r>
          </w:p>
        </w:tc>
        <w:tc>
          <w:tcPr>
            <w:tcW w:w="861" w:type="dxa"/>
            <w:tcBorders>
              <w:top w:val="single" w:sz="6" w:space="0" w:color="AEAEAE"/>
              <w:left w:val="single" w:sz="6" w:space="0" w:color="AEAEAE"/>
              <w:bottom w:val="single" w:sz="6" w:space="0" w:color="AEAEAE"/>
              <w:right w:val="single" w:sz="6" w:space="0" w:color="AEAEAE"/>
            </w:tcBorders>
            <w:vAlign w:val="center"/>
          </w:tcPr>
          <w:p w14:paraId="5B7A2B8B"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78E5538D" w14:textId="77777777" w:rsidR="002D58E4" w:rsidRDefault="00F721D4">
            <w:pPr>
              <w:jc w:val="center"/>
              <w:rPr>
                <w:sz w:val="20"/>
                <w:szCs w:val="20"/>
              </w:rPr>
            </w:pPr>
            <w:r>
              <w:rPr>
                <w:sz w:val="20"/>
                <w:szCs w:val="20"/>
              </w:rPr>
              <w:t>6</w:t>
            </w:r>
          </w:p>
        </w:tc>
        <w:tc>
          <w:tcPr>
            <w:tcW w:w="2489" w:type="dxa"/>
            <w:tcBorders>
              <w:top w:val="single" w:sz="6" w:space="0" w:color="AEAEAE"/>
              <w:left w:val="single" w:sz="6" w:space="0" w:color="AEAEAE"/>
              <w:bottom w:val="single" w:sz="6" w:space="0" w:color="AEAEAE"/>
              <w:right w:val="single" w:sz="6" w:space="0" w:color="AEAEAE"/>
            </w:tcBorders>
            <w:vAlign w:val="center"/>
          </w:tcPr>
          <w:p w14:paraId="10C3432F" w14:textId="77777777" w:rsidR="002D58E4" w:rsidRDefault="00F721D4">
            <w:pPr>
              <w:rPr>
                <w:sz w:val="20"/>
                <w:szCs w:val="20"/>
              </w:rPr>
            </w:pPr>
            <w:r>
              <w:rPr>
                <w:sz w:val="20"/>
                <w:szCs w:val="20"/>
              </w:rPr>
              <w:t>Group1: 39 occupationally exposed farmers living in an endemic region.</w:t>
            </w:r>
          </w:p>
          <w:p w14:paraId="2DF51866" w14:textId="77777777" w:rsidR="002D58E4" w:rsidRDefault="002D58E4">
            <w:pPr>
              <w:rPr>
                <w:sz w:val="20"/>
                <w:szCs w:val="20"/>
              </w:rPr>
            </w:pPr>
          </w:p>
          <w:p w14:paraId="2EB5CEFB" w14:textId="77777777" w:rsidR="002D58E4" w:rsidRDefault="00F721D4">
            <w:pPr>
              <w:rPr>
                <w:sz w:val="20"/>
                <w:szCs w:val="20"/>
              </w:rPr>
            </w:pPr>
            <w:r>
              <w:rPr>
                <w:sz w:val="20"/>
                <w:szCs w:val="20"/>
              </w:rPr>
              <w:t xml:space="preserve">Group 2: 119 occupationally exposed foresters (mean age 29 years). All of these patients had reported at least one tick bite. </w:t>
            </w:r>
          </w:p>
          <w:p w14:paraId="0FD2496E" w14:textId="77777777" w:rsidR="002D58E4" w:rsidRDefault="002D58E4">
            <w:pPr>
              <w:rPr>
                <w:sz w:val="20"/>
                <w:szCs w:val="20"/>
              </w:rPr>
            </w:pPr>
          </w:p>
          <w:p w14:paraId="1157B710" w14:textId="77777777" w:rsidR="002D58E4" w:rsidRDefault="00F721D4">
            <w:pPr>
              <w:rPr>
                <w:sz w:val="20"/>
                <w:szCs w:val="20"/>
              </w:rPr>
            </w:pPr>
            <w:r>
              <w:rPr>
                <w:sz w:val="20"/>
                <w:szCs w:val="20"/>
              </w:rPr>
              <w:t xml:space="preserve">Group 3: 32 healthy blood donors (mean age 29 years).  </w:t>
            </w:r>
          </w:p>
        </w:tc>
        <w:tc>
          <w:tcPr>
            <w:tcW w:w="2268" w:type="dxa"/>
            <w:tcBorders>
              <w:top w:val="single" w:sz="6" w:space="0" w:color="AEAEAE"/>
              <w:left w:val="single" w:sz="6" w:space="0" w:color="AEAEAE"/>
              <w:bottom w:val="single" w:sz="6" w:space="0" w:color="AEAEAE"/>
              <w:right w:val="single" w:sz="6" w:space="0" w:color="AEAEAE"/>
            </w:tcBorders>
            <w:vAlign w:val="center"/>
          </w:tcPr>
          <w:p w14:paraId="6D1699D5" w14:textId="77777777" w:rsidR="002D58E4" w:rsidRDefault="00F721D4">
            <w:pPr>
              <w:rPr>
                <w:sz w:val="20"/>
                <w:szCs w:val="20"/>
              </w:rPr>
            </w:pPr>
            <w:r>
              <w:rPr>
                <w:sz w:val="20"/>
                <w:szCs w:val="20"/>
              </w:rPr>
              <w:t>Semi-quantitative indirect immunofluorescence test (IFT) was used to measure titers of anti-</w:t>
            </w:r>
            <w:r>
              <w:rPr>
                <w:i/>
                <w:sz w:val="20"/>
                <w:szCs w:val="20"/>
              </w:rPr>
              <w:t>A. phagocytophilum</w:t>
            </w:r>
            <w:r>
              <w:rPr>
                <w:sz w:val="20"/>
                <w:szCs w:val="20"/>
              </w:rPr>
              <w:t xml:space="preserve">, </w:t>
            </w:r>
            <w:r>
              <w:rPr>
                <w:i/>
                <w:sz w:val="20"/>
                <w:szCs w:val="20"/>
              </w:rPr>
              <w:t>B. microti</w:t>
            </w:r>
            <w:r>
              <w:rPr>
                <w:sz w:val="20"/>
                <w:szCs w:val="20"/>
              </w:rPr>
              <w:t xml:space="preserve"> and </w:t>
            </w:r>
            <w:r>
              <w:rPr>
                <w:i/>
                <w:sz w:val="20"/>
                <w:szCs w:val="20"/>
              </w:rPr>
              <w:t xml:space="preserve">Bartonella </w:t>
            </w:r>
            <w:r>
              <w:rPr>
                <w:sz w:val="20"/>
                <w:szCs w:val="20"/>
              </w:rPr>
              <w:t xml:space="preserve">IgG. </w:t>
            </w:r>
          </w:p>
          <w:p w14:paraId="171862FD" w14:textId="77777777" w:rsidR="002D58E4" w:rsidRDefault="002D58E4">
            <w:pPr>
              <w:rPr>
                <w:sz w:val="20"/>
                <w:szCs w:val="20"/>
              </w:rPr>
            </w:pPr>
          </w:p>
          <w:p w14:paraId="1D9A38E3" w14:textId="77777777" w:rsidR="002D58E4" w:rsidRDefault="00F721D4">
            <w:pPr>
              <w:rPr>
                <w:sz w:val="20"/>
                <w:szCs w:val="20"/>
              </w:rPr>
            </w:pPr>
            <w:r>
              <w:rPr>
                <w:sz w:val="20"/>
                <w:szCs w:val="20"/>
              </w:rPr>
              <w:t>Anti-</w:t>
            </w:r>
            <w:r>
              <w:rPr>
                <w:i/>
                <w:sz w:val="20"/>
                <w:szCs w:val="20"/>
              </w:rPr>
              <w:t>B. burgdorferi</w:t>
            </w:r>
            <w:r>
              <w:rPr>
                <w:sz w:val="20"/>
                <w:szCs w:val="20"/>
              </w:rPr>
              <w:t xml:space="preserve"> IgM and IgG were measured by ELISA.</w:t>
            </w:r>
          </w:p>
        </w:tc>
        <w:tc>
          <w:tcPr>
            <w:tcW w:w="2410" w:type="dxa"/>
            <w:tcBorders>
              <w:top w:val="single" w:sz="6" w:space="0" w:color="AEAEAE"/>
              <w:left w:val="single" w:sz="6" w:space="0" w:color="AEAEAE"/>
              <w:bottom w:val="single" w:sz="6" w:space="0" w:color="AEAEAE"/>
              <w:right w:val="single" w:sz="6" w:space="0" w:color="AEAEAE"/>
            </w:tcBorders>
            <w:vAlign w:val="center"/>
          </w:tcPr>
          <w:p w14:paraId="4085200D" w14:textId="77777777" w:rsidR="002D58E4" w:rsidRDefault="00F721D4">
            <w:pPr>
              <w:rPr>
                <w:sz w:val="20"/>
                <w:szCs w:val="20"/>
              </w:rPr>
            </w:pPr>
            <w:r>
              <w:rPr>
                <w:sz w:val="20"/>
                <w:szCs w:val="20"/>
              </w:rPr>
              <w:t>27.7% of farmers, 23.1% of forestry workers, and 37.5% of the control group were seropositive for</w:t>
            </w:r>
            <w:r>
              <w:rPr>
                <w:i/>
                <w:sz w:val="20"/>
                <w:szCs w:val="20"/>
              </w:rPr>
              <w:t xml:space="preserve"> Bartonella.</w:t>
            </w:r>
            <w:r>
              <w:rPr>
                <w:sz w:val="20"/>
                <w:szCs w:val="20"/>
              </w:rPr>
              <w:t xml:space="preserve"> </w:t>
            </w:r>
          </w:p>
          <w:p w14:paraId="4E2B666B" w14:textId="77777777" w:rsidR="002D58E4" w:rsidRDefault="002D58E4">
            <w:pPr>
              <w:rPr>
                <w:sz w:val="20"/>
                <w:szCs w:val="20"/>
              </w:rPr>
            </w:pPr>
          </w:p>
          <w:p w14:paraId="7204EC96" w14:textId="77777777" w:rsidR="002D58E4" w:rsidRDefault="00F721D4">
            <w:pPr>
              <w:rPr>
                <w:sz w:val="20"/>
                <w:szCs w:val="20"/>
              </w:rPr>
            </w:pPr>
            <w:r>
              <w:rPr>
                <w:i/>
                <w:sz w:val="20"/>
                <w:szCs w:val="20"/>
              </w:rPr>
              <w:t>38.5% of farmers, 47.9% of forestry workers, and 12.5% of the control group were seropositive for B. burgdorferi</w:t>
            </w:r>
          </w:p>
        </w:tc>
        <w:tc>
          <w:tcPr>
            <w:tcW w:w="5244" w:type="dxa"/>
            <w:tcBorders>
              <w:top w:val="single" w:sz="6" w:space="0" w:color="AEAEAE"/>
              <w:left w:val="single" w:sz="6" w:space="0" w:color="AEAEAE"/>
              <w:bottom w:val="single" w:sz="6" w:space="0" w:color="AEAEAE"/>
              <w:right w:val="single" w:sz="6" w:space="0" w:color="AEAEAE"/>
            </w:tcBorders>
            <w:vAlign w:val="center"/>
          </w:tcPr>
          <w:p w14:paraId="41F52EE7" w14:textId="77777777" w:rsidR="002D58E4" w:rsidRDefault="00F721D4">
            <w:pPr>
              <w:rPr>
                <w:sz w:val="20"/>
                <w:szCs w:val="20"/>
              </w:rPr>
            </w:pPr>
            <w:r>
              <w:rPr>
                <w:sz w:val="20"/>
                <w:szCs w:val="20"/>
              </w:rPr>
              <w:t>Occupationally exposed participants in Poland were frequently seropositive for</w:t>
            </w:r>
            <w:r>
              <w:rPr>
                <w:i/>
                <w:sz w:val="20"/>
                <w:szCs w:val="20"/>
              </w:rPr>
              <w:t xml:space="preserve"> B. burgdorferi</w:t>
            </w:r>
            <w:r>
              <w:rPr>
                <w:sz w:val="20"/>
                <w:szCs w:val="20"/>
              </w:rPr>
              <w:t xml:space="preserve"> and</w:t>
            </w:r>
            <w:r>
              <w:rPr>
                <w:i/>
                <w:sz w:val="20"/>
                <w:szCs w:val="20"/>
              </w:rPr>
              <w:t xml:space="preserve"> Bartonella. </w:t>
            </w:r>
            <w:r>
              <w:rPr>
                <w:sz w:val="20"/>
                <w:szCs w:val="20"/>
              </w:rPr>
              <w:t>7.7% of farmers and 9.2% of forestry workers were seropositive for these two pathogens</w:t>
            </w:r>
          </w:p>
        </w:tc>
      </w:tr>
      <w:tr w:rsidR="002D58E4" w14:paraId="6B3F25FC"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4F3C3E0" w14:textId="77777777" w:rsidR="002D58E4" w:rsidRPr="002914A2" w:rsidRDefault="00F721D4">
            <w:pPr>
              <w:rPr>
                <w:sz w:val="20"/>
                <w:szCs w:val="20"/>
                <w:lang w:val="fr-CA"/>
              </w:rPr>
            </w:pPr>
            <w:r w:rsidRPr="002914A2">
              <w:rPr>
                <w:sz w:val="20"/>
                <w:szCs w:val="20"/>
                <w:lang w:val="fr-CA"/>
              </w:rPr>
              <w:t>Rigaud, et al., 2016</w:t>
            </w:r>
          </w:p>
          <w:p w14:paraId="36AE3208" w14:textId="77777777" w:rsidR="002D58E4" w:rsidRPr="002914A2" w:rsidRDefault="002D58E4">
            <w:pPr>
              <w:rPr>
                <w:sz w:val="20"/>
                <w:szCs w:val="20"/>
                <w:lang w:val="fr-CA"/>
              </w:rPr>
            </w:pPr>
          </w:p>
          <w:p w14:paraId="53C22596" w14:textId="77777777" w:rsidR="002D58E4" w:rsidRPr="002914A2" w:rsidRDefault="00F721D4">
            <w:pPr>
              <w:rPr>
                <w:sz w:val="20"/>
                <w:szCs w:val="20"/>
                <w:lang w:val="fr-CA"/>
              </w:rPr>
            </w:pPr>
            <w:r w:rsidRPr="002914A2">
              <w:rPr>
                <w:sz w:val="20"/>
                <w:szCs w:val="20"/>
                <w:lang w:val="fr-CA"/>
              </w:rPr>
              <w:t>Alsace, Lorraine,</w:t>
            </w:r>
          </w:p>
          <w:p w14:paraId="5A28CCAC" w14:textId="77777777" w:rsidR="002D58E4" w:rsidRDefault="00F721D4">
            <w:pPr>
              <w:rPr>
                <w:sz w:val="20"/>
                <w:szCs w:val="20"/>
              </w:rPr>
            </w:pPr>
            <w:r>
              <w:rPr>
                <w:sz w:val="20"/>
                <w:szCs w:val="20"/>
              </w:rPr>
              <w:t>Champagne-Ardenne, Franche-Comte and Bourgogne regions of France</w:t>
            </w:r>
          </w:p>
        </w:tc>
        <w:tc>
          <w:tcPr>
            <w:tcW w:w="861" w:type="dxa"/>
            <w:tcBorders>
              <w:top w:val="single" w:sz="6" w:space="0" w:color="AEAEAE"/>
              <w:left w:val="single" w:sz="6" w:space="0" w:color="AEAEAE"/>
              <w:bottom w:val="single" w:sz="6" w:space="0" w:color="AEAEAE"/>
              <w:right w:val="single" w:sz="6" w:space="0" w:color="AEAEAE"/>
            </w:tcBorders>
            <w:vAlign w:val="center"/>
          </w:tcPr>
          <w:p w14:paraId="6A40D2E0"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3E6C6E5" w14:textId="77777777" w:rsidR="002D58E4" w:rsidRDefault="00F721D4">
            <w:pPr>
              <w:jc w:val="center"/>
              <w:rPr>
                <w:sz w:val="20"/>
                <w:szCs w:val="20"/>
              </w:rPr>
            </w:pPr>
            <w:r>
              <w:rPr>
                <w:sz w:val="20"/>
                <w:szCs w:val="20"/>
              </w:rPr>
              <w:t>6</w:t>
            </w:r>
          </w:p>
        </w:tc>
        <w:tc>
          <w:tcPr>
            <w:tcW w:w="2489" w:type="dxa"/>
            <w:tcBorders>
              <w:top w:val="single" w:sz="6" w:space="0" w:color="AEAEAE"/>
              <w:left w:val="single" w:sz="6" w:space="0" w:color="AEAEAE"/>
              <w:bottom w:val="single" w:sz="6" w:space="0" w:color="AEAEAE"/>
              <w:right w:val="single" w:sz="6" w:space="0" w:color="AEAEAE"/>
            </w:tcBorders>
            <w:vAlign w:val="center"/>
          </w:tcPr>
          <w:p w14:paraId="57693221" w14:textId="77777777" w:rsidR="002D58E4" w:rsidRDefault="00F721D4">
            <w:pPr>
              <w:rPr>
                <w:sz w:val="20"/>
                <w:szCs w:val="20"/>
              </w:rPr>
            </w:pPr>
            <w:r>
              <w:rPr>
                <w:sz w:val="20"/>
                <w:szCs w:val="20"/>
              </w:rPr>
              <w:t xml:space="preserve">Anonymous blood samples were collected from 2,975 forestry workers (2,916 men and 59 women). </w:t>
            </w:r>
          </w:p>
          <w:p w14:paraId="79B50E40" w14:textId="77777777" w:rsidR="002D58E4" w:rsidRDefault="002D58E4">
            <w:pPr>
              <w:rPr>
                <w:sz w:val="20"/>
                <w:szCs w:val="20"/>
              </w:rPr>
            </w:pPr>
          </w:p>
          <w:p w14:paraId="31F0AD87" w14:textId="77777777" w:rsidR="002D58E4" w:rsidRDefault="00F721D4">
            <w:pPr>
              <w:rPr>
                <w:sz w:val="20"/>
                <w:szCs w:val="20"/>
              </w:rPr>
            </w:pPr>
            <w:r>
              <w:rPr>
                <w:i/>
                <w:sz w:val="20"/>
                <w:szCs w:val="20"/>
              </w:rPr>
              <w:t>Borrelia burgdorferi sl.</w:t>
            </w:r>
            <w:r>
              <w:rPr>
                <w:sz w:val="20"/>
                <w:szCs w:val="20"/>
              </w:rPr>
              <w:t xml:space="preserve"> and TBEV serology was available for all participants (2,975) and </w:t>
            </w:r>
            <w:r>
              <w:rPr>
                <w:i/>
                <w:sz w:val="20"/>
                <w:szCs w:val="20"/>
              </w:rPr>
              <w:t>A. phagocytophilum</w:t>
            </w:r>
            <w:r>
              <w:rPr>
                <w:sz w:val="20"/>
                <w:szCs w:val="20"/>
              </w:rPr>
              <w:t xml:space="preserve">, </w:t>
            </w:r>
            <w:r>
              <w:rPr>
                <w:i/>
                <w:sz w:val="20"/>
                <w:szCs w:val="20"/>
              </w:rPr>
              <w:t xml:space="preserve">F. tularensis, </w:t>
            </w:r>
            <w:r>
              <w:rPr>
                <w:sz w:val="20"/>
                <w:szCs w:val="20"/>
              </w:rPr>
              <w:t xml:space="preserve">and </w:t>
            </w:r>
            <w:r>
              <w:rPr>
                <w:i/>
                <w:sz w:val="20"/>
                <w:szCs w:val="20"/>
              </w:rPr>
              <w:t xml:space="preserve">Bartonella henselae </w:t>
            </w:r>
            <w:r>
              <w:rPr>
                <w:sz w:val="20"/>
                <w:szCs w:val="20"/>
              </w:rPr>
              <w:t>serology was available for 2,908 participants.</w:t>
            </w:r>
          </w:p>
        </w:tc>
        <w:tc>
          <w:tcPr>
            <w:tcW w:w="2268" w:type="dxa"/>
            <w:tcBorders>
              <w:top w:val="single" w:sz="6" w:space="0" w:color="AEAEAE"/>
              <w:left w:val="single" w:sz="6" w:space="0" w:color="AEAEAE"/>
              <w:bottom w:val="single" w:sz="6" w:space="0" w:color="AEAEAE"/>
              <w:right w:val="single" w:sz="6" w:space="0" w:color="AEAEAE"/>
            </w:tcBorders>
            <w:vAlign w:val="center"/>
          </w:tcPr>
          <w:p w14:paraId="793DECAE" w14:textId="77777777" w:rsidR="002D58E4" w:rsidRDefault="00F721D4">
            <w:pPr>
              <w:rPr>
                <w:sz w:val="20"/>
                <w:szCs w:val="20"/>
              </w:rPr>
            </w:pPr>
            <w:r>
              <w:rPr>
                <w:sz w:val="20"/>
                <w:szCs w:val="20"/>
              </w:rPr>
              <w:t>Screening for anti</w:t>
            </w:r>
            <w:r>
              <w:rPr>
                <w:i/>
                <w:sz w:val="20"/>
                <w:szCs w:val="20"/>
              </w:rPr>
              <w:t>-A. phagocytophilum</w:t>
            </w:r>
            <w:r>
              <w:rPr>
                <w:sz w:val="20"/>
                <w:szCs w:val="20"/>
              </w:rPr>
              <w:t xml:space="preserve"> IgG antibodies was performed by ELISA using a recombinant protein P44 antigen. Doubtful or positive sera were retested by immunofluorescence assay (IFA). </w:t>
            </w:r>
          </w:p>
          <w:p w14:paraId="57ADCAD7" w14:textId="77777777" w:rsidR="002D58E4" w:rsidRDefault="002D58E4">
            <w:pPr>
              <w:rPr>
                <w:sz w:val="20"/>
                <w:szCs w:val="20"/>
              </w:rPr>
            </w:pPr>
          </w:p>
          <w:p w14:paraId="414B8F38" w14:textId="77777777" w:rsidR="002D58E4" w:rsidRDefault="00F721D4">
            <w:pPr>
              <w:rPr>
                <w:sz w:val="20"/>
                <w:szCs w:val="20"/>
              </w:rPr>
            </w:pPr>
            <w:r>
              <w:rPr>
                <w:sz w:val="20"/>
                <w:szCs w:val="20"/>
              </w:rPr>
              <w:t>Anti-</w:t>
            </w:r>
            <w:r>
              <w:rPr>
                <w:i/>
                <w:sz w:val="20"/>
                <w:szCs w:val="20"/>
              </w:rPr>
              <w:t>B. burgdorferi</w:t>
            </w:r>
            <w:r>
              <w:rPr>
                <w:sz w:val="20"/>
                <w:szCs w:val="20"/>
              </w:rPr>
              <w:t xml:space="preserve"> IgG was measured by ELISA and confirmed by Western Blot.</w:t>
            </w:r>
          </w:p>
        </w:tc>
        <w:tc>
          <w:tcPr>
            <w:tcW w:w="2410" w:type="dxa"/>
            <w:tcBorders>
              <w:top w:val="single" w:sz="6" w:space="0" w:color="AEAEAE"/>
              <w:left w:val="single" w:sz="6" w:space="0" w:color="AEAEAE"/>
              <w:bottom w:val="single" w:sz="6" w:space="0" w:color="AEAEAE"/>
              <w:right w:val="single" w:sz="6" w:space="0" w:color="AEAEAE"/>
            </w:tcBorders>
            <w:vAlign w:val="center"/>
          </w:tcPr>
          <w:p w14:paraId="0AC22D84" w14:textId="77777777" w:rsidR="002D58E4" w:rsidRDefault="00F721D4">
            <w:pPr>
              <w:rPr>
                <w:i/>
                <w:sz w:val="20"/>
                <w:szCs w:val="20"/>
              </w:rPr>
            </w:pPr>
            <w:r>
              <w:rPr>
                <w:sz w:val="20"/>
                <w:szCs w:val="20"/>
              </w:rPr>
              <w:t xml:space="preserve">14.1% (419/2975) seropositive for </w:t>
            </w:r>
            <w:r>
              <w:rPr>
                <w:i/>
                <w:sz w:val="20"/>
                <w:szCs w:val="20"/>
              </w:rPr>
              <w:t>Borrelia burgdorferi sl</w:t>
            </w:r>
            <w:r>
              <w:rPr>
                <w:sz w:val="20"/>
                <w:szCs w:val="20"/>
              </w:rPr>
              <w:t xml:space="preserve">, 1.7% (50/2908) for </w:t>
            </w:r>
            <w:r>
              <w:rPr>
                <w:i/>
                <w:sz w:val="20"/>
                <w:szCs w:val="20"/>
              </w:rPr>
              <w:t>Anaplasma phagocytophilum</w:t>
            </w:r>
            <w:r>
              <w:rPr>
                <w:sz w:val="20"/>
                <w:szCs w:val="20"/>
              </w:rPr>
              <w:t xml:space="preserve"> and 1.7% (48/2908) for </w:t>
            </w:r>
            <w:r>
              <w:rPr>
                <w:i/>
                <w:sz w:val="20"/>
                <w:szCs w:val="20"/>
              </w:rPr>
              <w:t>Bartonella henselae.</w:t>
            </w:r>
          </w:p>
          <w:p w14:paraId="5658D015" w14:textId="77777777" w:rsidR="002D58E4" w:rsidRDefault="002D58E4">
            <w:pPr>
              <w:rPr>
                <w:i/>
                <w:sz w:val="20"/>
                <w:szCs w:val="20"/>
              </w:rPr>
            </w:pPr>
          </w:p>
          <w:p w14:paraId="28339923" w14:textId="77777777" w:rsidR="002D58E4" w:rsidRDefault="00F721D4">
            <w:pPr>
              <w:rPr>
                <w:sz w:val="20"/>
                <w:szCs w:val="20"/>
              </w:rPr>
            </w:pPr>
            <w:r>
              <w:rPr>
                <w:sz w:val="20"/>
                <w:szCs w:val="20"/>
              </w:rPr>
              <w:t xml:space="preserve">The seroprevalences of </w:t>
            </w:r>
            <w:r>
              <w:rPr>
                <w:i/>
                <w:sz w:val="20"/>
                <w:szCs w:val="20"/>
              </w:rPr>
              <w:t>Babesia divergens</w:t>
            </w:r>
            <w:r>
              <w:rPr>
                <w:sz w:val="20"/>
                <w:szCs w:val="20"/>
              </w:rPr>
              <w:t xml:space="preserve"> and </w:t>
            </w:r>
            <w:r>
              <w:rPr>
                <w:i/>
                <w:sz w:val="20"/>
                <w:szCs w:val="20"/>
              </w:rPr>
              <w:t>Babesia microti</w:t>
            </w:r>
            <w:r>
              <w:rPr>
                <w:sz w:val="20"/>
                <w:szCs w:val="20"/>
              </w:rPr>
              <w:t xml:space="preserve"> studied in a subgroup of participants seropositive for at least one of these latter pathogens were 0.1% (1/810) and 2.5% (20/810), respectively.  </w:t>
            </w:r>
          </w:p>
        </w:tc>
        <w:tc>
          <w:tcPr>
            <w:tcW w:w="5244" w:type="dxa"/>
            <w:tcBorders>
              <w:top w:val="single" w:sz="6" w:space="0" w:color="AEAEAE"/>
              <w:left w:val="single" w:sz="6" w:space="0" w:color="AEAEAE"/>
              <w:bottom w:val="single" w:sz="6" w:space="0" w:color="AEAEAE"/>
              <w:right w:val="single" w:sz="6" w:space="0" w:color="AEAEAE"/>
            </w:tcBorders>
            <w:vAlign w:val="center"/>
          </w:tcPr>
          <w:p w14:paraId="5E868F95" w14:textId="77777777" w:rsidR="002D58E4" w:rsidRDefault="00F721D4">
            <w:pPr>
              <w:rPr>
                <w:sz w:val="20"/>
                <w:szCs w:val="20"/>
              </w:rPr>
            </w:pPr>
            <w:r>
              <w:rPr>
                <w:sz w:val="20"/>
                <w:szCs w:val="20"/>
              </w:rPr>
              <w:t>Seropositivity for a single pathogen was recorded 21.5% (627/2908), and for two pathogens (other than Babeisa) in 2.0% (57/2908). The most common multiple seropositive pairings were B. burgdorferi sl together with F. tularensis (22/57), Tick-borne encephalitis virus (11/57), Bartonella henselae (9/57) or A. phagocytophilum (7/57).</w:t>
            </w:r>
          </w:p>
        </w:tc>
      </w:tr>
      <w:tr w:rsidR="002D58E4" w14:paraId="58C9E4B6"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70A13319" w14:textId="77777777" w:rsidR="002D58E4" w:rsidRDefault="00F721D4">
            <w:pPr>
              <w:rPr>
                <w:sz w:val="20"/>
                <w:szCs w:val="20"/>
              </w:rPr>
            </w:pPr>
            <w:r>
              <w:rPr>
                <w:sz w:val="20"/>
                <w:szCs w:val="20"/>
              </w:rPr>
              <w:t>Eskow, et al., 2001</w:t>
            </w:r>
          </w:p>
          <w:p w14:paraId="73323E57" w14:textId="77777777" w:rsidR="002D58E4" w:rsidRDefault="002D58E4">
            <w:pPr>
              <w:rPr>
                <w:sz w:val="20"/>
                <w:szCs w:val="20"/>
              </w:rPr>
            </w:pPr>
          </w:p>
          <w:p w14:paraId="698E7DF9" w14:textId="77777777" w:rsidR="002D58E4" w:rsidRDefault="00F721D4">
            <w:pPr>
              <w:rPr>
                <w:sz w:val="20"/>
                <w:szCs w:val="20"/>
              </w:rPr>
            </w:pPr>
            <w:r>
              <w:rPr>
                <w:sz w:val="20"/>
                <w:szCs w:val="20"/>
              </w:rPr>
              <w:t>Flemington, NJ and Mt. Laurel, NJ</w:t>
            </w:r>
          </w:p>
        </w:tc>
        <w:tc>
          <w:tcPr>
            <w:tcW w:w="861" w:type="dxa"/>
            <w:tcBorders>
              <w:top w:val="single" w:sz="6" w:space="0" w:color="AEAEAE"/>
              <w:left w:val="single" w:sz="6" w:space="0" w:color="AEAEAE"/>
              <w:bottom w:val="single" w:sz="6" w:space="0" w:color="AEAEAE"/>
              <w:right w:val="single" w:sz="6" w:space="0" w:color="AEAEAE"/>
            </w:tcBorders>
            <w:vAlign w:val="center"/>
          </w:tcPr>
          <w:p w14:paraId="1A83A8BA" w14:textId="77777777" w:rsidR="002D58E4" w:rsidRDefault="00F721D4">
            <w:pPr>
              <w:rPr>
                <w:sz w:val="20"/>
                <w:szCs w:val="20"/>
              </w:rPr>
            </w:pPr>
            <w:r>
              <w:rPr>
                <w:sz w:val="20"/>
                <w:szCs w:val="20"/>
              </w:rPr>
              <w:t>Case series (4 cases)</w:t>
            </w:r>
          </w:p>
        </w:tc>
        <w:tc>
          <w:tcPr>
            <w:tcW w:w="630" w:type="dxa"/>
            <w:tcBorders>
              <w:top w:val="single" w:sz="6" w:space="0" w:color="AEAEAE"/>
              <w:left w:val="single" w:sz="6" w:space="0" w:color="AEAEAE"/>
              <w:bottom w:val="single" w:sz="6" w:space="0" w:color="AEAEAE"/>
              <w:right w:val="single" w:sz="6" w:space="0" w:color="AEAEAE"/>
            </w:tcBorders>
            <w:vAlign w:val="center"/>
          </w:tcPr>
          <w:p w14:paraId="47ECB74B" w14:textId="77777777" w:rsidR="002D58E4" w:rsidRDefault="00F721D4">
            <w:pPr>
              <w:jc w:val="center"/>
              <w:rPr>
                <w:sz w:val="20"/>
                <w:szCs w:val="20"/>
              </w:rPr>
            </w:pPr>
            <w:r>
              <w:rPr>
                <w:sz w:val="20"/>
                <w:szCs w:val="20"/>
              </w:rPr>
              <w:t>NA</w:t>
            </w:r>
          </w:p>
        </w:tc>
        <w:tc>
          <w:tcPr>
            <w:tcW w:w="2489" w:type="dxa"/>
            <w:tcBorders>
              <w:top w:val="single" w:sz="6" w:space="0" w:color="AEAEAE"/>
              <w:left w:val="single" w:sz="6" w:space="0" w:color="AEAEAE"/>
              <w:bottom w:val="single" w:sz="6" w:space="0" w:color="AEAEAE"/>
              <w:right w:val="single" w:sz="6" w:space="0" w:color="AEAEAE"/>
            </w:tcBorders>
            <w:vAlign w:val="center"/>
          </w:tcPr>
          <w:p w14:paraId="5F409C46" w14:textId="77777777" w:rsidR="002D58E4" w:rsidRDefault="00F721D4">
            <w:pPr>
              <w:rPr>
                <w:sz w:val="20"/>
                <w:szCs w:val="20"/>
              </w:rPr>
            </w:pPr>
            <w:r>
              <w:rPr>
                <w:sz w:val="20"/>
                <w:szCs w:val="20"/>
              </w:rPr>
              <w:t xml:space="preserve">4 patients residing in an area endemic for Lyme disease who were experiencing ongoing symptoms attributed to chronic Lyme disease were evaluated for co-infection with </w:t>
            </w:r>
            <w:r>
              <w:rPr>
                <w:i/>
                <w:sz w:val="20"/>
                <w:szCs w:val="20"/>
              </w:rPr>
              <w:t>Bartonella</w:t>
            </w:r>
            <w:r>
              <w:rPr>
                <w:sz w:val="20"/>
                <w:szCs w:val="20"/>
              </w:rPr>
              <w:t>.</w:t>
            </w:r>
          </w:p>
          <w:p w14:paraId="4CB81613" w14:textId="77777777" w:rsidR="002D58E4" w:rsidRDefault="002D58E4">
            <w:pPr>
              <w:rPr>
                <w:sz w:val="20"/>
                <w:szCs w:val="20"/>
              </w:rPr>
            </w:pPr>
          </w:p>
          <w:p w14:paraId="4D33BF47" w14:textId="77777777" w:rsidR="002D58E4" w:rsidRDefault="00F721D4">
            <w:pPr>
              <w:rPr>
                <w:sz w:val="20"/>
                <w:szCs w:val="20"/>
              </w:rPr>
            </w:pPr>
            <w:r>
              <w:rPr>
                <w:sz w:val="20"/>
                <w:szCs w:val="20"/>
              </w:rPr>
              <w:t xml:space="preserve">The most common symptoms before therapy were cognitive dysfunction, headache, and fatigue. All subjects had clinical presentation consistent with mild encephalopathy.  </w:t>
            </w:r>
          </w:p>
        </w:tc>
        <w:tc>
          <w:tcPr>
            <w:tcW w:w="2268" w:type="dxa"/>
            <w:tcBorders>
              <w:top w:val="single" w:sz="6" w:space="0" w:color="AEAEAE"/>
              <w:left w:val="single" w:sz="6" w:space="0" w:color="AEAEAE"/>
              <w:bottom w:val="single" w:sz="6" w:space="0" w:color="AEAEAE"/>
              <w:right w:val="single" w:sz="6" w:space="0" w:color="AEAEAE"/>
            </w:tcBorders>
            <w:vAlign w:val="center"/>
          </w:tcPr>
          <w:p w14:paraId="553DE19B" w14:textId="77777777" w:rsidR="002D58E4" w:rsidRDefault="00F721D4">
            <w:pPr>
              <w:rPr>
                <w:sz w:val="20"/>
                <w:szCs w:val="20"/>
              </w:rPr>
            </w:pPr>
            <w:r>
              <w:rPr>
                <w:sz w:val="20"/>
                <w:szCs w:val="20"/>
              </w:rPr>
              <w:t xml:space="preserve">Patients were tested for antibody titers against </w:t>
            </w:r>
            <w:r>
              <w:rPr>
                <w:i/>
                <w:sz w:val="20"/>
                <w:szCs w:val="20"/>
              </w:rPr>
              <w:t>B. henselae</w:t>
            </w:r>
            <w:r>
              <w:rPr>
                <w:sz w:val="20"/>
                <w:szCs w:val="20"/>
              </w:rPr>
              <w:t xml:space="preserve"> by IFA. Blood samples were tested for </w:t>
            </w:r>
            <w:r>
              <w:rPr>
                <w:i/>
                <w:sz w:val="20"/>
                <w:szCs w:val="20"/>
              </w:rPr>
              <w:t>B. henselae</w:t>
            </w:r>
            <w:r>
              <w:rPr>
                <w:sz w:val="20"/>
                <w:szCs w:val="20"/>
              </w:rPr>
              <w:t xml:space="preserve">-specific DNA by PCR. </w:t>
            </w:r>
          </w:p>
          <w:p w14:paraId="4204D6D8" w14:textId="77777777" w:rsidR="002D58E4" w:rsidRDefault="002D58E4">
            <w:pPr>
              <w:rPr>
                <w:sz w:val="20"/>
                <w:szCs w:val="20"/>
              </w:rPr>
            </w:pPr>
          </w:p>
          <w:p w14:paraId="4EB2E6A6" w14:textId="77777777" w:rsidR="002D58E4" w:rsidRDefault="00F721D4">
            <w:pPr>
              <w:rPr>
                <w:sz w:val="20"/>
                <w:szCs w:val="20"/>
              </w:rPr>
            </w:pPr>
            <w:r>
              <w:rPr>
                <w:sz w:val="20"/>
                <w:szCs w:val="20"/>
              </w:rPr>
              <w:t xml:space="preserve">CSF was analyzed, and 3 of 4 patients had the presence of both </w:t>
            </w:r>
            <w:r>
              <w:rPr>
                <w:i/>
                <w:sz w:val="20"/>
                <w:szCs w:val="20"/>
              </w:rPr>
              <w:t xml:space="preserve">B. henselae </w:t>
            </w:r>
            <w:r>
              <w:rPr>
                <w:sz w:val="20"/>
                <w:szCs w:val="20"/>
              </w:rPr>
              <w:t xml:space="preserve">and </w:t>
            </w:r>
            <w:r>
              <w:rPr>
                <w:i/>
                <w:sz w:val="20"/>
                <w:szCs w:val="20"/>
              </w:rPr>
              <w:t>B. burgdorferi</w:t>
            </w:r>
            <w:r>
              <w:rPr>
                <w:sz w:val="20"/>
                <w:szCs w:val="20"/>
              </w:rPr>
              <w:t xml:space="preserve"> in their CSF. </w:t>
            </w:r>
          </w:p>
          <w:p w14:paraId="40474167" w14:textId="77777777" w:rsidR="002D58E4" w:rsidRDefault="002D58E4">
            <w:pPr>
              <w:rPr>
                <w:sz w:val="20"/>
                <w:szCs w:val="20"/>
              </w:rPr>
            </w:pPr>
          </w:p>
          <w:p w14:paraId="08A4D0C2" w14:textId="77777777" w:rsidR="002D58E4" w:rsidRDefault="00F721D4">
            <w:pPr>
              <w:rPr>
                <w:sz w:val="20"/>
                <w:szCs w:val="20"/>
              </w:rPr>
            </w:pPr>
            <w:r>
              <w:rPr>
                <w:i/>
                <w:sz w:val="20"/>
                <w:szCs w:val="20"/>
              </w:rPr>
              <w:t>B. henselae</w:t>
            </w:r>
            <w:r>
              <w:rPr>
                <w:sz w:val="20"/>
                <w:szCs w:val="20"/>
              </w:rPr>
              <w:t xml:space="preserve"> DNA was detected in live deer ticks near the houses of 2 infected patients. </w:t>
            </w:r>
          </w:p>
        </w:tc>
        <w:tc>
          <w:tcPr>
            <w:tcW w:w="2410" w:type="dxa"/>
            <w:tcBorders>
              <w:top w:val="single" w:sz="6" w:space="0" w:color="AEAEAE"/>
              <w:left w:val="single" w:sz="6" w:space="0" w:color="AEAEAE"/>
              <w:bottom w:val="single" w:sz="6" w:space="0" w:color="AEAEAE"/>
              <w:right w:val="single" w:sz="6" w:space="0" w:color="AEAEAE"/>
            </w:tcBorders>
            <w:vAlign w:val="center"/>
          </w:tcPr>
          <w:p w14:paraId="35E948C4" w14:textId="77777777" w:rsidR="002D58E4" w:rsidRDefault="00F721D4">
            <w:pPr>
              <w:rPr>
                <w:sz w:val="20"/>
                <w:szCs w:val="20"/>
              </w:rPr>
            </w:pPr>
            <w:r>
              <w:rPr>
                <w:sz w:val="20"/>
                <w:szCs w:val="20"/>
              </w:rPr>
              <w:t xml:space="preserve">100% (all patients were co-infected with Lyme disease and </w:t>
            </w:r>
            <w:r>
              <w:rPr>
                <w:i/>
                <w:sz w:val="20"/>
                <w:szCs w:val="20"/>
              </w:rPr>
              <w:t>Bartonella</w:t>
            </w:r>
            <w:r>
              <w:rPr>
                <w:sz w:val="20"/>
                <w:szCs w:val="20"/>
              </w:rPr>
              <w:t>)</w:t>
            </w:r>
          </w:p>
        </w:tc>
        <w:tc>
          <w:tcPr>
            <w:tcW w:w="5244" w:type="dxa"/>
            <w:tcBorders>
              <w:top w:val="single" w:sz="6" w:space="0" w:color="AEAEAE"/>
              <w:left w:val="single" w:sz="6" w:space="0" w:color="AEAEAE"/>
              <w:bottom w:val="single" w:sz="6" w:space="0" w:color="AEAEAE"/>
              <w:right w:val="single" w:sz="6" w:space="0" w:color="AEAEAE"/>
            </w:tcBorders>
            <w:vAlign w:val="center"/>
          </w:tcPr>
          <w:p w14:paraId="51995A13" w14:textId="77777777" w:rsidR="002D58E4" w:rsidRDefault="00F721D4">
            <w:pPr>
              <w:rPr>
                <w:sz w:val="20"/>
                <w:szCs w:val="20"/>
              </w:rPr>
            </w:pPr>
            <w:r>
              <w:rPr>
                <w:sz w:val="20"/>
                <w:szCs w:val="20"/>
              </w:rPr>
              <w:t xml:space="preserve">Patient 1: The patient received empirical treatment for Lyme disease with doxycycline due to clinical presentation and tick bite history. The patient experienced no improvement. After </w:t>
            </w:r>
            <w:r>
              <w:rPr>
                <w:i/>
                <w:sz w:val="20"/>
                <w:szCs w:val="20"/>
              </w:rPr>
              <w:t>Bartonella</w:t>
            </w:r>
            <w:r>
              <w:rPr>
                <w:sz w:val="20"/>
                <w:szCs w:val="20"/>
              </w:rPr>
              <w:t xml:space="preserve"> infection was diagnosed, the patient received IV cefotaxime (6 g/day for 6 weeks) and experienced prompt resolution.</w:t>
            </w:r>
          </w:p>
          <w:p w14:paraId="032160B3" w14:textId="77777777" w:rsidR="002D58E4" w:rsidRDefault="002D58E4">
            <w:pPr>
              <w:rPr>
                <w:sz w:val="20"/>
                <w:szCs w:val="20"/>
              </w:rPr>
            </w:pPr>
          </w:p>
          <w:p w14:paraId="328765AE" w14:textId="32221114" w:rsidR="002D58E4" w:rsidRDefault="00F721D4">
            <w:pPr>
              <w:rPr>
                <w:sz w:val="20"/>
                <w:szCs w:val="20"/>
              </w:rPr>
            </w:pPr>
            <w:r>
              <w:rPr>
                <w:sz w:val="20"/>
                <w:szCs w:val="20"/>
              </w:rPr>
              <w:t xml:space="preserve">Patient 2: The patient presented with a history of late-stage Lyme disease. He was symptomatic despite an </w:t>
            </w:r>
            <w:r w:rsidR="00E343BA">
              <w:rPr>
                <w:sz w:val="20"/>
                <w:szCs w:val="20"/>
              </w:rPr>
              <w:t>8-week</w:t>
            </w:r>
            <w:r>
              <w:rPr>
                <w:sz w:val="20"/>
                <w:szCs w:val="20"/>
              </w:rPr>
              <w:t xml:space="preserve"> course of IV ceftriaxone (2 g/day). After diagnosis with </w:t>
            </w:r>
            <w:r>
              <w:rPr>
                <w:i/>
                <w:sz w:val="20"/>
                <w:szCs w:val="20"/>
              </w:rPr>
              <w:t xml:space="preserve">Bartonella </w:t>
            </w:r>
            <w:r>
              <w:rPr>
                <w:sz w:val="20"/>
                <w:szCs w:val="20"/>
              </w:rPr>
              <w:t xml:space="preserve">infection, the patient was started on IV cefotaxime (8g/day for 28 days) and experienced consistent, but gradual improvement. </w:t>
            </w:r>
          </w:p>
          <w:p w14:paraId="0F5495F7" w14:textId="77777777" w:rsidR="002D58E4" w:rsidRDefault="002D58E4">
            <w:pPr>
              <w:rPr>
                <w:sz w:val="20"/>
                <w:szCs w:val="20"/>
              </w:rPr>
            </w:pPr>
          </w:p>
          <w:p w14:paraId="3B09CF5E" w14:textId="77777777" w:rsidR="002D58E4" w:rsidRDefault="00F721D4">
            <w:pPr>
              <w:rPr>
                <w:sz w:val="20"/>
                <w:szCs w:val="20"/>
              </w:rPr>
            </w:pPr>
            <w:r>
              <w:rPr>
                <w:sz w:val="20"/>
                <w:szCs w:val="20"/>
              </w:rPr>
              <w:t xml:space="preserve">Patient 3: The patient had been previously treated for Lyme disease with doxycycline, but symptoms had persistence after completion of therapy. After analysis of CSF revealed neuroborreliosis, the patient received IV ceftriaxone for 28 days. </w:t>
            </w:r>
            <w:r>
              <w:rPr>
                <w:i/>
                <w:sz w:val="20"/>
                <w:szCs w:val="20"/>
              </w:rPr>
              <w:t xml:space="preserve">B. burgdorferi </w:t>
            </w:r>
            <w:r>
              <w:rPr>
                <w:sz w:val="20"/>
                <w:szCs w:val="20"/>
              </w:rPr>
              <w:t xml:space="preserve">DNA was no longer detectable after ceftriaxone treatment, but </w:t>
            </w:r>
            <w:r>
              <w:rPr>
                <w:i/>
                <w:sz w:val="20"/>
                <w:szCs w:val="20"/>
              </w:rPr>
              <w:t xml:space="preserve">B. henselae </w:t>
            </w:r>
            <w:r>
              <w:rPr>
                <w:sz w:val="20"/>
                <w:szCs w:val="20"/>
              </w:rPr>
              <w:t xml:space="preserve">DNA persisted. The patient was put on IV doxycycline but noticed a return of symptoms shortly after initiation of this treatment. Antibiotic therapy was switched to azithromycin (500 mg/day for 14 days), and the patient experienced complete resolution. </w:t>
            </w:r>
          </w:p>
          <w:p w14:paraId="02650A31" w14:textId="77777777" w:rsidR="002D58E4" w:rsidRDefault="002D58E4">
            <w:pPr>
              <w:rPr>
                <w:sz w:val="20"/>
                <w:szCs w:val="20"/>
              </w:rPr>
            </w:pPr>
          </w:p>
          <w:p w14:paraId="7944A063" w14:textId="77777777" w:rsidR="002D58E4" w:rsidRDefault="00F721D4">
            <w:pPr>
              <w:rPr>
                <w:sz w:val="20"/>
                <w:szCs w:val="20"/>
              </w:rPr>
            </w:pPr>
            <w:r>
              <w:rPr>
                <w:sz w:val="20"/>
                <w:szCs w:val="20"/>
              </w:rPr>
              <w:t xml:space="preserve">Patient 4: The patient was negative for evidence of </w:t>
            </w:r>
            <w:r>
              <w:rPr>
                <w:i/>
                <w:sz w:val="20"/>
                <w:szCs w:val="20"/>
              </w:rPr>
              <w:t>B. burgdorferi</w:t>
            </w:r>
            <w:r>
              <w:rPr>
                <w:sz w:val="20"/>
                <w:szCs w:val="20"/>
              </w:rPr>
              <w:t xml:space="preserve"> by PCR, Western Blot, and CSF analysis. Ticks removed from this patient were positive for </w:t>
            </w:r>
            <w:r>
              <w:rPr>
                <w:i/>
                <w:sz w:val="20"/>
                <w:szCs w:val="20"/>
              </w:rPr>
              <w:t xml:space="preserve">B. henselae </w:t>
            </w:r>
            <w:r>
              <w:rPr>
                <w:sz w:val="20"/>
                <w:szCs w:val="20"/>
              </w:rPr>
              <w:t xml:space="preserve">only. The patient resolved fully with a 28-day course of doxycycline (300 mg/day). </w:t>
            </w:r>
          </w:p>
        </w:tc>
      </w:tr>
      <w:tr w:rsidR="002D58E4" w14:paraId="38D59040" w14:textId="77777777">
        <w:trPr>
          <w:trHeight w:val="1260"/>
        </w:trPr>
        <w:tc>
          <w:tcPr>
            <w:tcW w:w="840"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457F681" w14:textId="77777777" w:rsidR="002D58E4" w:rsidRPr="002914A2" w:rsidRDefault="00F721D4">
            <w:pPr>
              <w:rPr>
                <w:sz w:val="20"/>
                <w:szCs w:val="20"/>
                <w:lang w:val="fr-CA"/>
              </w:rPr>
            </w:pPr>
            <w:r w:rsidRPr="002914A2">
              <w:rPr>
                <w:sz w:val="20"/>
                <w:szCs w:val="20"/>
                <w:lang w:val="fr-CA"/>
              </w:rPr>
              <w:t>Gupta, et al., 2009</w:t>
            </w:r>
          </w:p>
          <w:p w14:paraId="4D988B47" w14:textId="77777777" w:rsidR="002D58E4" w:rsidRPr="002914A2" w:rsidRDefault="002D58E4">
            <w:pPr>
              <w:rPr>
                <w:sz w:val="20"/>
                <w:szCs w:val="20"/>
                <w:lang w:val="fr-CA"/>
              </w:rPr>
            </w:pPr>
          </w:p>
          <w:p w14:paraId="70240984" w14:textId="77777777" w:rsidR="002D58E4" w:rsidRPr="002914A2" w:rsidRDefault="00F721D4">
            <w:pPr>
              <w:rPr>
                <w:sz w:val="20"/>
                <w:szCs w:val="20"/>
                <w:lang w:val="fr-CA"/>
              </w:rPr>
            </w:pPr>
            <w:r w:rsidRPr="002914A2">
              <w:rPr>
                <w:sz w:val="20"/>
                <w:szCs w:val="20"/>
                <w:lang w:val="fr-CA"/>
              </w:rPr>
              <w:t>Durham, NC</w:t>
            </w:r>
          </w:p>
        </w:tc>
        <w:tc>
          <w:tcPr>
            <w:tcW w:w="861" w:type="dxa"/>
            <w:tcBorders>
              <w:top w:val="single" w:sz="6" w:space="0" w:color="AEAEAE"/>
              <w:left w:val="single" w:sz="6" w:space="0" w:color="AEAEAE"/>
              <w:bottom w:val="single" w:sz="6" w:space="0" w:color="AEAEAE"/>
              <w:right w:val="single" w:sz="6" w:space="0" w:color="AEAEAE"/>
            </w:tcBorders>
            <w:vAlign w:val="center"/>
          </w:tcPr>
          <w:p w14:paraId="318E0E48" w14:textId="77777777" w:rsidR="002D58E4" w:rsidRDefault="00F721D4">
            <w:pPr>
              <w:rPr>
                <w:sz w:val="20"/>
                <w:szCs w:val="20"/>
              </w:rPr>
            </w:pPr>
            <w:r>
              <w:rPr>
                <w:sz w:val="20"/>
                <w:szCs w:val="20"/>
              </w:rPr>
              <w:t>Case report</w:t>
            </w:r>
          </w:p>
        </w:tc>
        <w:tc>
          <w:tcPr>
            <w:tcW w:w="630" w:type="dxa"/>
            <w:tcBorders>
              <w:top w:val="single" w:sz="6" w:space="0" w:color="AEAEAE"/>
              <w:left w:val="single" w:sz="6" w:space="0" w:color="AEAEAE"/>
              <w:bottom w:val="single" w:sz="6" w:space="0" w:color="AEAEAE"/>
              <w:right w:val="single" w:sz="6" w:space="0" w:color="AEAEAE"/>
            </w:tcBorders>
            <w:vAlign w:val="center"/>
          </w:tcPr>
          <w:p w14:paraId="31C6A76A" w14:textId="77777777" w:rsidR="002D58E4" w:rsidRDefault="00F721D4">
            <w:pPr>
              <w:jc w:val="center"/>
              <w:rPr>
                <w:sz w:val="20"/>
                <w:szCs w:val="20"/>
              </w:rPr>
            </w:pPr>
            <w:r>
              <w:rPr>
                <w:sz w:val="20"/>
                <w:szCs w:val="20"/>
              </w:rPr>
              <w:t>NA</w:t>
            </w:r>
          </w:p>
        </w:tc>
        <w:tc>
          <w:tcPr>
            <w:tcW w:w="2489" w:type="dxa"/>
            <w:tcBorders>
              <w:top w:val="single" w:sz="6" w:space="0" w:color="AEAEAE"/>
              <w:left w:val="single" w:sz="6" w:space="0" w:color="AEAEAE"/>
              <w:bottom w:val="single" w:sz="6" w:space="0" w:color="AEAEAE"/>
              <w:right w:val="single" w:sz="6" w:space="0" w:color="AEAEAE"/>
            </w:tcBorders>
            <w:vAlign w:val="center"/>
          </w:tcPr>
          <w:p w14:paraId="2D115D62" w14:textId="77777777" w:rsidR="002D58E4" w:rsidRDefault="00F721D4">
            <w:pPr>
              <w:rPr>
                <w:sz w:val="20"/>
                <w:szCs w:val="20"/>
              </w:rPr>
            </w:pPr>
            <w:r>
              <w:rPr>
                <w:sz w:val="20"/>
                <w:szCs w:val="20"/>
              </w:rPr>
              <w:t xml:space="preserve">51-year-old woman experienced sudden loss in visual acuity in the right eye. Ophthalmological examination revealed disc edema and macular star, prompting a diagnosis of neuroretinitis. </w:t>
            </w:r>
          </w:p>
          <w:p w14:paraId="0E384435" w14:textId="77777777" w:rsidR="002D58E4" w:rsidRDefault="002D58E4">
            <w:pPr>
              <w:rPr>
                <w:sz w:val="20"/>
                <w:szCs w:val="20"/>
              </w:rPr>
            </w:pPr>
          </w:p>
          <w:p w14:paraId="1F9D634C" w14:textId="77777777" w:rsidR="002D58E4" w:rsidRDefault="00F721D4">
            <w:pPr>
              <w:rPr>
                <w:sz w:val="20"/>
                <w:szCs w:val="20"/>
              </w:rPr>
            </w:pPr>
            <w:r>
              <w:rPr>
                <w:sz w:val="20"/>
                <w:szCs w:val="20"/>
              </w:rPr>
              <w:t xml:space="preserve">The patient had experienced “constitutional symptoms of an undetermined etiology” several months before visual symptoms began.  </w:t>
            </w:r>
          </w:p>
        </w:tc>
        <w:tc>
          <w:tcPr>
            <w:tcW w:w="2268" w:type="dxa"/>
            <w:tcBorders>
              <w:top w:val="single" w:sz="6" w:space="0" w:color="AEAEAE"/>
              <w:left w:val="single" w:sz="6" w:space="0" w:color="AEAEAE"/>
              <w:bottom w:val="single" w:sz="6" w:space="0" w:color="AEAEAE"/>
              <w:right w:val="single" w:sz="6" w:space="0" w:color="AEAEAE"/>
            </w:tcBorders>
            <w:vAlign w:val="center"/>
          </w:tcPr>
          <w:p w14:paraId="73F71D5E" w14:textId="77777777" w:rsidR="002D58E4" w:rsidRDefault="00F721D4">
            <w:pPr>
              <w:rPr>
                <w:sz w:val="20"/>
                <w:szCs w:val="20"/>
              </w:rPr>
            </w:pPr>
            <w:r>
              <w:rPr>
                <w:sz w:val="20"/>
                <w:szCs w:val="20"/>
              </w:rPr>
              <w:t xml:space="preserve">Patient tested positive for IgM and IgG antibody titers against </w:t>
            </w:r>
            <w:r>
              <w:rPr>
                <w:i/>
                <w:sz w:val="20"/>
                <w:szCs w:val="20"/>
              </w:rPr>
              <w:t>B. henselae</w:t>
            </w:r>
            <w:r>
              <w:rPr>
                <w:sz w:val="20"/>
                <w:szCs w:val="20"/>
              </w:rPr>
              <w:t xml:space="preserve"> by IFA. </w:t>
            </w:r>
          </w:p>
          <w:p w14:paraId="6A2E9948" w14:textId="77777777" w:rsidR="002D58E4" w:rsidRDefault="002D58E4">
            <w:pPr>
              <w:rPr>
                <w:sz w:val="20"/>
                <w:szCs w:val="20"/>
              </w:rPr>
            </w:pPr>
          </w:p>
          <w:p w14:paraId="18BB3BFF" w14:textId="77777777" w:rsidR="002D58E4" w:rsidRDefault="00F721D4">
            <w:pPr>
              <w:rPr>
                <w:sz w:val="20"/>
                <w:szCs w:val="20"/>
              </w:rPr>
            </w:pPr>
            <w:r>
              <w:rPr>
                <w:sz w:val="20"/>
                <w:szCs w:val="20"/>
              </w:rPr>
              <w:t xml:space="preserve">Patient was positive for </w:t>
            </w:r>
            <w:r>
              <w:rPr>
                <w:i/>
                <w:sz w:val="20"/>
                <w:szCs w:val="20"/>
              </w:rPr>
              <w:t>B. burgdorferi</w:t>
            </w:r>
            <w:r>
              <w:rPr>
                <w:sz w:val="20"/>
                <w:szCs w:val="20"/>
              </w:rPr>
              <w:t xml:space="preserve"> by Western Blot (2 of 3 bands for IgM, 2 of 10 bands for IgG). </w:t>
            </w:r>
          </w:p>
          <w:p w14:paraId="61F95B22" w14:textId="77777777" w:rsidR="002D58E4" w:rsidRDefault="002D58E4">
            <w:pPr>
              <w:rPr>
                <w:sz w:val="20"/>
                <w:szCs w:val="20"/>
              </w:rPr>
            </w:pPr>
          </w:p>
          <w:p w14:paraId="362A1BB7" w14:textId="77777777" w:rsidR="002D58E4" w:rsidRDefault="00F721D4">
            <w:pPr>
              <w:rPr>
                <w:sz w:val="20"/>
                <w:szCs w:val="20"/>
              </w:rPr>
            </w:pPr>
            <w:r>
              <w:rPr>
                <w:sz w:val="20"/>
                <w:szCs w:val="20"/>
              </w:rPr>
              <w:t xml:space="preserve">The patient’s CSF was positive for IgM antibodies one week after the initial Western Blot. </w:t>
            </w:r>
          </w:p>
        </w:tc>
        <w:tc>
          <w:tcPr>
            <w:tcW w:w="2410" w:type="dxa"/>
            <w:tcBorders>
              <w:top w:val="single" w:sz="6" w:space="0" w:color="AEAEAE"/>
              <w:left w:val="single" w:sz="6" w:space="0" w:color="AEAEAE"/>
              <w:bottom w:val="single" w:sz="6" w:space="0" w:color="AEAEAE"/>
              <w:right w:val="single" w:sz="6" w:space="0" w:color="AEAEAE"/>
            </w:tcBorders>
            <w:vAlign w:val="center"/>
          </w:tcPr>
          <w:p w14:paraId="087618B2" w14:textId="77777777" w:rsidR="002D58E4" w:rsidRDefault="00F721D4">
            <w:pPr>
              <w:rPr>
                <w:sz w:val="20"/>
                <w:szCs w:val="20"/>
              </w:rPr>
            </w:pPr>
            <w:r>
              <w:rPr>
                <w:sz w:val="20"/>
                <w:szCs w:val="20"/>
              </w:rPr>
              <w:t>100% (only one patient)</w:t>
            </w:r>
          </w:p>
        </w:tc>
        <w:tc>
          <w:tcPr>
            <w:tcW w:w="5244" w:type="dxa"/>
            <w:tcBorders>
              <w:top w:val="single" w:sz="6" w:space="0" w:color="AEAEAE"/>
              <w:left w:val="single" w:sz="6" w:space="0" w:color="AEAEAE"/>
              <w:bottom w:val="single" w:sz="6" w:space="0" w:color="AEAEAE"/>
              <w:right w:val="single" w:sz="6" w:space="0" w:color="AEAEAE"/>
            </w:tcBorders>
            <w:vAlign w:val="center"/>
          </w:tcPr>
          <w:p w14:paraId="359E16A4" w14:textId="77777777" w:rsidR="002D58E4" w:rsidRDefault="00F721D4">
            <w:pPr>
              <w:rPr>
                <w:sz w:val="20"/>
                <w:szCs w:val="20"/>
              </w:rPr>
            </w:pPr>
            <w:r>
              <w:rPr>
                <w:sz w:val="20"/>
                <w:szCs w:val="20"/>
              </w:rPr>
              <w:t xml:space="preserve">The patient initially received azithromycin and rifampin for </w:t>
            </w:r>
            <w:r>
              <w:rPr>
                <w:i/>
                <w:sz w:val="20"/>
                <w:szCs w:val="20"/>
              </w:rPr>
              <w:t>B. henselae</w:t>
            </w:r>
            <w:r>
              <w:rPr>
                <w:sz w:val="20"/>
                <w:szCs w:val="20"/>
              </w:rPr>
              <w:t xml:space="preserve"> infection. Symptoms persisted, and one week later, the patient was confirmed as positive for antibodies against </w:t>
            </w:r>
            <w:r>
              <w:rPr>
                <w:i/>
                <w:sz w:val="20"/>
                <w:szCs w:val="20"/>
              </w:rPr>
              <w:t>B. burgdorferi</w:t>
            </w:r>
            <w:r>
              <w:rPr>
                <w:sz w:val="20"/>
                <w:szCs w:val="20"/>
              </w:rPr>
              <w:t xml:space="preserve"> in CSF. She was then started on 1 month of IV ceftriaxone, in addition to azithromycin and rifampin. </w:t>
            </w:r>
          </w:p>
          <w:p w14:paraId="0CD77157" w14:textId="77777777" w:rsidR="002D58E4" w:rsidRDefault="002D58E4">
            <w:pPr>
              <w:rPr>
                <w:sz w:val="20"/>
                <w:szCs w:val="20"/>
              </w:rPr>
            </w:pPr>
          </w:p>
          <w:p w14:paraId="4023CF54" w14:textId="77777777" w:rsidR="002D58E4" w:rsidRDefault="00F721D4">
            <w:pPr>
              <w:rPr>
                <w:sz w:val="20"/>
                <w:szCs w:val="20"/>
              </w:rPr>
            </w:pPr>
            <w:r>
              <w:rPr>
                <w:sz w:val="20"/>
                <w:szCs w:val="20"/>
              </w:rPr>
              <w:t xml:space="preserve">The patient experienced marked improvement within 8 days. Disc edema and macular star resolved over the course of 4 months, and visual acuity improved. </w:t>
            </w:r>
          </w:p>
        </w:tc>
      </w:tr>
    </w:tbl>
    <w:p w14:paraId="740BACB5" w14:textId="77777777" w:rsidR="002D58E4" w:rsidRDefault="00F721D4" w:rsidP="00E343BA">
      <w:pPr>
        <w:ind w:right="-3980"/>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7EED8433" w14:textId="77777777" w:rsidR="002D58E4" w:rsidRDefault="002D58E4"/>
    <w:p w14:paraId="78F5A0D2" w14:textId="77777777" w:rsidR="002D58E4" w:rsidRDefault="00F721D4">
      <w:pPr>
        <w:rPr>
          <w:b/>
          <w:color w:val="000000"/>
          <w:sz w:val="24"/>
          <w:szCs w:val="24"/>
          <w:u w:val="single"/>
        </w:rPr>
      </w:pPr>
      <w:r>
        <w:br w:type="page"/>
      </w:r>
    </w:p>
    <w:p w14:paraId="022781B8" w14:textId="30CE95F6" w:rsidR="002D58E4" w:rsidRDefault="00445E97" w:rsidP="00E343BA">
      <w:pPr>
        <w:ind w:right="-3980"/>
        <w:rPr>
          <w:b/>
          <w:color w:val="000000"/>
          <w:sz w:val="18"/>
          <w:szCs w:val="18"/>
        </w:rPr>
      </w:pPr>
      <w:r>
        <w:rPr>
          <w:b/>
          <w:color w:val="000000"/>
          <w:sz w:val="32"/>
          <w:szCs w:val="32"/>
        </w:rPr>
        <w:t>XXVIII</w:t>
      </w:r>
      <w:r w:rsidR="00F721D4">
        <w:rPr>
          <w:b/>
          <w:color w:val="000000"/>
          <w:sz w:val="32"/>
          <w:szCs w:val="32"/>
        </w:rPr>
        <w:t xml:space="preserve">. </w:t>
      </w:r>
      <w:r w:rsidR="00F721D4">
        <w:rPr>
          <w:b/>
          <w:sz w:val="32"/>
          <w:szCs w:val="32"/>
        </w:rPr>
        <w:t xml:space="preserve">Under what circumstances should a patient with Lyme disease be evaluated for co-infection with </w:t>
      </w:r>
      <w:r w:rsidR="00F721D4">
        <w:rPr>
          <w:b/>
          <w:i/>
          <w:sz w:val="32"/>
          <w:szCs w:val="32"/>
        </w:rPr>
        <w:t xml:space="preserve">A. phagocytophilum </w:t>
      </w:r>
      <w:r w:rsidR="00F721D4">
        <w:rPr>
          <w:b/>
          <w:sz w:val="32"/>
          <w:szCs w:val="32"/>
        </w:rPr>
        <w:t xml:space="preserve">or </w:t>
      </w:r>
      <w:r w:rsidR="00F721D4">
        <w:rPr>
          <w:b/>
          <w:i/>
          <w:sz w:val="32"/>
          <w:szCs w:val="32"/>
        </w:rPr>
        <w:t>B. microti</w:t>
      </w:r>
      <w:r w:rsidR="00F721D4">
        <w:rPr>
          <w:b/>
          <w:sz w:val="32"/>
          <w:szCs w:val="32"/>
        </w:rPr>
        <w:t>?</w:t>
      </w:r>
    </w:p>
    <w:p w14:paraId="40A812D6" w14:textId="77777777" w:rsidR="002D58E4" w:rsidRPr="002914A2" w:rsidRDefault="00F721D4" w:rsidP="00E343BA">
      <w:pPr>
        <w:ind w:right="-3980"/>
        <w:rPr>
          <w:b/>
          <w:color w:val="000000"/>
          <w:sz w:val="32"/>
          <w:szCs w:val="32"/>
          <w:lang w:val="fr-CA"/>
        </w:rPr>
      </w:pPr>
      <w:r w:rsidRPr="002914A2">
        <w:rPr>
          <w:b/>
          <w:color w:val="000000"/>
          <w:sz w:val="18"/>
          <w:szCs w:val="18"/>
          <w:lang w:val="fr-CA"/>
        </w:rPr>
        <w:t>Bibliography</w:t>
      </w:r>
      <w:r w:rsidRPr="002914A2">
        <w:rPr>
          <w:color w:val="000000"/>
          <w:sz w:val="18"/>
          <w:szCs w:val="18"/>
          <w:lang w:val="fr-CA"/>
        </w:rPr>
        <w:t>: 1. Krause, et al. JAMA. 1996 Jun 5; 275(21):1657-60; 2. Mitchell, et al. J Clin Microbiol. 1996 Mar;34(3):724-7; 3. Belongia, et al.</w:t>
      </w:r>
      <w:r w:rsidRPr="002914A2">
        <w:rPr>
          <w:lang w:val="fr-CA"/>
        </w:rPr>
        <w:t xml:space="preserve"> </w:t>
      </w:r>
      <w:r w:rsidRPr="002914A2">
        <w:rPr>
          <w:color w:val="000000"/>
          <w:sz w:val="18"/>
          <w:szCs w:val="18"/>
          <w:lang w:val="fr-CA"/>
        </w:rPr>
        <w:t>Clin Infect Dis. 1999 Dec;29(6):1472-7; 4. Wang, et al. Clin Infect Dis. 2000 Nov; 31(5):1149-54; 5. Krause, et al. Clin Infect Dis. 2002 May 1; 34(9):1184-91; 6. Steere, et al. Clin Infect Dis. 2003 Apr 15; 36(8):1078-81; 7. Horowitz, et al. Clin Infect Dis. 2013 Jan; 56(1):93-9</w:t>
      </w:r>
    </w:p>
    <w:tbl>
      <w:tblPr>
        <w:tblStyle w:val="afffc"/>
        <w:tblW w:w="14595" w:type="dxa"/>
        <w:tblLayout w:type="fixed"/>
        <w:tblLook w:val="0600" w:firstRow="0" w:lastRow="0" w:firstColumn="0" w:lastColumn="0" w:noHBand="1" w:noVBand="1"/>
      </w:tblPr>
      <w:tblGrid>
        <w:gridCol w:w="929"/>
        <w:gridCol w:w="905"/>
        <w:gridCol w:w="630"/>
        <w:gridCol w:w="4616"/>
        <w:gridCol w:w="2977"/>
        <w:gridCol w:w="4538"/>
      </w:tblGrid>
      <w:tr w:rsidR="002D58E4" w14:paraId="5BC5F642" w14:textId="77777777">
        <w:trPr>
          <w:trHeight w:val="500"/>
        </w:trPr>
        <w:tc>
          <w:tcPr>
            <w:tcW w:w="929"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0AE76EEB" w14:textId="77777777" w:rsidR="002D58E4" w:rsidRDefault="00F721D4">
            <w:pPr>
              <w:jc w:val="center"/>
              <w:rPr>
                <w:sz w:val="20"/>
                <w:szCs w:val="20"/>
              </w:rPr>
            </w:pPr>
            <w:r>
              <w:rPr>
                <w:b/>
                <w:color w:val="000000"/>
                <w:sz w:val="20"/>
                <w:szCs w:val="20"/>
              </w:rPr>
              <w:t>Study and Location</w:t>
            </w:r>
          </w:p>
        </w:tc>
        <w:tc>
          <w:tcPr>
            <w:tcW w:w="905" w:type="dxa"/>
            <w:tcBorders>
              <w:top w:val="single" w:sz="6" w:space="0" w:color="AEAEAE"/>
              <w:left w:val="single" w:sz="6" w:space="0" w:color="AEAEAE"/>
              <w:bottom w:val="single" w:sz="6" w:space="0" w:color="AEAEAE"/>
              <w:right w:val="single" w:sz="6" w:space="0" w:color="AEAEAE"/>
            </w:tcBorders>
            <w:shd w:val="clear" w:color="auto" w:fill="D9D9D9"/>
          </w:tcPr>
          <w:p w14:paraId="6B96E950" w14:textId="77777777" w:rsidR="002D58E4" w:rsidRDefault="00F721D4">
            <w:pPr>
              <w:jc w:val="center"/>
              <w:rPr>
                <w:b/>
                <w:color w:val="000000"/>
                <w:sz w:val="20"/>
                <w:szCs w:val="20"/>
              </w:rPr>
            </w:pPr>
            <w:r>
              <w:rPr>
                <w:b/>
                <w:color w:val="000000"/>
                <w:sz w:val="20"/>
                <w:szCs w:val="20"/>
              </w:rPr>
              <w:t>Study Design</w:t>
            </w:r>
          </w:p>
        </w:tc>
        <w:tc>
          <w:tcPr>
            <w:tcW w:w="630" w:type="dxa"/>
            <w:tcBorders>
              <w:top w:val="single" w:sz="6" w:space="0" w:color="AEAEAE"/>
              <w:left w:val="single" w:sz="6" w:space="0" w:color="AEAEAE"/>
              <w:bottom w:val="single" w:sz="6" w:space="0" w:color="AEAEAE"/>
              <w:right w:val="single" w:sz="6" w:space="0" w:color="AEAEAE"/>
            </w:tcBorders>
            <w:shd w:val="clear" w:color="auto" w:fill="D9D9D9"/>
          </w:tcPr>
          <w:p w14:paraId="178187E5" w14:textId="77777777" w:rsidR="002D58E4" w:rsidRDefault="00F721D4">
            <w:pPr>
              <w:jc w:val="center"/>
              <w:rPr>
                <w:b/>
                <w:color w:val="000000"/>
                <w:sz w:val="20"/>
                <w:szCs w:val="20"/>
              </w:rPr>
            </w:pPr>
            <w:r>
              <w:rPr>
                <w:b/>
                <w:color w:val="000000"/>
                <w:sz w:val="20"/>
                <w:szCs w:val="20"/>
              </w:rPr>
              <w:t>Risk of bias*</w:t>
            </w:r>
          </w:p>
        </w:tc>
        <w:tc>
          <w:tcPr>
            <w:tcW w:w="4616" w:type="dxa"/>
            <w:tcBorders>
              <w:top w:val="single" w:sz="6" w:space="0" w:color="AEAEAE"/>
              <w:left w:val="single" w:sz="6" w:space="0" w:color="AEAEAE"/>
              <w:bottom w:val="single" w:sz="6" w:space="0" w:color="AEAEAE"/>
              <w:right w:val="single" w:sz="6" w:space="0" w:color="AEAEAE"/>
            </w:tcBorders>
            <w:shd w:val="clear" w:color="auto" w:fill="D9D9D9"/>
          </w:tcPr>
          <w:p w14:paraId="5F4709F9" w14:textId="77777777" w:rsidR="002D58E4" w:rsidRDefault="00F721D4">
            <w:pPr>
              <w:jc w:val="center"/>
              <w:rPr>
                <w:b/>
                <w:color w:val="000000"/>
                <w:sz w:val="20"/>
                <w:szCs w:val="20"/>
              </w:rPr>
            </w:pPr>
            <w:r>
              <w:rPr>
                <w:b/>
                <w:color w:val="000000"/>
                <w:sz w:val="20"/>
                <w:szCs w:val="20"/>
              </w:rPr>
              <w:t>Diagnosis method</w:t>
            </w:r>
          </w:p>
        </w:tc>
        <w:tc>
          <w:tcPr>
            <w:tcW w:w="2977"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43566E9F" w14:textId="77777777" w:rsidR="002D58E4" w:rsidRDefault="00F721D4">
            <w:pPr>
              <w:jc w:val="center"/>
              <w:rPr>
                <w:sz w:val="20"/>
                <w:szCs w:val="20"/>
              </w:rPr>
            </w:pPr>
            <w:r>
              <w:rPr>
                <w:b/>
                <w:color w:val="000000"/>
                <w:sz w:val="20"/>
                <w:szCs w:val="20"/>
              </w:rPr>
              <w:t>Population characteristics and Co-infection type</w:t>
            </w:r>
          </w:p>
        </w:tc>
        <w:tc>
          <w:tcPr>
            <w:tcW w:w="4538" w:type="dxa"/>
            <w:tcBorders>
              <w:top w:val="single" w:sz="6" w:space="0" w:color="AEAEAE"/>
              <w:left w:val="single" w:sz="6" w:space="0" w:color="AEAEAE"/>
              <w:bottom w:val="single" w:sz="6" w:space="0" w:color="AEAEAE"/>
              <w:right w:val="single" w:sz="6" w:space="0" w:color="AEAEAE"/>
            </w:tcBorders>
            <w:shd w:val="clear" w:color="auto" w:fill="D9D9D9"/>
            <w:tcMar>
              <w:top w:w="15" w:type="dxa"/>
              <w:left w:w="30" w:type="dxa"/>
              <w:bottom w:w="0" w:type="dxa"/>
              <w:right w:w="30" w:type="dxa"/>
            </w:tcMar>
          </w:tcPr>
          <w:p w14:paraId="65DEA971" w14:textId="77777777" w:rsidR="002D58E4" w:rsidRDefault="00F721D4">
            <w:pPr>
              <w:jc w:val="center"/>
              <w:rPr>
                <w:sz w:val="20"/>
                <w:szCs w:val="20"/>
              </w:rPr>
            </w:pPr>
            <w:r>
              <w:rPr>
                <w:b/>
                <w:color w:val="000000"/>
                <w:sz w:val="20"/>
                <w:szCs w:val="20"/>
              </w:rPr>
              <w:t>% Co-infected</w:t>
            </w:r>
          </w:p>
          <w:p w14:paraId="2A175288" w14:textId="77777777" w:rsidR="002D58E4" w:rsidRDefault="00F721D4">
            <w:pPr>
              <w:jc w:val="center"/>
              <w:rPr>
                <w:sz w:val="20"/>
                <w:szCs w:val="20"/>
              </w:rPr>
            </w:pPr>
            <w:r>
              <w:rPr>
                <w:b/>
                <w:color w:val="000000"/>
                <w:sz w:val="20"/>
                <w:szCs w:val="20"/>
              </w:rPr>
              <w:t>(N cases/N Lyme cases)</w:t>
            </w:r>
          </w:p>
        </w:tc>
      </w:tr>
      <w:tr w:rsidR="002D58E4" w14:paraId="7E20B572" w14:textId="77777777">
        <w:trPr>
          <w:trHeight w:val="1260"/>
        </w:trPr>
        <w:tc>
          <w:tcPr>
            <w:tcW w:w="9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4852D6C" w14:textId="77777777" w:rsidR="002D58E4" w:rsidRDefault="00F721D4">
            <w:pPr>
              <w:rPr>
                <w:sz w:val="20"/>
                <w:szCs w:val="20"/>
              </w:rPr>
            </w:pPr>
            <w:r>
              <w:rPr>
                <w:sz w:val="20"/>
                <w:szCs w:val="20"/>
              </w:rPr>
              <w:t>Krause, et al. 1996</w:t>
            </w:r>
          </w:p>
          <w:p w14:paraId="142C7436" w14:textId="77777777" w:rsidR="002D58E4" w:rsidRDefault="002D58E4">
            <w:pPr>
              <w:rPr>
                <w:sz w:val="20"/>
                <w:szCs w:val="20"/>
              </w:rPr>
            </w:pPr>
          </w:p>
          <w:p w14:paraId="0872E548" w14:textId="77777777" w:rsidR="002D58E4" w:rsidRDefault="00F721D4">
            <w:pPr>
              <w:rPr>
                <w:sz w:val="20"/>
                <w:szCs w:val="20"/>
              </w:rPr>
            </w:pPr>
            <w:r>
              <w:rPr>
                <w:sz w:val="20"/>
                <w:szCs w:val="20"/>
              </w:rPr>
              <w:t>Block Island, RI</w:t>
            </w:r>
          </w:p>
        </w:tc>
        <w:tc>
          <w:tcPr>
            <w:tcW w:w="905" w:type="dxa"/>
            <w:tcBorders>
              <w:top w:val="single" w:sz="6" w:space="0" w:color="AEAEAE"/>
              <w:left w:val="single" w:sz="6" w:space="0" w:color="AEAEAE"/>
              <w:bottom w:val="single" w:sz="6" w:space="0" w:color="AEAEAE"/>
              <w:right w:val="single" w:sz="6" w:space="0" w:color="AEAEAE"/>
            </w:tcBorders>
            <w:vAlign w:val="center"/>
          </w:tcPr>
          <w:p w14:paraId="3AD2AE55"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3F76CF0B" w14:textId="77777777" w:rsidR="002D58E4" w:rsidRDefault="00F721D4">
            <w:pPr>
              <w:jc w:val="center"/>
              <w:rPr>
                <w:sz w:val="20"/>
                <w:szCs w:val="20"/>
              </w:rPr>
            </w:pPr>
            <w:r>
              <w:rPr>
                <w:sz w:val="20"/>
                <w:szCs w:val="20"/>
              </w:rPr>
              <w:t>7</w:t>
            </w:r>
          </w:p>
        </w:tc>
        <w:tc>
          <w:tcPr>
            <w:tcW w:w="4616" w:type="dxa"/>
            <w:tcBorders>
              <w:top w:val="single" w:sz="6" w:space="0" w:color="AEAEAE"/>
              <w:left w:val="single" w:sz="6" w:space="0" w:color="AEAEAE"/>
              <w:bottom w:val="single" w:sz="6" w:space="0" w:color="AEAEAE"/>
              <w:right w:val="single" w:sz="6" w:space="0" w:color="AEAEAE"/>
            </w:tcBorders>
            <w:vAlign w:val="center"/>
          </w:tcPr>
          <w:p w14:paraId="4BF19C82" w14:textId="77777777" w:rsidR="002D58E4" w:rsidRDefault="00F721D4">
            <w:pPr>
              <w:spacing w:after="120"/>
              <w:rPr>
                <w:sz w:val="20"/>
                <w:szCs w:val="20"/>
              </w:rPr>
            </w:pPr>
            <w:r>
              <w:rPr>
                <w:sz w:val="20"/>
                <w:szCs w:val="20"/>
                <w:u w:val="single"/>
              </w:rPr>
              <w:t>Lyme:</w:t>
            </w:r>
            <w:r>
              <w:rPr>
                <w:sz w:val="20"/>
                <w:szCs w:val="20"/>
              </w:rPr>
              <w:t xml:space="preserve"> Physician diagnosis of erythema migrans, and/or Laboratory confirmation through serology or PCR of blood</w:t>
            </w:r>
          </w:p>
          <w:p w14:paraId="0F0DF3F5" w14:textId="77777777" w:rsidR="002D58E4" w:rsidRDefault="00F721D4">
            <w:pPr>
              <w:rPr>
                <w:sz w:val="20"/>
                <w:szCs w:val="20"/>
              </w:rPr>
            </w:pPr>
            <w:r>
              <w:rPr>
                <w:sz w:val="20"/>
                <w:szCs w:val="20"/>
                <w:u w:val="single"/>
              </w:rPr>
              <w:t xml:space="preserve">Babesiosis: </w:t>
            </w:r>
            <w:r>
              <w:rPr>
                <w:sz w:val="20"/>
                <w:szCs w:val="20"/>
              </w:rPr>
              <w:t>Presence of symptoms with Laboratory confirmation through thin blood smear, serology, or PCR</w:t>
            </w:r>
          </w:p>
        </w:tc>
        <w:tc>
          <w:tcPr>
            <w:tcW w:w="297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2554B17B" w14:textId="77777777" w:rsidR="002D58E4" w:rsidRDefault="00F721D4">
            <w:pPr>
              <w:rPr>
                <w:sz w:val="20"/>
                <w:szCs w:val="20"/>
              </w:rPr>
            </w:pPr>
            <w:r>
              <w:rPr>
                <w:sz w:val="20"/>
                <w:szCs w:val="20"/>
              </w:rPr>
              <w:t xml:space="preserve">Residents with Lyme disease and/or babesiosis who had lived on Block Island for ≥1-2 months during the peak transmission season </w:t>
            </w:r>
          </w:p>
        </w:tc>
        <w:tc>
          <w:tcPr>
            <w:tcW w:w="4538"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D298D5B" w14:textId="77777777" w:rsidR="002D58E4" w:rsidRDefault="00F721D4">
            <w:pPr>
              <w:rPr>
                <w:sz w:val="20"/>
                <w:szCs w:val="20"/>
              </w:rPr>
            </w:pPr>
            <w:r>
              <w:rPr>
                <w:sz w:val="20"/>
                <w:szCs w:val="20"/>
                <w:u w:val="single"/>
              </w:rPr>
              <w:t>Babesiosis</w:t>
            </w:r>
            <w:r>
              <w:rPr>
                <w:sz w:val="20"/>
                <w:szCs w:val="20"/>
              </w:rPr>
              <w:t>: 11% (26/240)</w:t>
            </w:r>
          </w:p>
        </w:tc>
      </w:tr>
      <w:tr w:rsidR="002D58E4" w14:paraId="2475DC26" w14:textId="77777777">
        <w:trPr>
          <w:trHeight w:val="1480"/>
        </w:trPr>
        <w:tc>
          <w:tcPr>
            <w:tcW w:w="9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7DDCB01" w14:textId="77777777" w:rsidR="002D58E4" w:rsidRDefault="00F721D4">
            <w:pPr>
              <w:rPr>
                <w:sz w:val="20"/>
                <w:szCs w:val="20"/>
              </w:rPr>
            </w:pPr>
            <w:r>
              <w:rPr>
                <w:sz w:val="20"/>
                <w:szCs w:val="20"/>
              </w:rPr>
              <w:t>Mitchell, et al. 1996</w:t>
            </w:r>
          </w:p>
          <w:p w14:paraId="22C1B11E" w14:textId="77777777" w:rsidR="002D58E4" w:rsidRDefault="002D58E4">
            <w:pPr>
              <w:rPr>
                <w:sz w:val="20"/>
                <w:szCs w:val="20"/>
              </w:rPr>
            </w:pPr>
          </w:p>
          <w:p w14:paraId="7BB497DF" w14:textId="77777777" w:rsidR="002D58E4" w:rsidRDefault="00F721D4">
            <w:pPr>
              <w:rPr>
                <w:sz w:val="20"/>
                <w:szCs w:val="20"/>
              </w:rPr>
            </w:pPr>
            <w:r>
              <w:rPr>
                <w:sz w:val="20"/>
                <w:szCs w:val="20"/>
              </w:rPr>
              <w:t>MN and WI</w:t>
            </w:r>
          </w:p>
        </w:tc>
        <w:tc>
          <w:tcPr>
            <w:tcW w:w="905" w:type="dxa"/>
            <w:tcBorders>
              <w:top w:val="single" w:sz="6" w:space="0" w:color="AEAEAE"/>
              <w:left w:val="single" w:sz="6" w:space="0" w:color="AEAEAE"/>
              <w:bottom w:val="single" w:sz="6" w:space="0" w:color="AEAEAE"/>
              <w:right w:val="single" w:sz="6" w:space="0" w:color="AEAEAE"/>
            </w:tcBorders>
            <w:vAlign w:val="center"/>
          </w:tcPr>
          <w:p w14:paraId="5A334D42" w14:textId="77777777" w:rsidR="002D58E4" w:rsidRDefault="00F721D4">
            <w:pPr>
              <w:rPr>
                <w:sz w:val="20"/>
                <w:szCs w:val="20"/>
              </w:rPr>
            </w:pPr>
            <w:r>
              <w:rPr>
                <w:sz w:val="20"/>
                <w:szCs w:val="20"/>
              </w:rPr>
              <w:t>Cross-sectional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7D27B191" w14:textId="77777777" w:rsidR="002D58E4" w:rsidRDefault="00F721D4">
            <w:pPr>
              <w:jc w:val="center"/>
              <w:rPr>
                <w:sz w:val="20"/>
                <w:szCs w:val="20"/>
              </w:rPr>
            </w:pPr>
            <w:r>
              <w:rPr>
                <w:sz w:val="20"/>
                <w:szCs w:val="20"/>
              </w:rPr>
              <w:t>6</w:t>
            </w:r>
          </w:p>
        </w:tc>
        <w:tc>
          <w:tcPr>
            <w:tcW w:w="4616" w:type="dxa"/>
            <w:tcBorders>
              <w:top w:val="single" w:sz="6" w:space="0" w:color="AEAEAE"/>
              <w:left w:val="single" w:sz="6" w:space="0" w:color="AEAEAE"/>
              <w:bottom w:val="single" w:sz="6" w:space="0" w:color="AEAEAE"/>
              <w:right w:val="single" w:sz="6" w:space="0" w:color="AEAEAE"/>
            </w:tcBorders>
            <w:vAlign w:val="center"/>
          </w:tcPr>
          <w:p w14:paraId="76D40AA6" w14:textId="77777777" w:rsidR="002D58E4" w:rsidRDefault="00F721D4">
            <w:pPr>
              <w:spacing w:after="120"/>
              <w:rPr>
                <w:sz w:val="20"/>
                <w:szCs w:val="20"/>
              </w:rPr>
            </w:pPr>
            <w:r>
              <w:rPr>
                <w:sz w:val="20"/>
                <w:szCs w:val="20"/>
                <w:u w:val="single"/>
              </w:rPr>
              <w:t>Lyme:</w:t>
            </w:r>
            <w:r>
              <w:rPr>
                <w:sz w:val="20"/>
                <w:szCs w:val="20"/>
              </w:rPr>
              <w:t xml:space="preserve"> Physician diagnosis of erythema migrans with culture-confirmed infection with </w:t>
            </w:r>
            <w:r>
              <w:rPr>
                <w:i/>
                <w:sz w:val="20"/>
                <w:szCs w:val="20"/>
              </w:rPr>
              <w:t>B. burgdorferi</w:t>
            </w:r>
          </w:p>
          <w:p w14:paraId="3FA96FA0" w14:textId="77777777" w:rsidR="002D58E4" w:rsidRDefault="00F721D4">
            <w:pPr>
              <w:rPr>
                <w:sz w:val="20"/>
                <w:szCs w:val="20"/>
              </w:rPr>
            </w:pPr>
            <w:r>
              <w:rPr>
                <w:sz w:val="20"/>
                <w:szCs w:val="20"/>
                <w:u w:val="single"/>
              </w:rPr>
              <w:t>Babesiosis:</w:t>
            </w:r>
            <w:r>
              <w:rPr>
                <w:sz w:val="20"/>
                <w:szCs w:val="20"/>
              </w:rPr>
              <w:t xml:space="preserve"> Presence of symptoms and Laboratory confirmation through serology and blood smear</w:t>
            </w:r>
          </w:p>
          <w:p w14:paraId="622C2790" w14:textId="77777777" w:rsidR="002D58E4" w:rsidRDefault="002D58E4">
            <w:pPr>
              <w:rPr>
                <w:sz w:val="20"/>
                <w:szCs w:val="20"/>
              </w:rPr>
            </w:pPr>
          </w:p>
          <w:p w14:paraId="52F6A25E" w14:textId="77777777" w:rsidR="002D58E4" w:rsidRDefault="00F721D4">
            <w:pPr>
              <w:spacing w:after="120"/>
              <w:rPr>
                <w:sz w:val="20"/>
                <w:szCs w:val="20"/>
                <w:u w:val="single"/>
              </w:rPr>
            </w:pPr>
            <w:r>
              <w:rPr>
                <w:sz w:val="20"/>
                <w:szCs w:val="20"/>
                <w:u w:val="single"/>
              </w:rPr>
              <w:t>Anaplasmosis</w:t>
            </w:r>
            <w:r>
              <w:rPr>
                <w:sz w:val="20"/>
                <w:szCs w:val="20"/>
              </w:rPr>
              <w:t>:  Presence of symptoms with Laboratory confirmation through PCR, and with/without confirmation by blood smear and/or serology</w:t>
            </w:r>
          </w:p>
        </w:tc>
        <w:tc>
          <w:tcPr>
            <w:tcW w:w="297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ABFCEEE" w14:textId="77777777" w:rsidR="002D58E4" w:rsidRDefault="00F721D4">
            <w:pPr>
              <w:rPr>
                <w:sz w:val="20"/>
                <w:szCs w:val="20"/>
              </w:rPr>
            </w:pPr>
            <w:r>
              <w:rPr>
                <w:sz w:val="20"/>
                <w:szCs w:val="20"/>
              </w:rPr>
              <w:t>Patients living in the upper Midwest (Minnesota and Wisconsin) with culture-confirmed erythema migrans.</w:t>
            </w:r>
          </w:p>
        </w:tc>
        <w:tc>
          <w:tcPr>
            <w:tcW w:w="4538"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B72780D" w14:textId="77777777" w:rsidR="002D58E4" w:rsidRDefault="00F721D4">
            <w:pPr>
              <w:rPr>
                <w:sz w:val="20"/>
                <w:szCs w:val="20"/>
              </w:rPr>
            </w:pPr>
            <w:r>
              <w:rPr>
                <w:sz w:val="20"/>
                <w:szCs w:val="20"/>
                <w:u w:val="single"/>
              </w:rPr>
              <w:t>Babesiosis</w:t>
            </w:r>
            <w:r>
              <w:rPr>
                <w:sz w:val="20"/>
                <w:szCs w:val="20"/>
              </w:rPr>
              <w:t>: 2.1% (2/96)</w:t>
            </w:r>
          </w:p>
          <w:p w14:paraId="41743A4D" w14:textId="77777777" w:rsidR="002D58E4" w:rsidRDefault="002D58E4">
            <w:pPr>
              <w:rPr>
                <w:sz w:val="20"/>
                <w:szCs w:val="20"/>
              </w:rPr>
            </w:pPr>
          </w:p>
          <w:p w14:paraId="22ED82ED" w14:textId="77777777" w:rsidR="002D58E4" w:rsidRDefault="00F721D4">
            <w:pPr>
              <w:rPr>
                <w:sz w:val="20"/>
                <w:szCs w:val="20"/>
              </w:rPr>
            </w:pPr>
            <w:r>
              <w:rPr>
                <w:sz w:val="20"/>
                <w:szCs w:val="20"/>
                <w:u w:val="single"/>
              </w:rPr>
              <w:t>Anaplasmosis</w:t>
            </w:r>
            <w:r>
              <w:rPr>
                <w:sz w:val="20"/>
                <w:szCs w:val="20"/>
              </w:rPr>
              <w:t>: 5.2% (5/96)</w:t>
            </w:r>
          </w:p>
          <w:p w14:paraId="0CC4879B" w14:textId="77777777" w:rsidR="002D58E4" w:rsidRDefault="002D58E4">
            <w:pPr>
              <w:rPr>
                <w:sz w:val="20"/>
                <w:szCs w:val="20"/>
              </w:rPr>
            </w:pPr>
          </w:p>
          <w:p w14:paraId="6A93000D" w14:textId="77777777" w:rsidR="002D58E4" w:rsidRDefault="00F721D4">
            <w:pPr>
              <w:rPr>
                <w:sz w:val="20"/>
                <w:szCs w:val="20"/>
              </w:rPr>
            </w:pPr>
            <w:r>
              <w:rPr>
                <w:sz w:val="20"/>
                <w:szCs w:val="20"/>
                <w:u w:val="single"/>
              </w:rPr>
              <w:t>Babesiosis and Anaplasmosis:</w:t>
            </w:r>
            <w:r>
              <w:rPr>
                <w:sz w:val="20"/>
                <w:szCs w:val="20"/>
              </w:rPr>
              <w:t xml:space="preserve"> 2.1% (2/96)</w:t>
            </w:r>
          </w:p>
        </w:tc>
      </w:tr>
      <w:tr w:rsidR="002D58E4" w14:paraId="3A8CF165" w14:textId="77777777">
        <w:trPr>
          <w:trHeight w:val="1240"/>
        </w:trPr>
        <w:tc>
          <w:tcPr>
            <w:tcW w:w="9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588B6715" w14:textId="77777777" w:rsidR="002D58E4" w:rsidRDefault="00F721D4">
            <w:pPr>
              <w:rPr>
                <w:sz w:val="20"/>
                <w:szCs w:val="20"/>
              </w:rPr>
            </w:pPr>
            <w:r>
              <w:rPr>
                <w:sz w:val="20"/>
                <w:szCs w:val="20"/>
              </w:rPr>
              <w:t>Belongia, et al. 1999</w:t>
            </w:r>
          </w:p>
          <w:p w14:paraId="76FE8331" w14:textId="77777777" w:rsidR="002D58E4" w:rsidRDefault="002D58E4">
            <w:pPr>
              <w:rPr>
                <w:sz w:val="20"/>
                <w:szCs w:val="20"/>
              </w:rPr>
            </w:pPr>
          </w:p>
          <w:p w14:paraId="1CFBE497" w14:textId="77777777" w:rsidR="002D58E4" w:rsidRDefault="00F721D4">
            <w:pPr>
              <w:rPr>
                <w:sz w:val="20"/>
                <w:szCs w:val="20"/>
              </w:rPr>
            </w:pPr>
            <w:r>
              <w:rPr>
                <w:sz w:val="20"/>
                <w:szCs w:val="20"/>
              </w:rPr>
              <w:t>Marshfield, WI</w:t>
            </w:r>
          </w:p>
        </w:tc>
        <w:tc>
          <w:tcPr>
            <w:tcW w:w="905" w:type="dxa"/>
            <w:tcBorders>
              <w:top w:val="single" w:sz="6" w:space="0" w:color="AEAEAE"/>
              <w:left w:val="single" w:sz="6" w:space="0" w:color="AEAEAE"/>
              <w:bottom w:val="single" w:sz="6" w:space="0" w:color="AEAEAE"/>
              <w:right w:val="single" w:sz="6" w:space="0" w:color="AEAEAE"/>
            </w:tcBorders>
            <w:vAlign w:val="center"/>
          </w:tcPr>
          <w:p w14:paraId="067D3D04" w14:textId="77777777" w:rsidR="002D58E4" w:rsidRDefault="00F721D4">
            <w:pPr>
              <w:rPr>
                <w:sz w:val="20"/>
                <w:szCs w:val="20"/>
              </w:rPr>
            </w:pPr>
            <w:r>
              <w:rPr>
                <w:sz w:val="20"/>
                <w:szCs w:val="20"/>
              </w:rPr>
              <w:t>Case-control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0D9A72DC" w14:textId="77777777" w:rsidR="002D58E4" w:rsidRDefault="00F721D4">
            <w:pPr>
              <w:jc w:val="center"/>
              <w:rPr>
                <w:sz w:val="20"/>
                <w:szCs w:val="20"/>
              </w:rPr>
            </w:pPr>
            <w:r>
              <w:rPr>
                <w:sz w:val="20"/>
                <w:szCs w:val="20"/>
              </w:rPr>
              <w:t>7</w:t>
            </w:r>
          </w:p>
        </w:tc>
        <w:tc>
          <w:tcPr>
            <w:tcW w:w="4616" w:type="dxa"/>
            <w:tcBorders>
              <w:top w:val="single" w:sz="6" w:space="0" w:color="AEAEAE"/>
              <w:left w:val="single" w:sz="6" w:space="0" w:color="AEAEAE"/>
              <w:bottom w:val="single" w:sz="6" w:space="0" w:color="AEAEAE"/>
              <w:right w:val="single" w:sz="6" w:space="0" w:color="AEAEAE"/>
            </w:tcBorders>
            <w:vAlign w:val="center"/>
          </w:tcPr>
          <w:p w14:paraId="7935226F" w14:textId="77777777" w:rsidR="002D58E4" w:rsidRDefault="00F721D4">
            <w:pPr>
              <w:spacing w:after="120"/>
              <w:rPr>
                <w:sz w:val="20"/>
                <w:szCs w:val="20"/>
              </w:rPr>
            </w:pPr>
            <w:r>
              <w:rPr>
                <w:sz w:val="20"/>
                <w:szCs w:val="20"/>
                <w:u w:val="single"/>
              </w:rPr>
              <w:t>Lyme:</w:t>
            </w:r>
            <w:r>
              <w:rPr>
                <w:sz w:val="20"/>
                <w:szCs w:val="20"/>
              </w:rPr>
              <w:t xml:space="preserve"> Physician diagnosis of erythema migrans, and laboratory evidence of acute </w:t>
            </w:r>
            <w:r>
              <w:rPr>
                <w:i/>
                <w:sz w:val="20"/>
                <w:szCs w:val="20"/>
              </w:rPr>
              <w:t>B. burgdorferi</w:t>
            </w:r>
            <w:r>
              <w:rPr>
                <w:sz w:val="20"/>
                <w:szCs w:val="20"/>
              </w:rPr>
              <w:t xml:space="preserve"> infection, through serologic testing or positive culture</w:t>
            </w:r>
          </w:p>
          <w:p w14:paraId="0676E53A" w14:textId="77777777" w:rsidR="002D58E4" w:rsidRDefault="00F721D4">
            <w:pPr>
              <w:spacing w:after="120"/>
              <w:rPr>
                <w:sz w:val="20"/>
                <w:szCs w:val="20"/>
                <w:u w:val="single"/>
              </w:rPr>
            </w:pPr>
            <w:r>
              <w:rPr>
                <w:sz w:val="20"/>
                <w:szCs w:val="20"/>
                <w:u w:val="single"/>
              </w:rPr>
              <w:t>Anaplasmosis</w:t>
            </w:r>
            <w:r>
              <w:rPr>
                <w:sz w:val="20"/>
                <w:szCs w:val="20"/>
              </w:rPr>
              <w:t>:  Presence of symptoms with Laboratory confirmation through PCR and serology</w:t>
            </w:r>
          </w:p>
        </w:tc>
        <w:tc>
          <w:tcPr>
            <w:tcW w:w="297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A44A0F0" w14:textId="77777777" w:rsidR="002D58E4" w:rsidRDefault="00F721D4">
            <w:pPr>
              <w:rPr>
                <w:sz w:val="20"/>
                <w:szCs w:val="20"/>
              </w:rPr>
            </w:pPr>
            <w:r>
              <w:rPr>
                <w:sz w:val="20"/>
                <w:szCs w:val="20"/>
              </w:rPr>
              <w:t xml:space="preserve">Patients who were residents of Wisconsin who were diagnosed with erythema migrans and/or suspected Anaplasmosis. </w:t>
            </w:r>
          </w:p>
          <w:p w14:paraId="55DED9DF" w14:textId="77777777" w:rsidR="002D58E4" w:rsidRDefault="002D58E4">
            <w:pPr>
              <w:rPr>
                <w:sz w:val="20"/>
                <w:szCs w:val="20"/>
              </w:rPr>
            </w:pPr>
          </w:p>
          <w:p w14:paraId="6159332D" w14:textId="77777777" w:rsidR="002D58E4" w:rsidRDefault="00F721D4">
            <w:pPr>
              <w:rPr>
                <w:i/>
                <w:sz w:val="20"/>
                <w:szCs w:val="20"/>
              </w:rPr>
            </w:pPr>
            <w:r>
              <w:rPr>
                <w:i/>
                <w:sz w:val="20"/>
                <w:szCs w:val="20"/>
              </w:rPr>
              <w:t>Control group was assessed against cases to identify potential residential and behavioral risk factors for acquiring infection.</w:t>
            </w:r>
          </w:p>
        </w:tc>
        <w:tc>
          <w:tcPr>
            <w:tcW w:w="4538"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360D2628" w14:textId="77777777" w:rsidR="002D58E4" w:rsidRDefault="00F721D4">
            <w:pPr>
              <w:rPr>
                <w:sz w:val="20"/>
                <w:szCs w:val="20"/>
              </w:rPr>
            </w:pPr>
            <w:r>
              <w:rPr>
                <w:sz w:val="20"/>
                <w:szCs w:val="20"/>
                <w:u w:val="single"/>
              </w:rPr>
              <w:t>Anaplasmosis</w:t>
            </w:r>
            <w:r>
              <w:rPr>
                <w:sz w:val="20"/>
                <w:szCs w:val="20"/>
              </w:rPr>
              <w:t>: confirmed: 3% (8/283); probable: 4% (11/283)</w:t>
            </w:r>
          </w:p>
          <w:p w14:paraId="317D9A15" w14:textId="77777777" w:rsidR="002D58E4" w:rsidRDefault="00F721D4">
            <w:pPr>
              <w:rPr>
                <w:sz w:val="20"/>
                <w:szCs w:val="20"/>
              </w:rPr>
            </w:pPr>
            <w:r>
              <w:rPr>
                <w:sz w:val="20"/>
                <w:szCs w:val="20"/>
              </w:rPr>
              <w:t xml:space="preserve"> </w:t>
            </w:r>
          </w:p>
        </w:tc>
      </w:tr>
      <w:tr w:rsidR="002D58E4" w14:paraId="40503D4D" w14:textId="77777777">
        <w:trPr>
          <w:trHeight w:val="1240"/>
        </w:trPr>
        <w:tc>
          <w:tcPr>
            <w:tcW w:w="9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C157A65" w14:textId="77777777" w:rsidR="002D58E4" w:rsidRPr="002914A2" w:rsidRDefault="00F721D4">
            <w:pPr>
              <w:rPr>
                <w:sz w:val="20"/>
                <w:szCs w:val="20"/>
                <w:lang w:val="fr-CA"/>
              </w:rPr>
            </w:pPr>
            <w:r w:rsidRPr="002914A2">
              <w:rPr>
                <w:sz w:val="20"/>
                <w:szCs w:val="20"/>
                <w:lang w:val="fr-CA"/>
              </w:rPr>
              <w:t>Wang, et al. 2000</w:t>
            </w:r>
          </w:p>
          <w:p w14:paraId="6F055233" w14:textId="77777777" w:rsidR="002D58E4" w:rsidRPr="002914A2" w:rsidRDefault="002D58E4">
            <w:pPr>
              <w:rPr>
                <w:sz w:val="20"/>
                <w:szCs w:val="20"/>
                <w:lang w:val="fr-CA"/>
              </w:rPr>
            </w:pPr>
          </w:p>
          <w:p w14:paraId="3A2F62BE" w14:textId="77777777" w:rsidR="002D58E4" w:rsidRPr="002914A2" w:rsidRDefault="00F721D4">
            <w:pPr>
              <w:rPr>
                <w:sz w:val="20"/>
                <w:szCs w:val="20"/>
                <w:lang w:val="fr-CA"/>
              </w:rPr>
            </w:pPr>
            <w:r w:rsidRPr="002914A2">
              <w:rPr>
                <w:sz w:val="20"/>
                <w:szCs w:val="20"/>
                <w:lang w:val="fr-CA"/>
              </w:rPr>
              <w:t>Nantucket</w:t>
            </w:r>
          </w:p>
          <w:p w14:paraId="46EBE25F" w14:textId="77777777" w:rsidR="002D58E4" w:rsidRPr="002914A2" w:rsidRDefault="00F721D4">
            <w:pPr>
              <w:rPr>
                <w:sz w:val="20"/>
                <w:szCs w:val="20"/>
                <w:lang w:val="fr-CA"/>
              </w:rPr>
            </w:pPr>
            <w:r w:rsidRPr="002914A2">
              <w:rPr>
                <w:sz w:val="20"/>
                <w:szCs w:val="20"/>
                <w:lang w:val="fr-CA"/>
              </w:rPr>
              <w:t>Island, MA</w:t>
            </w:r>
          </w:p>
        </w:tc>
        <w:tc>
          <w:tcPr>
            <w:tcW w:w="905" w:type="dxa"/>
            <w:tcBorders>
              <w:top w:val="single" w:sz="6" w:space="0" w:color="AEAEAE"/>
              <w:left w:val="single" w:sz="6" w:space="0" w:color="AEAEAE"/>
              <w:bottom w:val="single" w:sz="6" w:space="0" w:color="AEAEAE"/>
              <w:right w:val="single" w:sz="6" w:space="0" w:color="AEAEAE"/>
            </w:tcBorders>
            <w:vAlign w:val="center"/>
          </w:tcPr>
          <w:p w14:paraId="62583E10" w14:textId="77777777" w:rsidR="002D58E4" w:rsidRDefault="00F721D4">
            <w:pPr>
              <w:rPr>
                <w:sz w:val="20"/>
                <w:szCs w:val="20"/>
              </w:rPr>
            </w:pPr>
            <w:r>
              <w:rPr>
                <w:sz w:val="20"/>
                <w:szCs w:val="20"/>
              </w:rPr>
              <w:t>Retrospective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6E51C6B3" w14:textId="77777777" w:rsidR="002D58E4" w:rsidRDefault="00F721D4">
            <w:pPr>
              <w:jc w:val="center"/>
              <w:rPr>
                <w:sz w:val="20"/>
                <w:szCs w:val="20"/>
              </w:rPr>
            </w:pPr>
            <w:r>
              <w:rPr>
                <w:sz w:val="20"/>
                <w:szCs w:val="20"/>
              </w:rPr>
              <w:t>6</w:t>
            </w:r>
          </w:p>
        </w:tc>
        <w:tc>
          <w:tcPr>
            <w:tcW w:w="4616" w:type="dxa"/>
            <w:tcBorders>
              <w:top w:val="single" w:sz="6" w:space="0" w:color="AEAEAE"/>
              <w:left w:val="single" w:sz="6" w:space="0" w:color="AEAEAE"/>
              <w:bottom w:val="single" w:sz="6" w:space="0" w:color="AEAEAE"/>
              <w:right w:val="single" w:sz="6" w:space="0" w:color="AEAEAE"/>
            </w:tcBorders>
            <w:vAlign w:val="center"/>
          </w:tcPr>
          <w:p w14:paraId="5240A787" w14:textId="77777777" w:rsidR="002D58E4" w:rsidRDefault="00F721D4">
            <w:pPr>
              <w:spacing w:after="120"/>
              <w:rPr>
                <w:sz w:val="20"/>
                <w:szCs w:val="20"/>
              </w:rPr>
            </w:pPr>
            <w:r>
              <w:rPr>
                <w:sz w:val="20"/>
                <w:szCs w:val="20"/>
                <w:u w:val="single"/>
              </w:rPr>
              <w:t>Lyme:</w:t>
            </w:r>
            <w:r>
              <w:rPr>
                <w:sz w:val="20"/>
                <w:szCs w:val="20"/>
              </w:rPr>
              <w:t xml:space="preserve"> CDC criteria; History of erythema migrans, or serological confirmation with ≥1 late manifestation of the disease</w:t>
            </w:r>
          </w:p>
          <w:p w14:paraId="1567D278" w14:textId="77777777" w:rsidR="002D58E4" w:rsidRDefault="00F721D4">
            <w:pPr>
              <w:rPr>
                <w:sz w:val="20"/>
                <w:szCs w:val="20"/>
                <w:u w:val="single"/>
              </w:rPr>
            </w:pPr>
            <w:r>
              <w:rPr>
                <w:sz w:val="20"/>
                <w:szCs w:val="20"/>
                <w:u w:val="single"/>
              </w:rPr>
              <w:t>Babesiosis:</w:t>
            </w:r>
            <w:r>
              <w:rPr>
                <w:sz w:val="20"/>
                <w:szCs w:val="20"/>
              </w:rPr>
              <w:t xml:space="preserve"> History of Laboratory confirmation through blood smear or serology; </w:t>
            </w:r>
            <w:r>
              <w:rPr>
                <w:sz w:val="20"/>
                <w:szCs w:val="20"/>
                <w:u w:val="single"/>
              </w:rPr>
              <w:t>acute co-infection</w:t>
            </w:r>
            <w:r>
              <w:rPr>
                <w:sz w:val="20"/>
                <w:szCs w:val="20"/>
              </w:rPr>
              <w:t>: defined as Babesiosis and Lyme definitively occurring together, rather than presence of antibodies to both</w:t>
            </w:r>
          </w:p>
        </w:tc>
        <w:tc>
          <w:tcPr>
            <w:tcW w:w="297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4B01F2B3" w14:textId="77777777" w:rsidR="002D58E4" w:rsidRDefault="00F721D4">
            <w:pPr>
              <w:rPr>
                <w:sz w:val="20"/>
                <w:szCs w:val="20"/>
              </w:rPr>
            </w:pPr>
            <w:r>
              <w:rPr>
                <w:sz w:val="20"/>
                <w:szCs w:val="20"/>
              </w:rPr>
              <w:t>Permanent residents of Nantucket Island who reported a clinician’s diagnosis of Lyme disease or a history of a positive serologic test for Lyme.</w:t>
            </w:r>
          </w:p>
        </w:tc>
        <w:tc>
          <w:tcPr>
            <w:tcW w:w="4538"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24C8A435" w14:textId="77777777" w:rsidR="002D58E4" w:rsidRDefault="00F721D4">
            <w:pPr>
              <w:rPr>
                <w:sz w:val="20"/>
                <w:szCs w:val="20"/>
              </w:rPr>
            </w:pPr>
            <w:r>
              <w:rPr>
                <w:sz w:val="20"/>
                <w:szCs w:val="20"/>
                <w:u w:val="single"/>
              </w:rPr>
              <w:t>Babesiosis</w:t>
            </w:r>
            <w:r>
              <w:rPr>
                <w:sz w:val="20"/>
                <w:szCs w:val="20"/>
              </w:rPr>
              <w:t>: 2% (4/200) (patients reporting acute co-infection)</w:t>
            </w:r>
          </w:p>
        </w:tc>
      </w:tr>
      <w:tr w:rsidR="002D58E4" w14:paraId="55B4E342" w14:textId="77777777">
        <w:trPr>
          <w:trHeight w:val="1240"/>
        </w:trPr>
        <w:tc>
          <w:tcPr>
            <w:tcW w:w="9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14C87B7" w14:textId="77777777" w:rsidR="002D58E4" w:rsidRDefault="00F721D4">
            <w:pPr>
              <w:rPr>
                <w:sz w:val="20"/>
                <w:szCs w:val="20"/>
              </w:rPr>
            </w:pPr>
            <w:r>
              <w:rPr>
                <w:sz w:val="20"/>
                <w:szCs w:val="20"/>
              </w:rPr>
              <w:t>Krause, et al. 2002</w:t>
            </w:r>
          </w:p>
          <w:p w14:paraId="4FFF6207" w14:textId="77777777" w:rsidR="002D58E4" w:rsidRDefault="002D58E4">
            <w:pPr>
              <w:rPr>
                <w:sz w:val="20"/>
                <w:szCs w:val="20"/>
              </w:rPr>
            </w:pPr>
          </w:p>
          <w:p w14:paraId="13608BA0" w14:textId="77777777" w:rsidR="002D58E4" w:rsidRDefault="00F721D4">
            <w:pPr>
              <w:rPr>
                <w:sz w:val="20"/>
                <w:szCs w:val="20"/>
              </w:rPr>
            </w:pPr>
            <w:r>
              <w:rPr>
                <w:sz w:val="20"/>
                <w:szCs w:val="20"/>
              </w:rPr>
              <w:t>Block</w:t>
            </w:r>
          </w:p>
          <w:p w14:paraId="79D92DDF" w14:textId="77777777" w:rsidR="002D58E4" w:rsidRDefault="00F721D4">
            <w:pPr>
              <w:rPr>
                <w:sz w:val="20"/>
                <w:szCs w:val="20"/>
              </w:rPr>
            </w:pPr>
            <w:r>
              <w:rPr>
                <w:sz w:val="20"/>
                <w:szCs w:val="20"/>
              </w:rPr>
              <w:t>Island, RI, Nantucket, MA, and southeastern CT</w:t>
            </w:r>
          </w:p>
        </w:tc>
        <w:tc>
          <w:tcPr>
            <w:tcW w:w="905" w:type="dxa"/>
            <w:tcBorders>
              <w:top w:val="single" w:sz="6" w:space="0" w:color="AEAEAE"/>
              <w:left w:val="single" w:sz="6" w:space="0" w:color="AEAEAE"/>
              <w:bottom w:val="single" w:sz="6" w:space="0" w:color="AEAEAE"/>
              <w:right w:val="single" w:sz="6" w:space="0" w:color="AEAEAE"/>
            </w:tcBorders>
            <w:vAlign w:val="center"/>
          </w:tcPr>
          <w:p w14:paraId="1BC1BF6C"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72D94C00" w14:textId="77777777" w:rsidR="002D58E4" w:rsidRDefault="002D58E4">
            <w:pPr>
              <w:jc w:val="center"/>
              <w:rPr>
                <w:sz w:val="20"/>
                <w:szCs w:val="20"/>
              </w:rPr>
            </w:pPr>
          </w:p>
          <w:p w14:paraId="15459DEE" w14:textId="77777777" w:rsidR="002D58E4" w:rsidRDefault="00F721D4">
            <w:pPr>
              <w:jc w:val="center"/>
              <w:rPr>
                <w:sz w:val="20"/>
                <w:szCs w:val="20"/>
              </w:rPr>
            </w:pPr>
            <w:r>
              <w:rPr>
                <w:sz w:val="20"/>
                <w:szCs w:val="20"/>
              </w:rPr>
              <w:t>7</w:t>
            </w:r>
          </w:p>
        </w:tc>
        <w:tc>
          <w:tcPr>
            <w:tcW w:w="4616" w:type="dxa"/>
            <w:tcBorders>
              <w:top w:val="single" w:sz="6" w:space="0" w:color="AEAEAE"/>
              <w:left w:val="single" w:sz="6" w:space="0" w:color="AEAEAE"/>
              <w:bottom w:val="single" w:sz="6" w:space="0" w:color="AEAEAE"/>
              <w:right w:val="single" w:sz="6" w:space="0" w:color="AEAEAE"/>
            </w:tcBorders>
            <w:vAlign w:val="center"/>
          </w:tcPr>
          <w:p w14:paraId="2AC865BD" w14:textId="77777777" w:rsidR="002D58E4" w:rsidRDefault="00F721D4">
            <w:pPr>
              <w:spacing w:after="120"/>
              <w:rPr>
                <w:sz w:val="20"/>
                <w:szCs w:val="20"/>
              </w:rPr>
            </w:pPr>
            <w:r>
              <w:rPr>
                <w:sz w:val="20"/>
                <w:szCs w:val="20"/>
                <w:u w:val="single"/>
              </w:rPr>
              <w:t>Lyme:</w:t>
            </w:r>
            <w:r>
              <w:rPr>
                <w:sz w:val="20"/>
                <w:szCs w:val="20"/>
              </w:rPr>
              <w:t xml:space="preserve"> Physician diagnosis of erythema migrans, and/or Laboratory confirmation through serology or PCR of blood</w:t>
            </w:r>
          </w:p>
          <w:p w14:paraId="64F3D8ED" w14:textId="77777777" w:rsidR="002D58E4" w:rsidRDefault="00F721D4">
            <w:pPr>
              <w:rPr>
                <w:sz w:val="20"/>
                <w:szCs w:val="20"/>
              </w:rPr>
            </w:pPr>
            <w:r>
              <w:rPr>
                <w:sz w:val="20"/>
                <w:szCs w:val="20"/>
                <w:u w:val="single"/>
              </w:rPr>
              <w:t xml:space="preserve">Babesiosis: </w:t>
            </w:r>
            <w:r>
              <w:rPr>
                <w:sz w:val="20"/>
                <w:szCs w:val="20"/>
              </w:rPr>
              <w:t xml:space="preserve"> Presence of symptoms with Laboratory confirmation through serology, thin blood smear, or PCR</w:t>
            </w:r>
          </w:p>
          <w:p w14:paraId="79D5F10F" w14:textId="77777777" w:rsidR="002D58E4" w:rsidRDefault="002D58E4">
            <w:pPr>
              <w:rPr>
                <w:sz w:val="20"/>
                <w:szCs w:val="20"/>
              </w:rPr>
            </w:pPr>
          </w:p>
          <w:p w14:paraId="1F8DBB0C" w14:textId="77777777" w:rsidR="002D58E4" w:rsidRDefault="00F721D4">
            <w:pPr>
              <w:rPr>
                <w:sz w:val="20"/>
                <w:szCs w:val="20"/>
              </w:rPr>
            </w:pPr>
            <w:r>
              <w:rPr>
                <w:sz w:val="20"/>
                <w:szCs w:val="20"/>
                <w:u w:val="single"/>
              </w:rPr>
              <w:t>Anaplasmosis</w:t>
            </w:r>
            <w:r>
              <w:rPr>
                <w:sz w:val="20"/>
                <w:szCs w:val="20"/>
              </w:rPr>
              <w:t>:  Presence of symptoms with Laboratory confirmation through serology, thin blood smear, or PCR</w:t>
            </w:r>
          </w:p>
        </w:tc>
        <w:tc>
          <w:tcPr>
            <w:tcW w:w="297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B4D72BC" w14:textId="77777777" w:rsidR="002D58E4" w:rsidRDefault="00F721D4">
            <w:pPr>
              <w:rPr>
                <w:sz w:val="20"/>
                <w:szCs w:val="20"/>
              </w:rPr>
            </w:pPr>
            <w:r>
              <w:rPr>
                <w:sz w:val="20"/>
                <w:szCs w:val="20"/>
              </w:rPr>
              <w:t>Patients who experienced an erythema migrans rash or flu-like illness suggestive of Lyme disease, babesiosis, and/or anaplasmosis living in highly endemic areas</w:t>
            </w:r>
          </w:p>
        </w:tc>
        <w:tc>
          <w:tcPr>
            <w:tcW w:w="4538"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053752B1" w14:textId="77777777" w:rsidR="002D58E4" w:rsidRDefault="002D58E4">
            <w:pPr>
              <w:rPr>
                <w:sz w:val="20"/>
                <w:szCs w:val="20"/>
              </w:rPr>
            </w:pPr>
          </w:p>
          <w:p w14:paraId="366C1336" w14:textId="77777777" w:rsidR="002D58E4" w:rsidRDefault="00F721D4">
            <w:pPr>
              <w:rPr>
                <w:sz w:val="20"/>
                <w:szCs w:val="20"/>
              </w:rPr>
            </w:pPr>
            <w:r>
              <w:rPr>
                <w:sz w:val="20"/>
                <w:szCs w:val="20"/>
                <w:u w:val="single"/>
              </w:rPr>
              <w:t>Babesiosis</w:t>
            </w:r>
            <w:r>
              <w:rPr>
                <w:sz w:val="20"/>
                <w:szCs w:val="20"/>
              </w:rPr>
              <w:t>: 38% (61/161)</w:t>
            </w:r>
          </w:p>
          <w:p w14:paraId="6B29E052" w14:textId="77777777" w:rsidR="002D58E4" w:rsidRDefault="002D58E4">
            <w:pPr>
              <w:rPr>
                <w:sz w:val="20"/>
                <w:szCs w:val="20"/>
              </w:rPr>
            </w:pPr>
          </w:p>
          <w:p w14:paraId="408FA499" w14:textId="77777777" w:rsidR="002D58E4" w:rsidRDefault="00F721D4">
            <w:pPr>
              <w:rPr>
                <w:sz w:val="20"/>
                <w:szCs w:val="20"/>
              </w:rPr>
            </w:pPr>
            <w:r>
              <w:rPr>
                <w:sz w:val="20"/>
                <w:szCs w:val="20"/>
                <w:u w:val="single"/>
              </w:rPr>
              <w:t>Anaplasmosis</w:t>
            </w:r>
            <w:r>
              <w:rPr>
                <w:sz w:val="20"/>
                <w:szCs w:val="20"/>
              </w:rPr>
              <w:t>: 4% (7/161)</w:t>
            </w:r>
          </w:p>
          <w:p w14:paraId="61AA5054" w14:textId="77777777" w:rsidR="002D58E4" w:rsidRDefault="002D58E4">
            <w:pPr>
              <w:rPr>
                <w:sz w:val="20"/>
                <w:szCs w:val="20"/>
              </w:rPr>
            </w:pPr>
          </w:p>
          <w:p w14:paraId="5DD8A30C" w14:textId="77777777" w:rsidR="002D58E4" w:rsidRDefault="00F721D4">
            <w:pPr>
              <w:rPr>
                <w:sz w:val="20"/>
                <w:szCs w:val="20"/>
              </w:rPr>
            </w:pPr>
            <w:r>
              <w:rPr>
                <w:sz w:val="20"/>
                <w:szCs w:val="20"/>
                <w:u w:val="single"/>
              </w:rPr>
              <w:t>Babesiosis and Anaplasmosis:</w:t>
            </w:r>
            <w:r>
              <w:rPr>
                <w:sz w:val="20"/>
                <w:szCs w:val="20"/>
              </w:rPr>
              <w:t xml:space="preserve"> 3% (4/161)</w:t>
            </w:r>
          </w:p>
          <w:p w14:paraId="5AF3D8DA" w14:textId="77777777" w:rsidR="002D58E4" w:rsidRDefault="002D58E4">
            <w:pPr>
              <w:rPr>
                <w:sz w:val="20"/>
                <w:szCs w:val="20"/>
              </w:rPr>
            </w:pPr>
          </w:p>
          <w:p w14:paraId="57D306B3" w14:textId="77777777" w:rsidR="002D58E4" w:rsidRDefault="002D58E4">
            <w:pPr>
              <w:rPr>
                <w:sz w:val="20"/>
                <w:szCs w:val="20"/>
              </w:rPr>
            </w:pPr>
          </w:p>
        </w:tc>
      </w:tr>
      <w:tr w:rsidR="002D58E4" w14:paraId="77D4E22D" w14:textId="77777777">
        <w:trPr>
          <w:trHeight w:val="1840"/>
        </w:trPr>
        <w:tc>
          <w:tcPr>
            <w:tcW w:w="9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77F39D7" w14:textId="77777777" w:rsidR="002D58E4" w:rsidRDefault="00F721D4">
            <w:pPr>
              <w:rPr>
                <w:sz w:val="20"/>
                <w:szCs w:val="20"/>
              </w:rPr>
            </w:pPr>
            <w:r>
              <w:rPr>
                <w:sz w:val="20"/>
                <w:szCs w:val="20"/>
              </w:rPr>
              <w:t>Steere, et al.  2003</w:t>
            </w:r>
          </w:p>
          <w:p w14:paraId="06DA9EF0" w14:textId="77777777" w:rsidR="002D58E4" w:rsidRDefault="002D58E4">
            <w:pPr>
              <w:rPr>
                <w:sz w:val="20"/>
                <w:szCs w:val="20"/>
              </w:rPr>
            </w:pPr>
          </w:p>
          <w:p w14:paraId="0C1008A6" w14:textId="77777777" w:rsidR="002D58E4" w:rsidRDefault="00F721D4">
            <w:pPr>
              <w:rPr>
                <w:sz w:val="20"/>
                <w:szCs w:val="20"/>
              </w:rPr>
            </w:pPr>
            <w:r>
              <w:rPr>
                <w:sz w:val="20"/>
                <w:szCs w:val="20"/>
              </w:rPr>
              <w:t>East Lyme, CT, and Wakefield, RI</w:t>
            </w:r>
          </w:p>
        </w:tc>
        <w:tc>
          <w:tcPr>
            <w:tcW w:w="905" w:type="dxa"/>
            <w:tcBorders>
              <w:top w:val="single" w:sz="6" w:space="0" w:color="AEAEAE"/>
              <w:left w:val="single" w:sz="6" w:space="0" w:color="AEAEAE"/>
              <w:bottom w:val="single" w:sz="6" w:space="0" w:color="AEAEAE"/>
              <w:right w:val="single" w:sz="6" w:space="0" w:color="AEAEAE"/>
            </w:tcBorders>
            <w:vAlign w:val="center"/>
          </w:tcPr>
          <w:p w14:paraId="5E288944"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426E20C" w14:textId="77777777" w:rsidR="002D58E4" w:rsidRDefault="002D58E4">
            <w:pPr>
              <w:jc w:val="center"/>
              <w:rPr>
                <w:sz w:val="20"/>
                <w:szCs w:val="20"/>
              </w:rPr>
            </w:pPr>
          </w:p>
          <w:p w14:paraId="72BAD939" w14:textId="77777777" w:rsidR="002D58E4" w:rsidRDefault="002D58E4">
            <w:pPr>
              <w:jc w:val="center"/>
              <w:rPr>
                <w:sz w:val="20"/>
                <w:szCs w:val="20"/>
              </w:rPr>
            </w:pPr>
          </w:p>
          <w:p w14:paraId="052C4B02" w14:textId="77777777" w:rsidR="002D58E4" w:rsidRDefault="002D58E4">
            <w:pPr>
              <w:jc w:val="center"/>
              <w:rPr>
                <w:sz w:val="20"/>
                <w:szCs w:val="20"/>
              </w:rPr>
            </w:pPr>
          </w:p>
          <w:p w14:paraId="0F464367" w14:textId="77777777" w:rsidR="002D58E4" w:rsidRDefault="002D58E4">
            <w:pPr>
              <w:jc w:val="center"/>
              <w:rPr>
                <w:sz w:val="20"/>
                <w:szCs w:val="20"/>
              </w:rPr>
            </w:pPr>
          </w:p>
          <w:p w14:paraId="15947853" w14:textId="77777777" w:rsidR="002D58E4" w:rsidRDefault="00F721D4">
            <w:pPr>
              <w:jc w:val="center"/>
              <w:rPr>
                <w:sz w:val="20"/>
                <w:szCs w:val="20"/>
              </w:rPr>
            </w:pPr>
            <w:r>
              <w:rPr>
                <w:sz w:val="20"/>
                <w:szCs w:val="20"/>
              </w:rPr>
              <w:t>8</w:t>
            </w:r>
          </w:p>
          <w:p w14:paraId="7BD8BA93" w14:textId="77777777" w:rsidR="002D58E4" w:rsidRDefault="002D58E4">
            <w:pPr>
              <w:jc w:val="center"/>
              <w:rPr>
                <w:sz w:val="20"/>
                <w:szCs w:val="20"/>
              </w:rPr>
            </w:pPr>
          </w:p>
          <w:p w14:paraId="447AA2F9" w14:textId="77777777" w:rsidR="002D58E4" w:rsidRDefault="002D58E4">
            <w:pPr>
              <w:jc w:val="center"/>
              <w:rPr>
                <w:sz w:val="20"/>
                <w:szCs w:val="20"/>
              </w:rPr>
            </w:pPr>
          </w:p>
          <w:p w14:paraId="2FCAF0D1" w14:textId="77777777" w:rsidR="002D58E4" w:rsidRDefault="002D58E4">
            <w:pPr>
              <w:jc w:val="center"/>
              <w:rPr>
                <w:sz w:val="20"/>
                <w:szCs w:val="20"/>
              </w:rPr>
            </w:pPr>
          </w:p>
        </w:tc>
        <w:tc>
          <w:tcPr>
            <w:tcW w:w="4616" w:type="dxa"/>
            <w:tcBorders>
              <w:top w:val="single" w:sz="6" w:space="0" w:color="AEAEAE"/>
              <w:left w:val="single" w:sz="6" w:space="0" w:color="AEAEAE"/>
              <w:bottom w:val="single" w:sz="6" w:space="0" w:color="AEAEAE"/>
              <w:right w:val="single" w:sz="6" w:space="0" w:color="AEAEAE"/>
            </w:tcBorders>
            <w:vAlign w:val="center"/>
          </w:tcPr>
          <w:p w14:paraId="17854AE9" w14:textId="77777777" w:rsidR="002D58E4" w:rsidRDefault="00F721D4">
            <w:pPr>
              <w:spacing w:after="120"/>
              <w:rPr>
                <w:sz w:val="20"/>
                <w:szCs w:val="20"/>
              </w:rPr>
            </w:pPr>
            <w:r>
              <w:rPr>
                <w:sz w:val="20"/>
                <w:szCs w:val="20"/>
                <w:u w:val="single"/>
              </w:rPr>
              <w:t>Lyme:</w:t>
            </w:r>
            <w:r>
              <w:rPr>
                <w:sz w:val="20"/>
                <w:szCs w:val="20"/>
              </w:rPr>
              <w:t xml:space="preserve"> Physician diagnosis of erythema migrans, and Laboratory confirmation through serology and culture</w:t>
            </w:r>
          </w:p>
          <w:p w14:paraId="6F977CF9" w14:textId="77777777" w:rsidR="002D58E4" w:rsidRDefault="00F721D4">
            <w:pPr>
              <w:rPr>
                <w:sz w:val="20"/>
                <w:szCs w:val="20"/>
              </w:rPr>
            </w:pPr>
            <w:r>
              <w:rPr>
                <w:sz w:val="20"/>
                <w:szCs w:val="20"/>
                <w:u w:val="single"/>
              </w:rPr>
              <w:t xml:space="preserve">Babesiosis: </w:t>
            </w:r>
            <w:r>
              <w:rPr>
                <w:sz w:val="20"/>
                <w:szCs w:val="20"/>
              </w:rPr>
              <w:t xml:space="preserve"> Presence of symptoms with Laboratory confirmation through PCR and serology</w:t>
            </w:r>
          </w:p>
          <w:p w14:paraId="21A23C5E" w14:textId="77777777" w:rsidR="002D58E4" w:rsidRDefault="002D58E4">
            <w:pPr>
              <w:rPr>
                <w:sz w:val="20"/>
                <w:szCs w:val="20"/>
              </w:rPr>
            </w:pPr>
          </w:p>
          <w:p w14:paraId="67F2A8CE" w14:textId="77777777" w:rsidR="002D58E4" w:rsidRDefault="00F721D4">
            <w:pPr>
              <w:rPr>
                <w:sz w:val="20"/>
                <w:szCs w:val="20"/>
              </w:rPr>
            </w:pPr>
            <w:r>
              <w:rPr>
                <w:sz w:val="20"/>
                <w:szCs w:val="20"/>
                <w:u w:val="single"/>
              </w:rPr>
              <w:t>Anaplasmosis</w:t>
            </w:r>
            <w:r>
              <w:rPr>
                <w:sz w:val="20"/>
                <w:szCs w:val="20"/>
              </w:rPr>
              <w:t>:  Presence of symptoms with Laboratory confirmation through PCR and serology</w:t>
            </w:r>
          </w:p>
        </w:tc>
        <w:tc>
          <w:tcPr>
            <w:tcW w:w="297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342CBB0" w14:textId="77777777" w:rsidR="002D58E4" w:rsidRDefault="00F721D4">
            <w:pPr>
              <w:rPr>
                <w:sz w:val="20"/>
                <w:szCs w:val="20"/>
              </w:rPr>
            </w:pPr>
            <w:r>
              <w:rPr>
                <w:sz w:val="20"/>
                <w:szCs w:val="20"/>
              </w:rPr>
              <w:t xml:space="preserve"> Patients with erythema migrans and culture-confirmed Lyme disease living in highly endemic areas. </w:t>
            </w:r>
          </w:p>
        </w:tc>
        <w:tc>
          <w:tcPr>
            <w:tcW w:w="4538" w:type="dxa"/>
            <w:tcBorders>
              <w:top w:val="single" w:sz="6" w:space="0" w:color="AEAEAE"/>
              <w:left w:val="single" w:sz="6" w:space="0" w:color="AEAEAE"/>
              <w:bottom w:val="single" w:sz="6" w:space="0" w:color="AEAEAE"/>
              <w:right w:val="single" w:sz="6" w:space="0" w:color="AEAEAE"/>
            </w:tcBorders>
            <w:shd w:val="clear" w:color="auto" w:fill="auto"/>
            <w:tcMar>
              <w:top w:w="61" w:type="dxa"/>
              <w:left w:w="144" w:type="dxa"/>
              <w:bottom w:w="61" w:type="dxa"/>
              <w:right w:w="144" w:type="dxa"/>
            </w:tcMar>
            <w:vAlign w:val="center"/>
          </w:tcPr>
          <w:p w14:paraId="148D0B83" w14:textId="77777777" w:rsidR="002D58E4" w:rsidRDefault="00F721D4">
            <w:pPr>
              <w:rPr>
                <w:sz w:val="20"/>
                <w:szCs w:val="20"/>
              </w:rPr>
            </w:pPr>
            <w:r>
              <w:rPr>
                <w:sz w:val="20"/>
                <w:szCs w:val="20"/>
                <w:u w:val="single"/>
              </w:rPr>
              <w:t>Babesiosis</w:t>
            </w:r>
            <w:r>
              <w:rPr>
                <w:sz w:val="20"/>
                <w:szCs w:val="20"/>
              </w:rPr>
              <w:t>: 2% (2/93)</w:t>
            </w:r>
          </w:p>
          <w:p w14:paraId="01FF5BA3" w14:textId="77777777" w:rsidR="002D58E4" w:rsidRDefault="002D58E4">
            <w:pPr>
              <w:rPr>
                <w:sz w:val="20"/>
                <w:szCs w:val="20"/>
              </w:rPr>
            </w:pPr>
          </w:p>
          <w:p w14:paraId="3C6B34C9" w14:textId="77777777" w:rsidR="002D58E4" w:rsidRDefault="00F721D4">
            <w:pPr>
              <w:rPr>
                <w:sz w:val="20"/>
                <w:szCs w:val="20"/>
                <w:u w:val="single"/>
              </w:rPr>
            </w:pPr>
            <w:r>
              <w:rPr>
                <w:sz w:val="20"/>
                <w:szCs w:val="20"/>
                <w:u w:val="single"/>
              </w:rPr>
              <w:t>Anaplasmosis</w:t>
            </w:r>
            <w:r>
              <w:rPr>
                <w:sz w:val="20"/>
                <w:szCs w:val="20"/>
              </w:rPr>
              <w:t>: 2% (2/93)</w:t>
            </w:r>
          </w:p>
        </w:tc>
      </w:tr>
      <w:tr w:rsidR="002D58E4" w14:paraId="151765F0" w14:textId="77777777">
        <w:trPr>
          <w:trHeight w:val="2280"/>
        </w:trPr>
        <w:tc>
          <w:tcPr>
            <w:tcW w:w="929"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3CF5E36A" w14:textId="77777777" w:rsidR="002D58E4" w:rsidRPr="002914A2" w:rsidRDefault="00F721D4">
            <w:pPr>
              <w:rPr>
                <w:sz w:val="20"/>
                <w:szCs w:val="20"/>
                <w:lang w:val="fr-CA"/>
              </w:rPr>
            </w:pPr>
            <w:r w:rsidRPr="002914A2">
              <w:rPr>
                <w:sz w:val="20"/>
                <w:szCs w:val="20"/>
                <w:lang w:val="fr-CA"/>
              </w:rPr>
              <w:t>Horowitz, et al. 2013</w:t>
            </w:r>
          </w:p>
          <w:p w14:paraId="40223824" w14:textId="77777777" w:rsidR="002D58E4" w:rsidRPr="002914A2" w:rsidRDefault="002D58E4">
            <w:pPr>
              <w:rPr>
                <w:sz w:val="20"/>
                <w:szCs w:val="20"/>
                <w:lang w:val="fr-CA"/>
              </w:rPr>
            </w:pPr>
          </w:p>
          <w:p w14:paraId="7BD0A6B9" w14:textId="77777777" w:rsidR="002D58E4" w:rsidRPr="002914A2" w:rsidRDefault="002D58E4">
            <w:pPr>
              <w:rPr>
                <w:sz w:val="20"/>
                <w:szCs w:val="20"/>
                <w:lang w:val="fr-CA"/>
              </w:rPr>
            </w:pPr>
          </w:p>
          <w:p w14:paraId="0E990BC2" w14:textId="77777777" w:rsidR="002D58E4" w:rsidRPr="002914A2" w:rsidRDefault="00F721D4">
            <w:pPr>
              <w:rPr>
                <w:sz w:val="20"/>
                <w:szCs w:val="20"/>
                <w:lang w:val="fr-CA"/>
              </w:rPr>
            </w:pPr>
            <w:r w:rsidRPr="002914A2">
              <w:rPr>
                <w:sz w:val="20"/>
                <w:szCs w:val="20"/>
                <w:lang w:val="fr-CA"/>
              </w:rPr>
              <w:t>Valhalla, NY</w:t>
            </w:r>
          </w:p>
        </w:tc>
        <w:tc>
          <w:tcPr>
            <w:tcW w:w="905" w:type="dxa"/>
            <w:tcBorders>
              <w:top w:val="single" w:sz="6" w:space="0" w:color="AEAEAE"/>
              <w:left w:val="single" w:sz="6" w:space="0" w:color="AEAEAE"/>
              <w:bottom w:val="single" w:sz="6" w:space="0" w:color="AEAEAE"/>
              <w:right w:val="single" w:sz="6" w:space="0" w:color="AEAEAE"/>
            </w:tcBorders>
            <w:vAlign w:val="center"/>
          </w:tcPr>
          <w:p w14:paraId="2064D165" w14:textId="77777777" w:rsidR="002D58E4" w:rsidRDefault="00F721D4">
            <w:pPr>
              <w:rPr>
                <w:sz w:val="20"/>
                <w:szCs w:val="20"/>
              </w:rPr>
            </w:pPr>
            <w:r>
              <w:rPr>
                <w:sz w:val="20"/>
                <w:szCs w:val="20"/>
              </w:rPr>
              <w:t>Prospective cohort study</w:t>
            </w:r>
          </w:p>
        </w:tc>
        <w:tc>
          <w:tcPr>
            <w:tcW w:w="630" w:type="dxa"/>
            <w:tcBorders>
              <w:top w:val="single" w:sz="6" w:space="0" w:color="AEAEAE"/>
              <w:left w:val="single" w:sz="6" w:space="0" w:color="AEAEAE"/>
              <w:bottom w:val="single" w:sz="6" w:space="0" w:color="AEAEAE"/>
              <w:right w:val="single" w:sz="6" w:space="0" w:color="AEAEAE"/>
            </w:tcBorders>
            <w:vAlign w:val="center"/>
          </w:tcPr>
          <w:p w14:paraId="56C1C0D8" w14:textId="77777777" w:rsidR="002D58E4" w:rsidRDefault="00F721D4">
            <w:pPr>
              <w:jc w:val="center"/>
              <w:rPr>
                <w:sz w:val="20"/>
                <w:szCs w:val="20"/>
              </w:rPr>
            </w:pPr>
            <w:r>
              <w:rPr>
                <w:sz w:val="20"/>
                <w:szCs w:val="20"/>
              </w:rPr>
              <w:t>8</w:t>
            </w:r>
          </w:p>
        </w:tc>
        <w:tc>
          <w:tcPr>
            <w:tcW w:w="4616" w:type="dxa"/>
            <w:tcBorders>
              <w:top w:val="single" w:sz="6" w:space="0" w:color="AEAEAE"/>
              <w:left w:val="single" w:sz="6" w:space="0" w:color="AEAEAE"/>
              <w:bottom w:val="single" w:sz="6" w:space="0" w:color="AEAEAE"/>
              <w:right w:val="single" w:sz="6" w:space="0" w:color="AEAEAE"/>
            </w:tcBorders>
            <w:vAlign w:val="center"/>
          </w:tcPr>
          <w:p w14:paraId="620FFE4D" w14:textId="77777777" w:rsidR="002D58E4" w:rsidRDefault="00F721D4">
            <w:pPr>
              <w:spacing w:after="120"/>
              <w:rPr>
                <w:sz w:val="20"/>
                <w:szCs w:val="20"/>
              </w:rPr>
            </w:pPr>
            <w:r>
              <w:rPr>
                <w:sz w:val="20"/>
                <w:szCs w:val="20"/>
                <w:u w:val="single"/>
              </w:rPr>
              <w:t>Lyme:</w:t>
            </w:r>
            <w:r>
              <w:rPr>
                <w:sz w:val="20"/>
                <w:szCs w:val="20"/>
              </w:rPr>
              <w:t xml:space="preserve"> CDC criteria; History of erythema migrans, or serological confirmation </w:t>
            </w:r>
          </w:p>
          <w:p w14:paraId="1A9BB607" w14:textId="77777777" w:rsidR="002D58E4" w:rsidRDefault="00F721D4">
            <w:pPr>
              <w:rPr>
                <w:sz w:val="20"/>
                <w:szCs w:val="20"/>
              </w:rPr>
            </w:pPr>
            <w:r>
              <w:rPr>
                <w:sz w:val="20"/>
                <w:szCs w:val="20"/>
                <w:u w:val="single"/>
              </w:rPr>
              <w:t>Anaplasmosis:</w:t>
            </w:r>
            <w:r>
              <w:rPr>
                <w:sz w:val="20"/>
                <w:szCs w:val="20"/>
              </w:rPr>
              <w:t xml:space="preserve"> Four separate case definitions were assessed: A= Positive blood culture for </w:t>
            </w:r>
            <w:r>
              <w:rPr>
                <w:i/>
                <w:sz w:val="20"/>
                <w:szCs w:val="20"/>
              </w:rPr>
              <w:t xml:space="preserve">A. phagocytophilum </w:t>
            </w:r>
            <w:r>
              <w:rPr>
                <w:sz w:val="20"/>
                <w:szCs w:val="20"/>
              </w:rPr>
              <w:t xml:space="preserve">required; B= Positive blood culture and/or a 4x rise in antibody to </w:t>
            </w:r>
            <w:r>
              <w:rPr>
                <w:i/>
                <w:sz w:val="20"/>
                <w:szCs w:val="20"/>
              </w:rPr>
              <w:t>A. phagocytophilum</w:t>
            </w:r>
            <w:r>
              <w:rPr>
                <w:sz w:val="20"/>
                <w:szCs w:val="20"/>
              </w:rPr>
              <w:t xml:space="preserve"> to ≥ 1:640; C= Either of the criteria required for definition B and/or an antibody titer of 1:2560, irrespective of a 4x rise in antibody titer; D= Either positive culture or an antibody titer of 1:640, irrespective of a 4x rise. </w:t>
            </w:r>
          </w:p>
        </w:tc>
        <w:tc>
          <w:tcPr>
            <w:tcW w:w="2977"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62A2ED27" w14:textId="77777777" w:rsidR="002D58E4" w:rsidRDefault="00F721D4">
            <w:pPr>
              <w:rPr>
                <w:sz w:val="20"/>
                <w:szCs w:val="20"/>
              </w:rPr>
            </w:pPr>
            <w:r>
              <w:rPr>
                <w:sz w:val="20"/>
                <w:szCs w:val="20"/>
              </w:rPr>
              <w:t xml:space="preserve">Patients living in an area endemic for Lyme disease and Anaplasmosis with potential tick exposure that had an erythema migrans lesion or reported a viral infection-like illness without features suggestive of upper respiratory tract infection or gastroenteritis. </w:t>
            </w:r>
          </w:p>
        </w:tc>
        <w:tc>
          <w:tcPr>
            <w:tcW w:w="4538" w:type="dxa"/>
            <w:tcBorders>
              <w:top w:val="single" w:sz="6" w:space="0" w:color="AEAEAE"/>
              <w:left w:val="single" w:sz="6" w:space="0" w:color="AEAEAE"/>
              <w:bottom w:val="single" w:sz="6" w:space="0" w:color="AEAEAE"/>
              <w:right w:val="single" w:sz="6" w:space="0" w:color="AEAEAE"/>
            </w:tcBorders>
            <w:shd w:val="clear" w:color="auto" w:fill="auto"/>
            <w:tcMar>
              <w:top w:w="15" w:type="dxa"/>
              <w:left w:w="30" w:type="dxa"/>
              <w:bottom w:w="0" w:type="dxa"/>
              <w:right w:w="30" w:type="dxa"/>
            </w:tcMar>
            <w:vAlign w:val="center"/>
          </w:tcPr>
          <w:p w14:paraId="1F70DD5E" w14:textId="77777777" w:rsidR="002D58E4" w:rsidRDefault="00F721D4">
            <w:pPr>
              <w:rPr>
                <w:sz w:val="20"/>
                <w:szCs w:val="20"/>
              </w:rPr>
            </w:pPr>
            <w:r>
              <w:rPr>
                <w:sz w:val="20"/>
                <w:szCs w:val="20"/>
                <w:u w:val="single"/>
              </w:rPr>
              <w:t>Anaplasmosis</w:t>
            </w:r>
            <w:r>
              <w:rPr>
                <w:sz w:val="20"/>
                <w:szCs w:val="20"/>
              </w:rPr>
              <w:t xml:space="preserve">: </w:t>
            </w:r>
          </w:p>
          <w:p w14:paraId="47E91DB7" w14:textId="77777777" w:rsidR="002D58E4" w:rsidRDefault="00F721D4">
            <w:pPr>
              <w:numPr>
                <w:ilvl w:val="0"/>
                <w:numId w:val="39"/>
              </w:numPr>
              <w:ind w:hanging="144"/>
              <w:rPr>
                <w:sz w:val="20"/>
                <w:szCs w:val="20"/>
              </w:rPr>
            </w:pPr>
            <w:r>
              <w:rPr>
                <w:sz w:val="20"/>
                <w:szCs w:val="20"/>
              </w:rPr>
              <w:t>Definition A: 2.3% (7/302)</w:t>
            </w:r>
          </w:p>
          <w:p w14:paraId="5525C2A8" w14:textId="77777777" w:rsidR="002D58E4" w:rsidRDefault="00F721D4">
            <w:pPr>
              <w:numPr>
                <w:ilvl w:val="0"/>
                <w:numId w:val="39"/>
              </w:numPr>
              <w:ind w:hanging="144"/>
              <w:rPr>
                <w:sz w:val="20"/>
                <w:szCs w:val="20"/>
              </w:rPr>
            </w:pPr>
            <w:r>
              <w:rPr>
                <w:sz w:val="20"/>
                <w:szCs w:val="20"/>
              </w:rPr>
              <w:t>Definition B: 5.0% (15/310)</w:t>
            </w:r>
          </w:p>
          <w:p w14:paraId="24A98452" w14:textId="77777777" w:rsidR="002D58E4" w:rsidRDefault="00F721D4">
            <w:pPr>
              <w:numPr>
                <w:ilvl w:val="0"/>
                <w:numId w:val="39"/>
              </w:numPr>
              <w:ind w:hanging="144"/>
              <w:rPr>
                <w:sz w:val="20"/>
                <w:szCs w:val="20"/>
              </w:rPr>
            </w:pPr>
            <w:r>
              <w:rPr>
                <w:sz w:val="20"/>
                <w:szCs w:val="20"/>
              </w:rPr>
              <w:t>Definition C: 7.7% (24/311)</w:t>
            </w:r>
          </w:p>
          <w:p w14:paraId="1645F6BD" w14:textId="77777777" w:rsidR="002D58E4" w:rsidRDefault="00F721D4">
            <w:pPr>
              <w:numPr>
                <w:ilvl w:val="0"/>
                <w:numId w:val="39"/>
              </w:numPr>
              <w:ind w:hanging="144"/>
              <w:rPr>
                <w:sz w:val="20"/>
                <w:szCs w:val="20"/>
              </w:rPr>
            </w:pPr>
            <w:r>
              <w:rPr>
                <w:sz w:val="20"/>
                <w:szCs w:val="20"/>
              </w:rPr>
              <w:t xml:space="preserve">Definition D: 10.0% (31/311) </w:t>
            </w:r>
          </w:p>
        </w:tc>
      </w:tr>
    </w:tbl>
    <w:p w14:paraId="3DAE6149" w14:textId="77777777" w:rsidR="002D58E4" w:rsidRDefault="00F721D4" w:rsidP="00E343BA">
      <w:pPr>
        <w:ind w:right="-3980"/>
        <w:rPr>
          <w:sz w:val="20"/>
          <w:szCs w:val="20"/>
        </w:rPr>
      </w:pPr>
      <w:r>
        <w:rPr>
          <w:b/>
          <w:sz w:val="20"/>
          <w:szCs w:val="20"/>
        </w:rPr>
        <w:t>*</w:t>
      </w:r>
      <w:r>
        <w:rPr>
          <w:sz w:val="20"/>
          <w:szCs w:val="20"/>
        </w:rPr>
        <w:t xml:space="preserve"> Risk of Bias of Observational Data was rated on a scale from 0 (worst) to 9 (best) using the Newcastle-Ottawa Quality Assessment Scale for Observational Studies.</w:t>
      </w:r>
    </w:p>
    <w:p w14:paraId="65D6F0BA" w14:textId="77777777" w:rsidR="002D58E4" w:rsidRDefault="002D58E4"/>
    <w:p w14:paraId="01DE0D27" w14:textId="77777777" w:rsidR="002D58E4" w:rsidRDefault="002D58E4"/>
    <w:tbl>
      <w:tblPr>
        <w:tblStyle w:val="afffd"/>
        <w:tblW w:w="1403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11873"/>
      </w:tblGrid>
      <w:tr w:rsidR="002D58E4" w14:paraId="4DEDA32A" w14:textId="77777777" w:rsidTr="00E343BA">
        <w:tc>
          <w:tcPr>
            <w:tcW w:w="14037" w:type="dxa"/>
            <w:gridSpan w:val="2"/>
            <w:shd w:val="clear" w:color="auto" w:fill="D9D9D9"/>
          </w:tcPr>
          <w:p w14:paraId="3EAB5521" w14:textId="77777777" w:rsidR="002D58E4" w:rsidRDefault="00F721D4">
            <w:pPr>
              <w:jc w:val="center"/>
              <w:rPr>
                <w:sz w:val="16"/>
                <w:szCs w:val="16"/>
              </w:rPr>
            </w:pPr>
            <w:r>
              <w:rPr>
                <w:b/>
                <w:color w:val="000000"/>
                <w:sz w:val="24"/>
                <w:szCs w:val="24"/>
              </w:rPr>
              <w:t>Study Conclusions about the Clinical presentation of Co-infection with Babesia and/or Anaplasma</w:t>
            </w:r>
          </w:p>
        </w:tc>
      </w:tr>
      <w:tr w:rsidR="002D58E4" w14:paraId="028FCE06" w14:textId="77777777" w:rsidTr="00E343BA">
        <w:trPr>
          <w:trHeight w:val="960"/>
        </w:trPr>
        <w:tc>
          <w:tcPr>
            <w:tcW w:w="2164" w:type="dxa"/>
            <w:vAlign w:val="center"/>
          </w:tcPr>
          <w:p w14:paraId="30995A60" w14:textId="77777777" w:rsidR="002D58E4" w:rsidRDefault="00F721D4">
            <w:pPr>
              <w:rPr>
                <w:sz w:val="20"/>
                <w:szCs w:val="20"/>
              </w:rPr>
            </w:pPr>
            <w:r>
              <w:rPr>
                <w:sz w:val="20"/>
                <w:szCs w:val="20"/>
              </w:rPr>
              <w:t>Krause, et al. 1996</w:t>
            </w:r>
          </w:p>
        </w:tc>
        <w:tc>
          <w:tcPr>
            <w:tcW w:w="11873" w:type="dxa"/>
            <w:vAlign w:val="center"/>
          </w:tcPr>
          <w:p w14:paraId="062CDFBB" w14:textId="77777777" w:rsidR="002D58E4" w:rsidRDefault="00F721D4">
            <w:pPr>
              <w:rPr>
                <w:sz w:val="20"/>
                <w:szCs w:val="20"/>
              </w:rPr>
            </w:pPr>
            <w:r>
              <w:rPr>
                <w:sz w:val="20"/>
                <w:szCs w:val="20"/>
              </w:rPr>
              <w:t xml:space="preserve">Patients who were co-infected with </w:t>
            </w:r>
            <w:r>
              <w:rPr>
                <w:i/>
                <w:sz w:val="20"/>
                <w:szCs w:val="20"/>
              </w:rPr>
              <w:t xml:space="preserve">B. microti </w:t>
            </w:r>
            <w:r>
              <w:rPr>
                <w:sz w:val="20"/>
                <w:szCs w:val="20"/>
              </w:rPr>
              <w:t xml:space="preserve">and Lyme disease reported 1.5 times as many different symptoms and signs of disease as subjects with Lyme disease alone (P&lt;.001). Co-infected subjects presented with a more diverse array of symptoms and experienced statistically significantly longer disease duration than patients with Lyme disease alone. </w:t>
            </w:r>
          </w:p>
        </w:tc>
      </w:tr>
      <w:tr w:rsidR="002D58E4" w14:paraId="6BC6A84D" w14:textId="77777777" w:rsidTr="00E343BA">
        <w:trPr>
          <w:trHeight w:val="800"/>
        </w:trPr>
        <w:tc>
          <w:tcPr>
            <w:tcW w:w="2164" w:type="dxa"/>
            <w:vAlign w:val="center"/>
          </w:tcPr>
          <w:p w14:paraId="61DF5B6C" w14:textId="77777777" w:rsidR="002D58E4" w:rsidRDefault="00F721D4">
            <w:pPr>
              <w:rPr>
                <w:sz w:val="20"/>
                <w:szCs w:val="20"/>
              </w:rPr>
            </w:pPr>
            <w:r>
              <w:rPr>
                <w:sz w:val="20"/>
                <w:szCs w:val="20"/>
              </w:rPr>
              <w:t>Belongia, et al. 1999</w:t>
            </w:r>
          </w:p>
        </w:tc>
        <w:tc>
          <w:tcPr>
            <w:tcW w:w="11873" w:type="dxa"/>
            <w:vAlign w:val="center"/>
          </w:tcPr>
          <w:p w14:paraId="50C3349F" w14:textId="77777777" w:rsidR="002D58E4" w:rsidRDefault="00F721D4">
            <w:pPr>
              <w:rPr>
                <w:sz w:val="16"/>
                <w:szCs w:val="16"/>
              </w:rPr>
            </w:pPr>
            <w:r>
              <w:rPr>
                <w:sz w:val="20"/>
                <w:szCs w:val="20"/>
              </w:rPr>
              <w:t xml:space="preserve">The authors found that patients with laboratory evidence of Anaplasmosis with concurrent erythema migrans and laboratory evidence of </w:t>
            </w:r>
            <w:r>
              <w:rPr>
                <w:i/>
                <w:sz w:val="20"/>
                <w:szCs w:val="20"/>
              </w:rPr>
              <w:t>B. burgdorferi</w:t>
            </w:r>
            <w:r>
              <w:rPr>
                <w:sz w:val="20"/>
                <w:szCs w:val="20"/>
              </w:rPr>
              <w:t xml:space="preserve"> were significantly less likely to report fever, chills, and fatigue than patients who presented with Anaplasmosis alone.</w:t>
            </w:r>
          </w:p>
        </w:tc>
      </w:tr>
      <w:tr w:rsidR="002D58E4" w14:paraId="341230EB" w14:textId="77777777" w:rsidTr="00E343BA">
        <w:trPr>
          <w:trHeight w:val="880"/>
        </w:trPr>
        <w:tc>
          <w:tcPr>
            <w:tcW w:w="2164" w:type="dxa"/>
            <w:vAlign w:val="center"/>
          </w:tcPr>
          <w:p w14:paraId="3F338B6F" w14:textId="77777777" w:rsidR="002D58E4" w:rsidRDefault="00F721D4">
            <w:pPr>
              <w:rPr>
                <w:sz w:val="20"/>
                <w:szCs w:val="20"/>
              </w:rPr>
            </w:pPr>
            <w:r>
              <w:rPr>
                <w:sz w:val="20"/>
                <w:szCs w:val="20"/>
              </w:rPr>
              <w:t>Krause, et al. 2002</w:t>
            </w:r>
          </w:p>
        </w:tc>
        <w:tc>
          <w:tcPr>
            <w:tcW w:w="11873" w:type="dxa"/>
            <w:vAlign w:val="center"/>
          </w:tcPr>
          <w:p w14:paraId="3778E5BC" w14:textId="77777777" w:rsidR="002D58E4" w:rsidRDefault="00F721D4">
            <w:pPr>
              <w:rPr>
                <w:sz w:val="16"/>
                <w:szCs w:val="16"/>
              </w:rPr>
            </w:pPr>
            <w:r>
              <w:rPr>
                <w:sz w:val="20"/>
                <w:szCs w:val="20"/>
              </w:rPr>
              <w:t xml:space="preserve">The study reported that a combination of fever, chills, and headache was noted in 44% of Lyme disease patients with a co-infection, whereas this clinical presentation was found in only 13% of patients with Lyme disease alone. Patients with Lyme disease alone tended to report fewer symptoms than co-infected patients, and the duration of symptoms was statistically significantly longer (mean duration Lyme: 3.9 weeks; Lyme and Babesia: 5.5 weeks, p&lt;0.055; Lyme and </w:t>
            </w:r>
            <w:r>
              <w:rPr>
                <w:i/>
                <w:sz w:val="20"/>
                <w:szCs w:val="20"/>
              </w:rPr>
              <w:t>Anaplasma</w:t>
            </w:r>
            <w:r>
              <w:rPr>
                <w:sz w:val="20"/>
                <w:szCs w:val="20"/>
              </w:rPr>
              <w:t>: 11.0 weeks, p&lt;0.001) in patients with co-infections than in patients with Lyme disease alone.</w:t>
            </w:r>
          </w:p>
        </w:tc>
      </w:tr>
      <w:tr w:rsidR="002D58E4" w14:paraId="19B6A675" w14:textId="77777777" w:rsidTr="00E343BA">
        <w:trPr>
          <w:trHeight w:val="880"/>
        </w:trPr>
        <w:tc>
          <w:tcPr>
            <w:tcW w:w="2164" w:type="dxa"/>
            <w:vAlign w:val="center"/>
          </w:tcPr>
          <w:p w14:paraId="38EB761F" w14:textId="77777777" w:rsidR="002D58E4" w:rsidRDefault="00F721D4">
            <w:pPr>
              <w:rPr>
                <w:sz w:val="20"/>
                <w:szCs w:val="20"/>
              </w:rPr>
            </w:pPr>
            <w:r>
              <w:rPr>
                <w:sz w:val="20"/>
                <w:szCs w:val="20"/>
              </w:rPr>
              <w:t>Steere, et al. 2003</w:t>
            </w:r>
          </w:p>
        </w:tc>
        <w:tc>
          <w:tcPr>
            <w:tcW w:w="11873" w:type="dxa"/>
            <w:vAlign w:val="center"/>
          </w:tcPr>
          <w:p w14:paraId="3C1F596E" w14:textId="77777777" w:rsidR="002D58E4" w:rsidRDefault="00F721D4">
            <w:pPr>
              <w:rPr>
                <w:sz w:val="20"/>
                <w:szCs w:val="20"/>
              </w:rPr>
            </w:pPr>
            <w:r>
              <w:rPr>
                <w:sz w:val="20"/>
                <w:szCs w:val="20"/>
              </w:rPr>
              <w:t xml:space="preserve">Of four patients co-infected with Lyme disease and either </w:t>
            </w:r>
            <w:r>
              <w:rPr>
                <w:i/>
                <w:sz w:val="20"/>
                <w:szCs w:val="20"/>
              </w:rPr>
              <w:t>A. phagocytophilum</w:t>
            </w:r>
            <w:r>
              <w:rPr>
                <w:sz w:val="20"/>
                <w:szCs w:val="20"/>
              </w:rPr>
              <w:t xml:space="preserve"> or </w:t>
            </w:r>
            <w:r>
              <w:rPr>
                <w:i/>
                <w:sz w:val="20"/>
                <w:szCs w:val="20"/>
              </w:rPr>
              <w:t>B. microti</w:t>
            </w:r>
            <w:r>
              <w:rPr>
                <w:sz w:val="20"/>
                <w:szCs w:val="20"/>
              </w:rPr>
              <w:t xml:space="preserve">, three experienced 8-11 diverse symptoms, including fever, chills, headache, fatigue. One co-infected patient had persistent fatigue after treatment. The number of co-infected cases was too small to come to any statistically significant conclusion. </w:t>
            </w:r>
          </w:p>
        </w:tc>
      </w:tr>
      <w:tr w:rsidR="002D58E4" w14:paraId="14DD6FAA" w14:textId="77777777" w:rsidTr="00E343BA">
        <w:trPr>
          <w:trHeight w:val="800"/>
        </w:trPr>
        <w:tc>
          <w:tcPr>
            <w:tcW w:w="2164" w:type="dxa"/>
            <w:vAlign w:val="center"/>
          </w:tcPr>
          <w:p w14:paraId="0F1C93A6" w14:textId="77777777" w:rsidR="002D58E4" w:rsidRDefault="00F721D4">
            <w:pPr>
              <w:rPr>
                <w:sz w:val="20"/>
                <w:szCs w:val="20"/>
              </w:rPr>
            </w:pPr>
            <w:r>
              <w:rPr>
                <w:sz w:val="20"/>
                <w:szCs w:val="20"/>
              </w:rPr>
              <w:t>Horowitz, et al. 2013</w:t>
            </w:r>
          </w:p>
        </w:tc>
        <w:tc>
          <w:tcPr>
            <w:tcW w:w="11873" w:type="dxa"/>
            <w:vAlign w:val="center"/>
          </w:tcPr>
          <w:p w14:paraId="5659032C" w14:textId="77777777" w:rsidR="002D58E4" w:rsidRDefault="00F721D4">
            <w:pPr>
              <w:rPr>
                <w:sz w:val="16"/>
                <w:szCs w:val="16"/>
              </w:rPr>
            </w:pPr>
            <w:r>
              <w:rPr>
                <w:sz w:val="20"/>
                <w:szCs w:val="20"/>
              </w:rPr>
              <w:t xml:space="preserve">Study found that co-infected patients in the group that includes those with a positive culture for </w:t>
            </w:r>
            <w:r>
              <w:rPr>
                <w:i/>
                <w:sz w:val="20"/>
                <w:szCs w:val="20"/>
              </w:rPr>
              <w:t>A. phagocytophilum</w:t>
            </w:r>
            <w:r>
              <w:rPr>
                <w:sz w:val="20"/>
                <w:szCs w:val="20"/>
              </w:rPr>
              <w:t xml:space="preserve"> and/or with a 4-fold rise in antibody titer to ≥1:640 presented with significantly more symptoms and were more likely to report fever, sweats, rigor, and/or headache than patients with early Lyme disease alone.</w:t>
            </w:r>
            <w:r>
              <w:rPr>
                <w:sz w:val="16"/>
                <w:szCs w:val="16"/>
              </w:rPr>
              <w:t xml:space="preserve"> </w:t>
            </w:r>
          </w:p>
          <w:p w14:paraId="2FDB8DD8" w14:textId="77777777" w:rsidR="002D58E4" w:rsidRDefault="002D58E4">
            <w:pPr>
              <w:rPr>
                <w:sz w:val="16"/>
                <w:szCs w:val="16"/>
              </w:rPr>
            </w:pPr>
          </w:p>
        </w:tc>
      </w:tr>
    </w:tbl>
    <w:p w14:paraId="0E117838" w14:textId="77777777" w:rsidR="002D58E4" w:rsidRDefault="002D58E4">
      <w:pPr>
        <w:rPr>
          <w:color w:val="000000"/>
          <w:sz w:val="18"/>
          <w:szCs w:val="18"/>
        </w:rPr>
      </w:pPr>
    </w:p>
    <w:sectPr w:rsidR="002D58E4" w:rsidSect="00C10663">
      <w:pgSz w:w="15842" w:h="12242" w:orient="landscape"/>
      <w:pgMar w:top="720" w:right="391" w:bottom="720" w:left="720" w:header="720" w:footer="720" w:gutter="0"/>
      <w:cols w:space="720" w:equalWidth="0">
        <w:col w:w="98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118A" w14:textId="77777777" w:rsidR="00086112" w:rsidRDefault="00086112">
      <w:pPr>
        <w:spacing w:after="0" w:line="240" w:lineRule="auto"/>
      </w:pPr>
      <w:r>
        <w:separator/>
      </w:r>
    </w:p>
  </w:endnote>
  <w:endnote w:type="continuationSeparator" w:id="0">
    <w:p w14:paraId="70986518" w14:textId="77777777" w:rsidR="00086112" w:rsidRDefault="0008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ghland-Roman">
    <w:altName w:val="Calibri"/>
    <w:charset w:val="00"/>
    <w:family w:val="auto"/>
    <w:pitch w:val="default"/>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EB Garamond">
    <w:charset w:val="00"/>
    <w:family w:val="auto"/>
    <w:pitch w:val="default"/>
  </w:font>
  <w:font w:name="QjhhbrAdvTT3713a231">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DF5C" w14:textId="77777777" w:rsidR="008D091E" w:rsidRDefault="008D091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8635" w14:textId="77777777" w:rsidR="008D091E" w:rsidRDefault="008D091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9196251" w14:textId="77777777" w:rsidR="008D091E" w:rsidRDefault="008D091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F2FC" w14:textId="77777777" w:rsidR="008D091E" w:rsidRDefault="008D09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2BED" w14:textId="77777777" w:rsidR="00086112" w:rsidRDefault="00086112">
      <w:pPr>
        <w:spacing w:after="0" w:line="240" w:lineRule="auto"/>
      </w:pPr>
      <w:r>
        <w:separator/>
      </w:r>
    </w:p>
  </w:footnote>
  <w:footnote w:type="continuationSeparator" w:id="0">
    <w:p w14:paraId="4306FBB7" w14:textId="77777777" w:rsidR="00086112" w:rsidRDefault="0008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D926" w14:textId="77777777" w:rsidR="008D091E" w:rsidRDefault="008D091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E5EB" w14:textId="1C6C1691" w:rsidR="008D091E" w:rsidRDefault="008D091E">
    <w:pPr>
      <w:pBdr>
        <w:top w:val="nil"/>
        <w:left w:val="nil"/>
        <w:bottom w:val="nil"/>
        <w:right w:val="nil"/>
        <w:between w:val="nil"/>
      </w:pBdr>
      <w:tabs>
        <w:tab w:val="center" w:pos="4680"/>
        <w:tab w:val="right" w:pos="9360"/>
      </w:tabs>
      <w:spacing w:after="0" w:line="240" w:lineRule="auto"/>
      <w:rPr>
        <w:color w:val="000000"/>
      </w:rPr>
    </w:pPr>
    <w:bookmarkStart w:id="9" w:name="_2bn6wsx" w:colFirst="0" w:colLast="0"/>
    <w:bookmarkEnd w:id="9"/>
    <w:r>
      <w:t>Supplement</w:t>
    </w:r>
    <w:r w:rsidR="00DD4E2B">
      <w:t>ary</w:t>
    </w:r>
    <w:r>
      <w:t xml:space="preserve"> Materials for the</w:t>
    </w:r>
    <w:r>
      <w:rPr>
        <w:color w:val="000000"/>
      </w:rPr>
      <w:t xml:space="preserve"> </w:t>
    </w:r>
    <w:r>
      <w:t>IDSA/AAN/ACR 2020 Lyme Disease Guidelines</w:t>
    </w:r>
  </w:p>
  <w:p w14:paraId="4A007C83" w14:textId="77777777" w:rsidR="008D091E" w:rsidRDefault="008D091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99F5" w14:textId="77777777" w:rsidR="008D091E" w:rsidRDefault="008D0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599"/>
    <w:multiLevelType w:val="multilevel"/>
    <w:tmpl w:val="2AA0A120"/>
    <w:lvl w:ilvl="0">
      <w:start w:val="1"/>
      <w:numFmt w:val="bullet"/>
      <w:lvlText w:val="●"/>
      <w:lvlJc w:val="left"/>
      <w:pPr>
        <w:ind w:left="432" w:hanging="14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D000B"/>
    <w:multiLevelType w:val="multilevel"/>
    <w:tmpl w:val="AF8CF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3D05B0"/>
    <w:multiLevelType w:val="multilevel"/>
    <w:tmpl w:val="DED665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F9281D"/>
    <w:multiLevelType w:val="multilevel"/>
    <w:tmpl w:val="4DE4B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A827D4"/>
    <w:multiLevelType w:val="multilevel"/>
    <w:tmpl w:val="49B06C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CB5999"/>
    <w:multiLevelType w:val="multilevel"/>
    <w:tmpl w:val="16006E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AF86CCC"/>
    <w:multiLevelType w:val="multilevel"/>
    <w:tmpl w:val="2CBA3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8110F6"/>
    <w:multiLevelType w:val="multilevel"/>
    <w:tmpl w:val="DC08B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EF87FAE"/>
    <w:multiLevelType w:val="multilevel"/>
    <w:tmpl w:val="F084B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32220"/>
    <w:multiLevelType w:val="multilevel"/>
    <w:tmpl w:val="CF129B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1F62F7A"/>
    <w:multiLevelType w:val="multilevel"/>
    <w:tmpl w:val="45240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BE26D1"/>
    <w:multiLevelType w:val="multilevel"/>
    <w:tmpl w:val="B5C86DB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1C065763"/>
    <w:multiLevelType w:val="multilevel"/>
    <w:tmpl w:val="6B8EBF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9238C5"/>
    <w:multiLevelType w:val="multilevel"/>
    <w:tmpl w:val="4476B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922A47"/>
    <w:multiLevelType w:val="multilevel"/>
    <w:tmpl w:val="60088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A96640"/>
    <w:multiLevelType w:val="multilevel"/>
    <w:tmpl w:val="D908B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176B36"/>
    <w:multiLevelType w:val="multilevel"/>
    <w:tmpl w:val="A2B47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CD5CB8"/>
    <w:multiLevelType w:val="multilevel"/>
    <w:tmpl w:val="B574C3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48D718C"/>
    <w:multiLevelType w:val="multilevel"/>
    <w:tmpl w:val="9DEE47B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864" w:hanging="144"/>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9" w15:restartNumberingAfterBreak="0">
    <w:nsid w:val="264674E3"/>
    <w:multiLevelType w:val="multilevel"/>
    <w:tmpl w:val="EC0C14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8C3718F"/>
    <w:multiLevelType w:val="multilevel"/>
    <w:tmpl w:val="A8E2959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B654A1"/>
    <w:multiLevelType w:val="multilevel"/>
    <w:tmpl w:val="F98C3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C9A4A80"/>
    <w:multiLevelType w:val="multilevel"/>
    <w:tmpl w:val="98BC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6E6ACB"/>
    <w:multiLevelType w:val="multilevel"/>
    <w:tmpl w:val="88024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7D1541"/>
    <w:multiLevelType w:val="multilevel"/>
    <w:tmpl w:val="1708E76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5" w15:restartNumberingAfterBreak="0">
    <w:nsid w:val="3AC67C0D"/>
    <w:multiLevelType w:val="multilevel"/>
    <w:tmpl w:val="BE068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D16112"/>
    <w:multiLevelType w:val="multilevel"/>
    <w:tmpl w:val="6EAE8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E027DB"/>
    <w:multiLevelType w:val="multilevel"/>
    <w:tmpl w:val="57D86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5C1F83"/>
    <w:multiLevelType w:val="multilevel"/>
    <w:tmpl w:val="28046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4924BE4"/>
    <w:multiLevelType w:val="multilevel"/>
    <w:tmpl w:val="70E0A82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0" w15:restartNumberingAfterBreak="0">
    <w:nsid w:val="45522A53"/>
    <w:multiLevelType w:val="multilevel"/>
    <w:tmpl w:val="F9A0F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CE6A13"/>
    <w:multiLevelType w:val="multilevel"/>
    <w:tmpl w:val="2FF411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A142CB8"/>
    <w:multiLevelType w:val="multilevel"/>
    <w:tmpl w:val="9D9E1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3554C2"/>
    <w:multiLevelType w:val="multilevel"/>
    <w:tmpl w:val="99747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10611A"/>
    <w:multiLevelType w:val="multilevel"/>
    <w:tmpl w:val="CCC64C6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5" w15:restartNumberingAfterBreak="0">
    <w:nsid w:val="508E1FBC"/>
    <w:multiLevelType w:val="multilevel"/>
    <w:tmpl w:val="696484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524D0AE0"/>
    <w:multiLevelType w:val="multilevel"/>
    <w:tmpl w:val="EDAA5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2D04570"/>
    <w:multiLevelType w:val="multilevel"/>
    <w:tmpl w:val="481CBE4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8" w15:restartNumberingAfterBreak="0">
    <w:nsid w:val="56030239"/>
    <w:multiLevelType w:val="multilevel"/>
    <w:tmpl w:val="CEFAD8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8EC29A5"/>
    <w:multiLevelType w:val="multilevel"/>
    <w:tmpl w:val="B9DCD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9362A38"/>
    <w:multiLevelType w:val="multilevel"/>
    <w:tmpl w:val="BE2C152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A357F3A"/>
    <w:multiLevelType w:val="multilevel"/>
    <w:tmpl w:val="74F69B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DDC0446"/>
    <w:multiLevelType w:val="multilevel"/>
    <w:tmpl w:val="609216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E36151E"/>
    <w:multiLevelType w:val="multilevel"/>
    <w:tmpl w:val="873C87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34520BE"/>
    <w:multiLevelType w:val="multilevel"/>
    <w:tmpl w:val="B3869470"/>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E361CB"/>
    <w:multiLevelType w:val="multilevel"/>
    <w:tmpl w:val="F836C2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66EC2CE3"/>
    <w:multiLevelType w:val="multilevel"/>
    <w:tmpl w:val="9BB27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7B7281F"/>
    <w:multiLevelType w:val="multilevel"/>
    <w:tmpl w:val="D9123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AB27090"/>
    <w:multiLevelType w:val="multilevel"/>
    <w:tmpl w:val="32C2C748"/>
    <w:lvl w:ilvl="0">
      <w:start w:val="1"/>
      <w:numFmt w:val="upperRoman"/>
      <w:lvlText w:val="%1."/>
      <w:lvlJc w:val="left"/>
      <w:pPr>
        <w:ind w:left="1080" w:hanging="720"/>
      </w:pPr>
      <w:rPr>
        <w:rFonts w:ascii="Arial Narrow" w:eastAsia="Arial Narrow" w:hAnsi="Arial Narrow" w:cs="Arial Narrow"/>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47641E"/>
    <w:multiLevelType w:val="multilevel"/>
    <w:tmpl w:val="1D36E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6D813FDB"/>
    <w:multiLevelType w:val="multilevel"/>
    <w:tmpl w:val="DE9A4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677762B"/>
    <w:multiLevelType w:val="multilevel"/>
    <w:tmpl w:val="3FC6F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79D1EFB"/>
    <w:multiLevelType w:val="multilevel"/>
    <w:tmpl w:val="80722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8430112"/>
    <w:multiLevelType w:val="multilevel"/>
    <w:tmpl w:val="957891C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4" w15:restartNumberingAfterBreak="0">
    <w:nsid w:val="7B065A29"/>
    <w:multiLevelType w:val="multilevel"/>
    <w:tmpl w:val="63B81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C1802A7"/>
    <w:multiLevelType w:val="multilevel"/>
    <w:tmpl w:val="B9081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D950080"/>
    <w:multiLevelType w:val="multilevel"/>
    <w:tmpl w:val="9B0485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4"/>
  </w:num>
  <w:num w:numId="3">
    <w:abstractNumId w:val="23"/>
  </w:num>
  <w:num w:numId="4">
    <w:abstractNumId w:val="1"/>
  </w:num>
  <w:num w:numId="5">
    <w:abstractNumId w:val="50"/>
  </w:num>
  <w:num w:numId="6">
    <w:abstractNumId w:val="18"/>
  </w:num>
  <w:num w:numId="7">
    <w:abstractNumId w:val="34"/>
  </w:num>
  <w:num w:numId="8">
    <w:abstractNumId w:val="42"/>
  </w:num>
  <w:num w:numId="9">
    <w:abstractNumId w:val="3"/>
  </w:num>
  <w:num w:numId="10">
    <w:abstractNumId w:val="35"/>
  </w:num>
  <w:num w:numId="11">
    <w:abstractNumId w:val="39"/>
  </w:num>
  <w:num w:numId="12">
    <w:abstractNumId w:val="47"/>
  </w:num>
  <w:num w:numId="13">
    <w:abstractNumId w:val="16"/>
  </w:num>
  <w:num w:numId="14">
    <w:abstractNumId w:val="22"/>
  </w:num>
  <w:num w:numId="15">
    <w:abstractNumId w:val="17"/>
  </w:num>
  <w:num w:numId="16">
    <w:abstractNumId w:val="37"/>
  </w:num>
  <w:num w:numId="17">
    <w:abstractNumId w:val="8"/>
  </w:num>
  <w:num w:numId="18">
    <w:abstractNumId w:val="48"/>
  </w:num>
  <w:num w:numId="19">
    <w:abstractNumId w:val="43"/>
  </w:num>
  <w:num w:numId="20">
    <w:abstractNumId w:val="27"/>
  </w:num>
  <w:num w:numId="21">
    <w:abstractNumId w:val="55"/>
  </w:num>
  <w:num w:numId="22">
    <w:abstractNumId w:val="4"/>
  </w:num>
  <w:num w:numId="23">
    <w:abstractNumId w:val="30"/>
  </w:num>
  <w:num w:numId="24">
    <w:abstractNumId w:val="25"/>
  </w:num>
  <w:num w:numId="25">
    <w:abstractNumId w:val="54"/>
  </w:num>
  <w:num w:numId="26">
    <w:abstractNumId w:val="45"/>
  </w:num>
  <w:num w:numId="27">
    <w:abstractNumId w:val="9"/>
  </w:num>
  <w:num w:numId="28">
    <w:abstractNumId w:val="5"/>
  </w:num>
  <w:num w:numId="29">
    <w:abstractNumId w:val="51"/>
  </w:num>
  <w:num w:numId="30">
    <w:abstractNumId w:val="6"/>
  </w:num>
  <w:num w:numId="31">
    <w:abstractNumId w:val="49"/>
  </w:num>
  <w:num w:numId="32">
    <w:abstractNumId w:val="33"/>
  </w:num>
  <w:num w:numId="33">
    <w:abstractNumId w:val="40"/>
  </w:num>
  <w:num w:numId="34">
    <w:abstractNumId w:val="32"/>
  </w:num>
  <w:num w:numId="35">
    <w:abstractNumId w:val="46"/>
  </w:num>
  <w:num w:numId="36">
    <w:abstractNumId w:val="12"/>
  </w:num>
  <w:num w:numId="37">
    <w:abstractNumId w:val="52"/>
  </w:num>
  <w:num w:numId="38">
    <w:abstractNumId w:val="26"/>
  </w:num>
  <w:num w:numId="39">
    <w:abstractNumId w:val="0"/>
  </w:num>
  <w:num w:numId="40">
    <w:abstractNumId w:val="41"/>
  </w:num>
  <w:num w:numId="41">
    <w:abstractNumId w:val="28"/>
  </w:num>
  <w:num w:numId="42">
    <w:abstractNumId w:val="10"/>
  </w:num>
  <w:num w:numId="43">
    <w:abstractNumId w:val="7"/>
  </w:num>
  <w:num w:numId="44">
    <w:abstractNumId w:val="36"/>
  </w:num>
  <w:num w:numId="45">
    <w:abstractNumId w:val="56"/>
  </w:num>
  <w:num w:numId="46">
    <w:abstractNumId w:val="29"/>
  </w:num>
  <w:num w:numId="47">
    <w:abstractNumId w:val="14"/>
  </w:num>
  <w:num w:numId="48">
    <w:abstractNumId w:val="53"/>
  </w:num>
  <w:num w:numId="49">
    <w:abstractNumId w:val="11"/>
  </w:num>
  <w:num w:numId="50">
    <w:abstractNumId w:val="15"/>
  </w:num>
  <w:num w:numId="51">
    <w:abstractNumId w:val="20"/>
  </w:num>
  <w:num w:numId="52">
    <w:abstractNumId w:val="38"/>
  </w:num>
  <w:num w:numId="53">
    <w:abstractNumId w:val="21"/>
  </w:num>
  <w:num w:numId="54">
    <w:abstractNumId w:val="13"/>
  </w:num>
  <w:num w:numId="55">
    <w:abstractNumId w:val="44"/>
  </w:num>
  <w:num w:numId="56">
    <w:abstractNumId w:val="2"/>
  </w:num>
  <w:num w:numId="57">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E4"/>
    <w:rsid w:val="00006C3B"/>
    <w:rsid w:val="00034090"/>
    <w:rsid w:val="00045E9B"/>
    <w:rsid w:val="00085048"/>
    <w:rsid w:val="00086112"/>
    <w:rsid w:val="000F5BF4"/>
    <w:rsid w:val="00154D17"/>
    <w:rsid w:val="0016769A"/>
    <w:rsid w:val="00171735"/>
    <w:rsid w:val="002305C5"/>
    <w:rsid w:val="00272C25"/>
    <w:rsid w:val="002853F4"/>
    <w:rsid w:val="002914A2"/>
    <w:rsid w:val="002D58E4"/>
    <w:rsid w:val="00324703"/>
    <w:rsid w:val="00394FE9"/>
    <w:rsid w:val="003A5F79"/>
    <w:rsid w:val="003A7456"/>
    <w:rsid w:val="003D141F"/>
    <w:rsid w:val="003D1C11"/>
    <w:rsid w:val="00424E99"/>
    <w:rsid w:val="00437E87"/>
    <w:rsid w:val="00445E97"/>
    <w:rsid w:val="00456E11"/>
    <w:rsid w:val="004A416C"/>
    <w:rsid w:val="004D1B29"/>
    <w:rsid w:val="005E379C"/>
    <w:rsid w:val="00610DB8"/>
    <w:rsid w:val="00642707"/>
    <w:rsid w:val="006C42A0"/>
    <w:rsid w:val="006D375A"/>
    <w:rsid w:val="007132E3"/>
    <w:rsid w:val="00720E48"/>
    <w:rsid w:val="007957CB"/>
    <w:rsid w:val="007C7E76"/>
    <w:rsid w:val="007F07BA"/>
    <w:rsid w:val="007F0CB1"/>
    <w:rsid w:val="00800A7B"/>
    <w:rsid w:val="00830F11"/>
    <w:rsid w:val="008A6D79"/>
    <w:rsid w:val="008D091E"/>
    <w:rsid w:val="009715F3"/>
    <w:rsid w:val="009F5BCE"/>
    <w:rsid w:val="00A81DBE"/>
    <w:rsid w:val="00B033CA"/>
    <w:rsid w:val="00BD2C27"/>
    <w:rsid w:val="00C10663"/>
    <w:rsid w:val="00C34495"/>
    <w:rsid w:val="00C52D9A"/>
    <w:rsid w:val="00C74F95"/>
    <w:rsid w:val="00D01FC2"/>
    <w:rsid w:val="00D85CB1"/>
    <w:rsid w:val="00DB0F7E"/>
    <w:rsid w:val="00DD4E2B"/>
    <w:rsid w:val="00DE2F3F"/>
    <w:rsid w:val="00DE33EC"/>
    <w:rsid w:val="00E14B2B"/>
    <w:rsid w:val="00E20834"/>
    <w:rsid w:val="00E343BA"/>
    <w:rsid w:val="00E40AB3"/>
    <w:rsid w:val="00E579D1"/>
    <w:rsid w:val="00E6526B"/>
    <w:rsid w:val="00E70FE5"/>
    <w:rsid w:val="00F721D4"/>
    <w:rsid w:val="00F77686"/>
    <w:rsid w:val="00FE2443"/>
    <w:rsid w:val="00FE31BB"/>
    <w:rsid w:val="00FF6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FF6C6"/>
  <w15:docId w15:val="{6841A50C-5CB4-4BA1-9E4D-A16D91AA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0">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1">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2">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3">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4">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5">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6">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7">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8">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9">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a">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b">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c">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d">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e">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0">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1">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2">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3">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4">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5">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6">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7">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8">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9">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a">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b">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c">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d">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e">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0">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1">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2">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3">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4">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5">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6">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7">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8">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9">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a">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b">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c">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d">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f8">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f9">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fa">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fb">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fc">
    <w:basedOn w:val="TableNormal"/>
    <w:pPr>
      <w:spacing w:after="0" w:line="240" w:lineRule="auto"/>
    </w:pPr>
    <w:tblPr>
      <w:tblStyleRowBandSize w:val="1"/>
      <w:tblStyleColBandSize w:val="1"/>
      <w:tblCellMar>
        <w:top w:w="75" w:type="dxa"/>
        <w:left w:w="0" w:type="dxa"/>
        <w:bottom w:w="75" w:type="dxa"/>
        <w:right w:w="0" w:type="dxa"/>
      </w:tblCellMar>
    </w:tblPr>
  </w:style>
  <w:style w:type="table" w:customStyle="1" w:styleId="afffd">
    <w:basedOn w:val="TableNormal"/>
    <w:pPr>
      <w:spacing w:after="0" w:line="240" w:lineRule="auto"/>
    </w:pPr>
    <w:tblPr>
      <w:tblStyleRowBandSize w:val="1"/>
      <w:tblStyleColBandSize w:val="1"/>
      <w:tblCellMar>
        <w:top w:w="75" w:type="dxa"/>
        <w:left w:w="0" w:type="dxa"/>
        <w:bottom w:w="75"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6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43BA"/>
    <w:rPr>
      <w:b/>
      <w:bCs/>
    </w:rPr>
  </w:style>
  <w:style w:type="character" w:customStyle="1" w:styleId="CommentSubjectChar">
    <w:name w:val="Comment Subject Char"/>
    <w:basedOn w:val="CommentTextChar"/>
    <w:link w:val="CommentSubject"/>
    <w:uiPriority w:val="99"/>
    <w:semiHidden/>
    <w:rsid w:val="00E343BA"/>
    <w:rPr>
      <w:b/>
      <w:bCs/>
      <w:sz w:val="20"/>
      <w:szCs w:val="20"/>
    </w:rPr>
  </w:style>
  <w:style w:type="paragraph" w:styleId="NormalWeb">
    <w:name w:val="Normal (Web)"/>
    <w:basedOn w:val="Normal"/>
    <w:uiPriority w:val="99"/>
    <w:unhideWhenUsed/>
    <w:rsid w:val="00324703"/>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Revision">
    <w:name w:val="Revision"/>
    <w:hidden/>
    <w:uiPriority w:val="99"/>
    <w:semiHidden/>
    <w:rsid w:val="00C10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160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yperlink" Target="https://www-ncbi-nlm-nih-gov.ezproxy.library.tufts.edu/pubmed/?term=Comparison+of+phenoxymethylpenicillin%2C+amoxicillin%2C+and+doxycycline+for+erythema+migrans+in+general+practice.+A+randomized+controlled+trial+with+a+1-year+follow-up."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hyperlink" Target="https://www-ncbi-nlm-nih-gov.ezproxy.library.tufts.edu/pubmed/?term=Comparison+of+phenoxymethylpenicillin%2C+amoxicillin%2C+and+doxycycline+for+erythema+migrans+in+general+practice.+A+randomized+controlled+trial+with+a+1-year+follow-up."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ncbi-nlm-nih-gov.ezproxy.library.tufts.edu/pmc/articles/PMC5176185/table/pone.0168613.t008/"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ncbi-nlm-nih-gov.ezproxy.library.tufts.edu/pmc/articles/PMC5176185/table/pone.0168613.t008/"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ncbi-nlm-nih-gov.ezproxy.library.tufts.edu/pmc/articles/PMC5176185/table/pone.0168613.t008/" TargetMode="External"/><Relationship Id="rId27" Type="http://schemas.openxmlformats.org/officeDocument/2006/relationships/hyperlink" Target="https://www-ncbi-nlm-nih-gov.ezproxy.library.tufts.edu/pubmed/?term=Comparison+of+phenoxymethylpenicillin%2C+amoxicillin%2C+and+doxycycline+for+erythema+migrans+in+general+practice.+A+randomized+controlled+trial+with+a+1-year+follow-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105</Pages>
  <Words>80197</Words>
  <Characters>457124</Characters>
  <Application>Microsoft Office Word</Application>
  <DocSecurity>0</DocSecurity>
  <Lines>3809</Lines>
  <Paragraphs>1072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 Lavergne</dc:creator>
  <cp:lastModifiedBy>Goldwater, Rebecca</cp:lastModifiedBy>
  <cp:revision>3</cp:revision>
  <dcterms:created xsi:type="dcterms:W3CDTF">2020-11-11T16:26:00Z</dcterms:created>
  <dcterms:modified xsi:type="dcterms:W3CDTF">2020-11-30T19:03:00Z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2020-11-11T16:26:36Z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0016e075-32c3-462c-bbf4-0000f53d5210</vt:lpwstr>
  </property>
  <property fmtid="{D5CDD505-2E9C-101B-9397-08002B2CF9AE}" pid="8" name="MSIP_Label_be5cb09a-2992-49d6-8ac9-5f63e7b1ad2f_ContentBits">
    <vt:lpwstr>0</vt:lpwstr>
  </property>
</Properties>
</file>